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D61C5" w14:textId="23D9D82A" w:rsidR="000B0087" w:rsidRDefault="000B0087" w:rsidP="00456F77">
      <w:pPr>
        <w:spacing w:line="240" w:lineRule="auto"/>
      </w:pPr>
    </w:p>
    <w:p w14:paraId="77467887" w14:textId="75A0AACB" w:rsidR="009B6A9E" w:rsidRDefault="009B6A9E" w:rsidP="00456F77">
      <w:pPr>
        <w:spacing w:line="240" w:lineRule="auto"/>
      </w:pPr>
      <w:r>
        <w:t>Method</w:t>
      </w:r>
    </w:p>
    <w:p w14:paraId="2FC51C1E" w14:textId="6C90B1BC" w:rsidR="009B6A9E" w:rsidRDefault="009B6A9E" w:rsidP="00456F77">
      <w:pPr>
        <w:spacing w:line="240" w:lineRule="auto"/>
      </w:pPr>
      <w:r>
        <w:t>Assessment</w:t>
      </w:r>
    </w:p>
    <w:p w14:paraId="05FF7455" w14:textId="5072A119" w:rsidR="00280E6D" w:rsidRDefault="00280E6D" w:rsidP="00456F77">
      <w:pPr>
        <w:spacing w:line="240" w:lineRule="auto"/>
      </w:pPr>
      <w:r>
        <w:rPr>
          <w:noProof/>
        </w:rPr>
        <w:drawing>
          <wp:inline distT="0" distB="0" distL="0" distR="0" wp14:anchorId="3442133C" wp14:editId="5F5B0CBA">
            <wp:extent cx="5486400" cy="27597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B2BE0" w14:textId="44144348" w:rsidR="005D3649" w:rsidRDefault="005D3649" w:rsidP="00456F77">
      <w:pPr>
        <w:spacing w:line="240" w:lineRule="auto"/>
      </w:pPr>
      <w:r>
        <w:t>Rosenberg’s Self Esteem Scale</w:t>
      </w:r>
    </w:p>
    <w:p w14:paraId="58660509" w14:textId="5F5ABBD6" w:rsidR="005D3649" w:rsidRDefault="00456F77" w:rsidP="00F776F4">
      <w:pPr>
        <w:spacing w:line="240" w:lineRule="auto"/>
        <w:ind w:firstLine="720"/>
      </w:pPr>
      <w:r>
        <w:t xml:space="preserve">Self esteem will be assessed using the RSE scale which consists of 10 Likert-type items. Items are anchored between strongly disagree and strongly agree using a 4-point scaling system. There is no middle point. </w:t>
      </w:r>
      <w:r w:rsidR="006D38A2">
        <w:t xml:space="preserve">Five items are positively worded and five negatively worded. </w:t>
      </w:r>
    </w:p>
    <w:p w14:paraId="36E4DAE2" w14:textId="149AE28C" w:rsidR="006D38A2" w:rsidRDefault="006D38A2" w:rsidP="00456F77">
      <w:pPr>
        <w:spacing w:line="240" w:lineRule="auto"/>
      </w:pPr>
      <w:r>
        <w:tab/>
        <w:t xml:space="preserve">Reliability will be assessed using several means. First, test-retest reliability will be evaluated using a 5-day interval. This process will be followed by 10-15% of the participants. </w:t>
      </w:r>
      <w:r w:rsidR="007B5BB6">
        <w:t xml:space="preserve">Evidence on reliable measurement will be in rates of agreement between pre-post measures equal to 80%. However, this 80% should not reflect exact agreement but allowed variability would be in the range +-0.20. Internal consistency reliability will be assessed using Cronbach’s alpha. Acceptable values are in the range of .75 and above. </w:t>
      </w:r>
      <w:r w:rsidR="00D47BC0">
        <w:t xml:space="preserve">Furthermore, split-half reliability will be assessed using Guttman’s coefficient in which acceptable values are in the range of .65 and greater. </w:t>
      </w:r>
      <w:r w:rsidR="00F90ED0">
        <w:t>Interrater reliability will be assessed using Cohen’s kappa statistic in which acceptable values are in the range of .5 and greater.</w:t>
      </w:r>
    </w:p>
    <w:p w14:paraId="3E088FC6" w14:textId="6BF19E86" w:rsidR="00C03AF9" w:rsidRDefault="00C03AF9" w:rsidP="00456F77">
      <w:pPr>
        <w:spacing w:line="240" w:lineRule="auto"/>
      </w:pPr>
      <w:r>
        <w:tab/>
        <w:t>Construct validity will be assessed using factor analysis. Convergent validity will be assessed by correlating self-esteem with self-image. Evidence on convergent validity will be provided with correlation coefficients that are both statistically different from zero and in excess of .5 (where .5 is a large correlation based on Cohen, 1992). Discriminant validity will be assessed using the known-groups approach.</w:t>
      </w:r>
      <w:r w:rsidR="00FF56B4">
        <w:t xml:space="preserve"> Specifically, low and high achievers will be contrasted on their levels of academic self-esteem. Low and high achievement will be determined using a mean/median split (or 25</w:t>
      </w:r>
      <w:r w:rsidR="00FF56B4" w:rsidRPr="00FF56B4">
        <w:rPr>
          <w:vertAlign w:val="superscript"/>
        </w:rPr>
        <w:t>th</w:t>
      </w:r>
      <w:r w:rsidR="00FF56B4">
        <w:t xml:space="preserve"> vs 75</w:t>
      </w:r>
      <w:r w:rsidR="00FF56B4" w:rsidRPr="00FF56B4">
        <w:rPr>
          <w:vertAlign w:val="superscript"/>
        </w:rPr>
        <w:t>th</w:t>
      </w:r>
      <w:r w:rsidR="00FF56B4">
        <w:t xml:space="preserve"> percentile).</w:t>
      </w:r>
    </w:p>
    <w:p w14:paraId="00302B8C" w14:textId="77777777" w:rsidR="00C03AF9" w:rsidRDefault="00C03AF9" w:rsidP="00456F77">
      <w:pPr>
        <w:spacing w:line="240" w:lineRule="auto"/>
      </w:pPr>
    </w:p>
    <w:p w14:paraId="7CBFC770" w14:textId="77777777" w:rsidR="00C03AF9" w:rsidRDefault="00C03AF9" w:rsidP="00456F77">
      <w:pPr>
        <w:spacing w:line="240" w:lineRule="auto"/>
      </w:pPr>
      <w:r>
        <w:t>References</w:t>
      </w:r>
    </w:p>
    <w:p w14:paraId="14F1C052" w14:textId="18148E23" w:rsidR="00C03AF9" w:rsidRDefault="00C03AF9" w:rsidP="00456F77">
      <w:pPr>
        <w:spacing w:line="240" w:lineRule="auto"/>
      </w:pPr>
      <w:r>
        <w:t xml:space="preserve">Cohen, J. (1992). A power primer. Psychological Bulletin, 112, 155-159. </w:t>
      </w:r>
    </w:p>
    <w:sectPr w:rsidR="00C03A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A9E"/>
    <w:rsid w:val="000B0087"/>
    <w:rsid w:val="00280E6D"/>
    <w:rsid w:val="00456F77"/>
    <w:rsid w:val="005D3649"/>
    <w:rsid w:val="006D38A2"/>
    <w:rsid w:val="007B5BB6"/>
    <w:rsid w:val="009B6A9E"/>
    <w:rsid w:val="00C03AF9"/>
    <w:rsid w:val="00D47BC0"/>
    <w:rsid w:val="00F776F4"/>
    <w:rsid w:val="00F90ED0"/>
    <w:rsid w:val="00F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F53E7"/>
  <w15:chartTrackingRefBased/>
  <w15:docId w15:val="{F2839C2F-6187-4944-88E3-598012D4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Sideridis</dc:creator>
  <cp:keywords/>
  <dc:description/>
  <cp:lastModifiedBy>Georgios Sideridis</cp:lastModifiedBy>
  <cp:revision>10</cp:revision>
  <dcterms:created xsi:type="dcterms:W3CDTF">2021-01-22T17:26:00Z</dcterms:created>
  <dcterms:modified xsi:type="dcterms:W3CDTF">2021-01-22T19:01:00Z</dcterms:modified>
</cp:coreProperties>
</file>