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F1" w:rsidRPr="001317F1" w:rsidRDefault="001317F1" w:rsidP="001317F1">
      <w:pPr>
        <w:rPr>
          <w:rFonts w:asciiTheme="majorHAnsi" w:hAnsiTheme="majorHAnsi" w:cstheme="majorHAnsi"/>
        </w:rPr>
      </w:pPr>
      <w:r w:rsidRPr="001317F1">
        <w:rPr>
          <w:rFonts w:asciiTheme="majorHAnsi" w:hAnsiTheme="majorHAnsi" w:cstheme="majorHAnsi"/>
        </w:rPr>
        <w:t>ΑΠΟΦΑΣΗ ΤΟΥ ΔΙΚΑΣΤΗΡΙΟΥ (τμήμα μείζονος συνθέσεως)</w:t>
      </w:r>
    </w:p>
    <w:p w:rsidR="001317F1" w:rsidRPr="001317F1" w:rsidRDefault="000A7936" w:rsidP="001317F1">
      <w:pPr>
        <w:rPr>
          <w:rFonts w:asciiTheme="majorHAnsi" w:hAnsiTheme="majorHAnsi" w:cstheme="majorHAnsi"/>
        </w:rPr>
      </w:pPr>
      <w:r>
        <w:rPr>
          <w:rFonts w:asciiTheme="majorHAnsi" w:hAnsiTheme="majorHAnsi" w:cstheme="majorHAnsi"/>
        </w:rPr>
        <w:t>της 20ής Σεπτεμβρίου 2016 (απόσπασμα)</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«Αίτηση αναιρέσεως – Πρόγραμμα στηρίξεως σταθερότητας της Κυπριακής Δημοκρατίας – Μνημόνιο κατανόησης της 26ης Απριλίου 2013 για τους ειδικούς όρους οικονομικής πολιτικής που </w:t>
      </w:r>
      <w:proofErr w:type="spellStart"/>
      <w:r w:rsidRPr="001317F1">
        <w:rPr>
          <w:rFonts w:asciiTheme="majorHAnsi" w:hAnsiTheme="majorHAnsi" w:cstheme="majorHAnsi"/>
        </w:rPr>
        <w:t>συνήφθη</w:t>
      </w:r>
      <w:proofErr w:type="spellEnd"/>
      <w:r w:rsidRPr="001317F1">
        <w:rPr>
          <w:rFonts w:asciiTheme="majorHAnsi" w:hAnsiTheme="majorHAnsi" w:cstheme="majorHAnsi"/>
        </w:rPr>
        <w:t xml:space="preserve"> μεταξύ της Κυπριακής Δημοκρατίας και του Ευρωπαϊκού Μηχανισμού Σταθερότητας – Καθήκοντα της Ευρωπαϊκής Επιτροπής και της Ευρωπαϊκής Κεντρικής Τράπεζας – Εξωσυμβατική ευθύνη της Ευρωπαϊκής Ένωσης – Άρθρο 340, δεύτερο εδάφιο, ΣΛΕΕ – Προϋποθέσεις – Υποχρέωση διασφαλίσεως της συμβατότητας του εν λόγω μνημονίου κατανόησης με το δίκαιο της Ένωσης»</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Στις </w:t>
      </w:r>
      <w:proofErr w:type="spellStart"/>
      <w:r w:rsidRPr="001317F1">
        <w:rPr>
          <w:rFonts w:asciiTheme="majorHAnsi" w:hAnsiTheme="majorHAnsi" w:cstheme="majorHAnsi"/>
        </w:rPr>
        <w:t>συνεκδικαζόμενες</w:t>
      </w:r>
      <w:proofErr w:type="spellEnd"/>
      <w:r w:rsidRPr="001317F1">
        <w:rPr>
          <w:rFonts w:asciiTheme="majorHAnsi" w:hAnsiTheme="majorHAnsi" w:cstheme="majorHAnsi"/>
        </w:rPr>
        <w:t xml:space="preserve"> υποθέσεις C</w:t>
      </w:r>
      <w:r w:rsidRPr="001317F1">
        <w:rPr>
          <w:rFonts w:ascii="Cambria Math" w:hAnsi="Cambria Math" w:cs="Cambria Math"/>
        </w:rPr>
        <w:t>‑</w:t>
      </w:r>
      <w:r w:rsidRPr="001317F1">
        <w:rPr>
          <w:rFonts w:asciiTheme="majorHAnsi" w:hAnsiTheme="majorHAnsi" w:cstheme="majorHAnsi"/>
        </w:rPr>
        <w:t xml:space="preserve">8/15 P </w:t>
      </w:r>
      <w:r w:rsidRPr="001317F1">
        <w:rPr>
          <w:rFonts w:ascii="Calibri Light" w:hAnsi="Calibri Light" w:cs="Calibri Light"/>
        </w:rPr>
        <w:t>έως</w:t>
      </w:r>
      <w:r w:rsidRPr="001317F1">
        <w:rPr>
          <w:rFonts w:asciiTheme="majorHAnsi" w:hAnsiTheme="majorHAnsi" w:cstheme="majorHAnsi"/>
        </w:rPr>
        <w:t xml:space="preserve"> C</w:t>
      </w:r>
      <w:r w:rsidRPr="001317F1">
        <w:rPr>
          <w:rFonts w:ascii="Cambria Math" w:hAnsi="Cambria Math" w:cs="Cambria Math"/>
        </w:rPr>
        <w:t>‑</w:t>
      </w:r>
      <w:r w:rsidRPr="001317F1">
        <w:rPr>
          <w:rFonts w:asciiTheme="majorHAnsi" w:hAnsiTheme="majorHAnsi" w:cstheme="majorHAnsi"/>
        </w:rPr>
        <w:t>10/15 P,</w:t>
      </w:r>
    </w:p>
    <w:p w:rsidR="001317F1" w:rsidRPr="001317F1" w:rsidRDefault="001317F1" w:rsidP="001317F1">
      <w:pPr>
        <w:rPr>
          <w:rFonts w:asciiTheme="majorHAnsi" w:hAnsiTheme="majorHAnsi" w:cstheme="majorHAnsi"/>
        </w:rPr>
      </w:pPr>
      <w:r w:rsidRPr="001317F1">
        <w:rPr>
          <w:rFonts w:asciiTheme="majorHAnsi" w:hAnsiTheme="majorHAnsi" w:cstheme="majorHAnsi"/>
        </w:rPr>
        <w:t>με αντικείμενο τρεις αιτήσεις αναιρέσεως δυνάμει του άρθρου 56 του Οργανισμού του Δικαστηρίου της Ευρωπαϊκής Ένωσης, που ασκήθηκαν στις 9 Ιανουαρίου 2015,</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Ledra </w:t>
      </w:r>
      <w:proofErr w:type="spellStart"/>
      <w:r w:rsidRPr="001317F1">
        <w:rPr>
          <w:rFonts w:asciiTheme="majorHAnsi" w:hAnsiTheme="majorHAnsi" w:cstheme="majorHAnsi"/>
        </w:rPr>
        <w:t>Advertising</w:t>
      </w:r>
      <w:proofErr w:type="spellEnd"/>
      <w:r w:rsidRPr="001317F1">
        <w:rPr>
          <w:rFonts w:asciiTheme="majorHAnsi" w:hAnsiTheme="majorHAnsi" w:cstheme="majorHAnsi"/>
        </w:rPr>
        <w:t xml:space="preserve"> </w:t>
      </w:r>
      <w:proofErr w:type="spellStart"/>
      <w:r w:rsidRPr="001317F1">
        <w:rPr>
          <w:rFonts w:asciiTheme="majorHAnsi" w:hAnsiTheme="majorHAnsi" w:cstheme="majorHAnsi"/>
        </w:rPr>
        <w:t>Ltd</w:t>
      </w:r>
      <w:proofErr w:type="spellEnd"/>
      <w:r w:rsidRPr="001317F1">
        <w:rPr>
          <w:rFonts w:asciiTheme="majorHAnsi" w:hAnsiTheme="majorHAnsi" w:cstheme="majorHAnsi"/>
        </w:rPr>
        <w:t>, με έδρα τη Λευκωσία (Κύπρος) (C-8/15 P),</w:t>
      </w:r>
      <w:r w:rsidR="000A7936">
        <w:rPr>
          <w:rFonts w:asciiTheme="majorHAnsi" w:hAnsiTheme="majorHAnsi" w:cstheme="majorHAnsi"/>
        </w:rPr>
        <w:t xml:space="preserve"> κ.ά.,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w:t>
      </w:r>
    </w:p>
    <w:p w:rsidR="001317F1" w:rsidRPr="001317F1" w:rsidRDefault="001317F1" w:rsidP="001317F1">
      <w:pPr>
        <w:rPr>
          <w:rFonts w:asciiTheme="majorHAnsi" w:hAnsiTheme="majorHAnsi" w:cstheme="majorHAnsi"/>
        </w:rPr>
      </w:pPr>
      <w:r w:rsidRPr="001317F1">
        <w:rPr>
          <w:rFonts w:asciiTheme="majorHAnsi" w:hAnsiTheme="majorHAnsi" w:cstheme="majorHAnsi"/>
        </w:rPr>
        <w:t>όπου οι λοιποί διάδικοι είναι οι:</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Ευρωπαϊκή Επιτροπή, εκπροσωπούμενη από τους J.-P. </w:t>
      </w:r>
      <w:proofErr w:type="spellStart"/>
      <w:r w:rsidRPr="001317F1">
        <w:rPr>
          <w:rFonts w:asciiTheme="majorHAnsi" w:hAnsiTheme="majorHAnsi" w:cstheme="majorHAnsi"/>
        </w:rPr>
        <w:t>Keppenne</w:t>
      </w:r>
      <w:proofErr w:type="spellEnd"/>
      <w:r w:rsidRPr="001317F1">
        <w:rPr>
          <w:rFonts w:asciiTheme="majorHAnsi" w:hAnsiTheme="majorHAnsi" w:cstheme="majorHAnsi"/>
        </w:rPr>
        <w:t xml:space="preserve"> και Μ. Κωνσταντινίδη, με τόπο επιδόσεων στο Λουξεμβούργο,</w:t>
      </w:r>
      <w:r w:rsidR="000A7936">
        <w:rPr>
          <w:rFonts w:asciiTheme="majorHAnsi" w:hAnsiTheme="majorHAnsi" w:cstheme="majorHAnsi"/>
        </w:rPr>
        <w:t xml:space="preserve"> </w:t>
      </w:r>
      <w:r w:rsidRPr="001317F1">
        <w:rPr>
          <w:rFonts w:asciiTheme="majorHAnsi" w:hAnsiTheme="majorHAnsi" w:cstheme="majorHAnsi"/>
        </w:rPr>
        <w:t>και</w:t>
      </w:r>
      <w:r w:rsidR="000A7936">
        <w:rPr>
          <w:rFonts w:asciiTheme="majorHAnsi" w:hAnsiTheme="majorHAnsi" w:cstheme="majorHAnsi"/>
        </w:rPr>
        <w:t xml:space="preserve"> </w:t>
      </w:r>
      <w:r w:rsidRPr="001317F1">
        <w:rPr>
          <w:rFonts w:asciiTheme="majorHAnsi" w:hAnsiTheme="majorHAnsi" w:cstheme="majorHAnsi"/>
        </w:rPr>
        <w:t xml:space="preserve">Ευρωπαϊκή Κεντρική Τράπεζα (ΕΚΤ), εκπροσωπούμενη από τους K. </w:t>
      </w:r>
      <w:proofErr w:type="spellStart"/>
      <w:r w:rsidRPr="001317F1">
        <w:rPr>
          <w:rFonts w:asciiTheme="majorHAnsi" w:hAnsiTheme="majorHAnsi" w:cstheme="majorHAnsi"/>
        </w:rPr>
        <w:t>Laurinavičius</w:t>
      </w:r>
      <w:proofErr w:type="spellEnd"/>
      <w:r w:rsidRPr="001317F1">
        <w:rPr>
          <w:rFonts w:asciiTheme="majorHAnsi" w:hAnsiTheme="majorHAnsi" w:cstheme="majorHAnsi"/>
        </w:rPr>
        <w:t xml:space="preserve"> και O. </w:t>
      </w:r>
      <w:proofErr w:type="spellStart"/>
      <w:r w:rsidRPr="001317F1">
        <w:rPr>
          <w:rFonts w:asciiTheme="majorHAnsi" w:hAnsiTheme="majorHAnsi" w:cstheme="majorHAnsi"/>
        </w:rPr>
        <w:t>Heinz</w:t>
      </w:r>
      <w:proofErr w:type="spellEnd"/>
      <w:r w:rsidRPr="001317F1">
        <w:rPr>
          <w:rFonts w:asciiTheme="majorHAnsi" w:hAnsiTheme="majorHAnsi" w:cstheme="majorHAnsi"/>
        </w:rPr>
        <w:t xml:space="preserve">, επικουρούμενους από τον H.-G. </w:t>
      </w:r>
      <w:proofErr w:type="spellStart"/>
      <w:r w:rsidRPr="001317F1">
        <w:rPr>
          <w:rFonts w:asciiTheme="majorHAnsi" w:hAnsiTheme="majorHAnsi" w:cstheme="majorHAnsi"/>
        </w:rPr>
        <w:t>Kamann</w:t>
      </w:r>
      <w:proofErr w:type="spellEnd"/>
      <w:r w:rsidRPr="001317F1">
        <w:rPr>
          <w:rFonts w:asciiTheme="majorHAnsi" w:hAnsiTheme="majorHAnsi" w:cstheme="majorHAnsi"/>
        </w:rPr>
        <w:t xml:space="preserve">, </w:t>
      </w:r>
      <w:proofErr w:type="spellStart"/>
      <w:r w:rsidRPr="001317F1">
        <w:rPr>
          <w:rFonts w:asciiTheme="majorHAnsi" w:hAnsiTheme="majorHAnsi" w:cstheme="majorHAnsi"/>
        </w:rPr>
        <w:t>Rechtsanwalt</w:t>
      </w:r>
      <w:proofErr w:type="spellEnd"/>
      <w:r w:rsidRPr="001317F1">
        <w:rPr>
          <w:rFonts w:asciiTheme="majorHAnsi" w:hAnsiTheme="majorHAnsi" w:cstheme="majorHAnsi"/>
        </w:rPr>
        <w:t>,</w:t>
      </w:r>
      <w:r w:rsidR="000A7936">
        <w:rPr>
          <w:rFonts w:asciiTheme="majorHAnsi" w:hAnsiTheme="majorHAnsi" w:cstheme="majorHAnsi"/>
        </w:rPr>
        <w:t xml:space="preserve"> </w:t>
      </w:r>
      <w:proofErr w:type="spellStart"/>
      <w:r w:rsidR="000A7936">
        <w:rPr>
          <w:rFonts w:asciiTheme="majorHAnsi" w:hAnsiTheme="majorHAnsi" w:cstheme="majorHAnsi"/>
        </w:rPr>
        <w:t>κ</w:t>
      </w:r>
      <w:r w:rsidRPr="001317F1">
        <w:rPr>
          <w:rFonts w:asciiTheme="majorHAnsi" w:hAnsiTheme="majorHAnsi" w:cstheme="majorHAnsi"/>
        </w:rPr>
        <w:t>αθών</w:t>
      </w:r>
      <w:proofErr w:type="spellEnd"/>
      <w:r w:rsidRPr="001317F1">
        <w:rPr>
          <w:rFonts w:asciiTheme="majorHAnsi" w:hAnsiTheme="majorHAnsi" w:cstheme="majorHAnsi"/>
        </w:rPr>
        <w:t xml:space="preserve"> πρωτοδίκως,</w:t>
      </w:r>
    </w:p>
    <w:p w:rsidR="001317F1" w:rsidRPr="001317F1" w:rsidRDefault="001317F1" w:rsidP="001317F1">
      <w:pPr>
        <w:rPr>
          <w:rFonts w:asciiTheme="majorHAnsi" w:hAnsiTheme="majorHAnsi" w:cstheme="majorHAnsi"/>
        </w:rPr>
      </w:pPr>
    </w:p>
    <w:p w:rsidR="001317F1" w:rsidRPr="001317F1" w:rsidRDefault="001317F1" w:rsidP="000A7936">
      <w:pPr>
        <w:jc w:val="center"/>
        <w:rPr>
          <w:rFonts w:asciiTheme="majorHAnsi" w:hAnsiTheme="majorHAnsi" w:cstheme="majorHAnsi"/>
        </w:rPr>
      </w:pPr>
      <w:r w:rsidRPr="001317F1">
        <w:rPr>
          <w:rFonts w:asciiTheme="majorHAnsi" w:hAnsiTheme="majorHAnsi" w:cstheme="majorHAnsi"/>
        </w:rPr>
        <w:t>ΤΟ ΔΙΚΑΣΤΗΡΙΟ (τμήμα μείζονος συνθέσεως),</w:t>
      </w:r>
    </w:p>
    <w:p w:rsidR="001317F1" w:rsidRPr="001317F1" w:rsidRDefault="001317F1" w:rsidP="001317F1">
      <w:pPr>
        <w:rPr>
          <w:rFonts w:asciiTheme="majorHAnsi" w:hAnsiTheme="majorHAnsi" w:cstheme="majorHAnsi"/>
        </w:rPr>
      </w:pPr>
    </w:p>
    <w:p w:rsidR="001317F1" w:rsidRPr="001317F1" w:rsidRDefault="000A7936" w:rsidP="001317F1">
      <w:pPr>
        <w:rPr>
          <w:rFonts w:asciiTheme="majorHAnsi" w:hAnsiTheme="majorHAnsi" w:cstheme="majorHAnsi"/>
        </w:rPr>
      </w:pPr>
      <w:r>
        <w:rPr>
          <w:rFonts w:asciiTheme="majorHAnsi" w:hAnsiTheme="majorHAnsi" w:cstheme="majorHAnsi"/>
        </w:rPr>
        <w:t>[…]</w:t>
      </w:r>
      <w:r w:rsidR="001317F1" w:rsidRPr="001317F1">
        <w:rPr>
          <w:rFonts w:asciiTheme="majorHAnsi" w:hAnsiTheme="majorHAnsi" w:cstheme="majorHAnsi"/>
        </w:rPr>
        <w:t>αφού άκουσε τον γενικό εισαγγελέα που ανέπτυξε τις προτάσεις του κατά τη συνεδρίαση της 21ης Απριλίου 2016,</w:t>
      </w:r>
    </w:p>
    <w:p w:rsidR="001317F1" w:rsidRPr="001317F1" w:rsidRDefault="001317F1" w:rsidP="000A7936">
      <w:pPr>
        <w:jc w:val="center"/>
        <w:rPr>
          <w:rFonts w:asciiTheme="majorHAnsi" w:hAnsiTheme="majorHAnsi" w:cstheme="majorHAnsi"/>
        </w:rPr>
      </w:pPr>
      <w:r w:rsidRPr="001317F1">
        <w:rPr>
          <w:rFonts w:asciiTheme="majorHAnsi" w:hAnsiTheme="majorHAnsi" w:cstheme="majorHAnsi"/>
        </w:rPr>
        <w:t>εκδίδει την ακόλουθη</w:t>
      </w:r>
    </w:p>
    <w:p w:rsidR="001317F1" w:rsidRPr="001317F1" w:rsidRDefault="001317F1" w:rsidP="000A7936">
      <w:pPr>
        <w:jc w:val="center"/>
        <w:rPr>
          <w:rFonts w:asciiTheme="majorHAnsi" w:hAnsiTheme="majorHAnsi" w:cstheme="majorHAnsi"/>
        </w:rPr>
      </w:pPr>
      <w:r w:rsidRPr="001317F1">
        <w:rPr>
          <w:rFonts w:asciiTheme="majorHAnsi" w:hAnsiTheme="majorHAnsi" w:cstheme="majorHAnsi"/>
        </w:rPr>
        <w:t>Απόφαση</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1        Με τις αιτήσεις τους αναιρέσεως, η Ledra </w:t>
      </w:r>
      <w:proofErr w:type="spellStart"/>
      <w:r w:rsidRPr="001317F1">
        <w:rPr>
          <w:rFonts w:asciiTheme="majorHAnsi" w:hAnsiTheme="majorHAnsi" w:cstheme="majorHAnsi"/>
        </w:rPr>
        <w:t>Advertising</w:t>
      </w:r>
      <w:proofErr w:type="spellEnd"/>
      <w:r w:rsidRPr="001317F1">
        <w:rPr>
          <w:rFonts w:asciiTheme="majorHAnsi" w:hAnsiTheme="majorHAnsi" w:cstheme="majorHAnsi"/>
        </w:rPr>
        <w:t xml:space="preserve"> </w:t>
      </w:r>
      <w:proofErr w:type="spellStart"/>
      <w:r w:rsidRPr="001317F1">
        <w:rPr>
          <w:rFonts w:asciiTheme="majorHAnsi" w:hAnsiTheme="majorHAnsi" w:cstheme="majorHAnsi"/>
        </w:rPr>
        <w:t>Ltd</w:t>
      </w:r>
      <w:proofErr w:type="spellEnd"/>
      <w:r w:rsidRPr="001317F1">
        <w:rPr>
          <w:rFonts w:asciiTheme="majorHAnsi" w:hAnsiTheme="majorHAnsi" w:cstheme="majorHAnsi"/>
        </w:rPr>
        <w:t xml:space="preserve"> στην υπόθεση C</w:t>
      </w:r>
      <w:r w:rsidRPr="001317F1">
        <w:rPr>
          <w:rFonts w:ascii="Cambria Math" w:hAnsi="Cambria Math" w:cs="Cambria Math"/>
        </w:rPr>
        <w:t>‑</w:t>
      </w:r>
      <w:r w:rsidRPr="001317F1">
        <w:rPr>
          <w:rFonts w:asciiTheme="majorHAnsi" w:hAnsiTheme="majorHAnsi" w:cstheme="majorHAnsi"/>
        </w:rPr>
        <w:t xml:space="preserve">8/15 P, ο Ανδρέας Ελευθερίου και οι Ελένη Ελευθερίου και </w:t>
      </w:r>
      <w:proofErr w:type="spellStart"/>
      <w:r w:rsidRPr="001317F1">
        <w:rPr>
          <w:rFonts w:asciiTheme="majorHAnsi" w:hAnsiTheme="majorHAnsi" w:cstheme="majorHAnsi"/>
        </w:rPr>
        <w:t>Λίλια</w:t>
      </w:r>
      <w:proofErr w:type="spellEnd"/>
      <w:r w:rsidRPr="001317F1">
        <w:rPr>
          <w:rFonts w:asciiTheme="majorHAnsi" w:hAnsiTheme="majorHAnsi" w:cstheme="majorHAnsi"/>
        </w:rPr>
        <w:t xml:space="preserve"> </w:t>
      </w:r>
      <w:proofErr w:type="spellStart"/>
      <w:r w:rsidRPr="001317F1">
        <w:rPr>
          <w:rFonts w:asciiTheme="majorHAnsi" w:hAnsiTheme="majorHAnsi" w:cstheme="majorHAnsi"/>
        </w:rPr>
        <w:t>Παπαχριστοφή</w:t>
      </w:r>
      <w:proofErr w:type="spellEnd"/>
      <w:r w:rsidRPr="001317F1">
        <w:rPr>
          <w:rFonts w:asciiTheme="majorHAnsi" w:hAnsiTheme="majorHAnsi" w:cstheme="majorHAnsi"/>
        </w:rPr>
        <w:t xml:space="preserve"> στην υπόθεση C-9/15 P, καθώς και ο Χρίστος Θεοφίλου και η Ελένη Θεοφίλου στην υπόθεση C-10/15 P, ζητούν, αντιστοίχως, την αναίρεση των διατάξεων του Γενικού Δικαστηρίου της Ευρωπαϊκής Ένωσης της 10ης Νοεμβρίου 2014, Ledra </w:t>
      </w:r>
      <w:proofErr w:type="spellStart"/>
      <w:r w:rsidRPr="001317F1">
        <w:rPr>
          <w:rFonts w:asciiTheme="majorHAnsi" w:hAnsiTheme="majorHAnsi" w:cstheme="majorHAnsi"/>
        </w:rPr>
        <w:t>Advertising</w:t>
      </w:r>
      <w:proofErr w:type="spellEnd"/>
      <w:r w:rsidRPr="001317F1">
        <w:rPr>
          <w:rFonts w:asciiTheme="majorHAnsi" w:hAnsiTheme="majorHAnsi" w:cstheme="majorHAnsi"/>
        </w:rPr>
        <w:t xml:space="preserve"> κατά Επιτροπής και ΕΚΤ (T</w:t>
      </w:r>
      <w:r w:rsidRPr="001317F1">
        <w:rPr>
          <w:rFonts w:ascii="Cambria Math" w:hAnsi="Cambria Math" w:cs="Cambria Math"/>
        </w:rPr>
        <w:t>‑</w:t>
      </w:r>
      <w:r w:rsidRPr="001317F1">
        <w:rPr>
          <w:rFonts w:asciiTheme="majorHAnsi" w:hAnsiTheme="majorHAnsi" w:cstheme="majorHAnsi"/>
        </w:rPr>
        <w:t xml:space="preserve">289/13, EU:T:2014:981), </w:t>
      </w:r>
      <w:r w:rsidRPr="001317F1">
        <w:rPr>
          <w:rFonts w:ascii="Calibri Light" w:hAnsi="Calibri Light" w:cs="Calibri Light"/>
        </w:rPr>
        <w:t>της</w:t>
      </w:r>
      <w:r w:rsidRPr="001317F1">
        <w:rPr>
          <w:rFonts w:asciiTheme="majorHAnsi" w:hAnsiTheme="majorHAnsi" w:cstheme="majorHAnsi"/>
        </w:rPr>
        <w:t xml:space="preserve"> 10</w:t>
      </w:r>
      <w:r w:rsidRPr="001317F1">
        <w:rPr>
          <w:rFonts w:ascii="Calibri Light" w:hAnsi="Calibri Light" w:cs="Calibri Light"/>
        </w:rPr>
        <w:t>ης</w:t>
      </w:r>
      <w:r w:rsidRPr="001317F1">
        <w:rPr>
          <w:rFonts w:asciiTheme="majorHAnsi" w:hAnsiTheme="majorHAnsi" w:cstheme="majorHAnsi"/>
        </w:rPr>
        <w:t xml:space="preserve"> </w:t>
      </w:r>
      <w:r w:rsidRPr="001317F1">
        <w:rPr>
          <w:rFonts w:ascii="Calibri Light" w:hAnsi="Calibri Light" w:cs="Calibri Light"/>
        </w:rPr>
        <w:t>Νοεμβρίου</w:t>
      </w:r>
      <w:r w:rsidRPr="001317F1">
        <w:rPr>
          <w:rFonts w:asciiTheme="majorHAnsi" w:hAnsiTheme="majorHAnsi" w:cstheme="majorHAnsi"/>
        </w:rPr>
        <w:t xml:space="preserve"> 2014, </w:t>
      </w:r>
      <w:r w:rsidRPr="001317F1">
        <w:rPr>
          <w:rFonts w:ascii="Calibri Light" w:hAnsi="Calibri Light" w:cs="Calibri Light"/>
        </w:rPr>
        <w:t>Ελευθερίου</w:t>
      </w:r>
      <w:r w:rsidRPr="001317F1">
        <w:rPr>
          <w:rFonts w:asciiTheme="majorHAnsi" w:hAnsiTheme="majorHAnsi" w:cstheme="majorHAnsi"/>
        </w:rPr>
        <w:t xml:space="preserve"> </w:t>
      </w:r>
      <w:r w:rsidRPr="001317F1">
        <w:rPr>
          <w:rFonts w:ascii="Calibri Light" w:hAnsi="Calibri Light" w:cs="Calibri Light"/>
        </w:rPr>
        <w:t>και</w:t>
      </w:r>
      <w:r w:rsidRPr="001317F1">
        <w:rPr>
          <w:rFonts w:asciiTheme="majorHAnsi" w:hAnsiTheme="majorHAnsi" w:cstheme="majorHAnsi"/>
        </w:rPr>
        <w:t xml:space="preserve"> </w:t>
      </w:r>
      <w:proofErr w:type="spellStart"/>
      <w:r w:rsidRPr="001317F1">
        <w:rPr>
          <w:rFonts w:ascii="Calibri Light" w:hAnsi="Calibri Light" w:cs="Calibri Light"/>
        </w:rPr>
        <w:t>Παπαχριστοφή</w:t>
      </w:r>
      <w:proofErr w:type="spellEnd"/>
      <w:r w:rsidRPr="001317F1">
        <w:rPr>
          <w:rFonts w:asciiTheme="majorHAnsi" w:hAnsiTheme="majorHAnsi" w:cstheme="majorHAnsi"/>
        </w:rPr>
        <w:t xml:space="preserve"> </w:t>
      </w:r>
      <w:r w:rsidRPr="001317F1">
        <w:rPr>
          <w:rFonts w:ascii="Calibri Light" w:hAnsi="Calibri Light" w:cs="Calibri Light"/>
        </w:rPr>
        <w:t>κατά</w:t>
      </w:r>
      <w:r w:rsidRPr="001317F1">
        <w:rPr>
          <w:rFonts w:asciiTheme="majorHAnsi" w:hAnsiTheme="majorHAnsi" w:cstheme="majorHAnsi"/>
        </w:rPr>
        <w:t xml:space="preserve"> </w:t>
      </w:r>
      <w:r w:rsidRPr="001317F1">
        <w:rPr>
          <w:rFonts w:ascii="Calibri Light" w:hAnsi="Calibri Light" w:cs="Calibri Light"/>
        </w:rPr>
        <w:t>Επιτροπής</w:t>
      </w:r>
      <w:r w:rsidRPr="001317F1">
        <w:rPr>
          <w:rFonts w:asciiTheme="majorHAnsi" w:hAnsiTheme="majorHAnsi" w:cstheme="majorHAnsi"/>
        </w:rPr>
        <w:t xml:space="preserve"> </w:t>
      </w:r>
      <w:r w:rsidRPr="001317F1">
        <w:rPr>
          <w:rFonts w:ascii="Calibri Light" w:hAnsi="Calibri Light" w:cs="Calibri Light"/>
        </w:rPr>
        <w:t>και</w:t>
      </w:r>
      <w:r w:rsidRPr="001317F1">
        <w:rPr>
          <w:rFonts w:asciiTheme="majorHAnsi" w:hAnsiTheme="majorHAnsi" w:cstheme="majorHAnsi"/>
        </w:rPr>
        <w:t xml:space="preserve"> </w:t>
      </w:r>
      <w:r w:rsidRPr="001317F1">
        <w:rPr>
          <w:rFonts w:ascii="Calibri Light" w:hAnsi="Calibri Light" w:cs="Calibri Light"/>
        </w:rPr>
        <w:t>ΕΚΤ</w:t>
      </w:r>
      <w:r w:rsidRPr="001317F1">
        <w:rPr>
          <w:rFonts w:asciiTheme="majorHAnsi" w:hAnsiTheme="majorHAnsi" w:cstheme="majorHAnsi"/>
        </w:rPr>
        <w:t xml:space="preserve"> (T</w:t>
      </w:r>
      <w:r w:rsidRPr="001317F1">
        <w:rPr>
          <w:rFonts w:ascii="Cambria Math" w:hAnsi="Cambria Math" w:cs="Cambria Math"/>
        </w:rPr>
        <w:t>‑</w:t>
      </w:r>
      <w:r w:rsidRPr="001317F1">
        <w:rPr>
          <w:rFonts w:asciiTheme="majorHAnsi" w:hAnsiTheme="majorHAnsi" w:cstheme="majorHAnsi"/>
        </w:rPr>
        <w:t xml:space="preserve">291/13, </w:t>
      </w:r>
      <w:r w:rsidRPr="001317F1">
        <w:rPr>
          <w:rFonts w:ascii="Calibri Light" w:hAnsi="Calibri Light" w:cs="Calibri Light"/>
        </w:rPr>
        <w:t>μη</w:t>
      </w:r>
      <w:r w:rsidRPr="001317F1">
        <w:rPr>
          <w:rFonts w:asciiTheme="majorHAnsi" w:hAnsiTheme="majorHAnsi" w:cstheme="majorHAnsi"/>
        </w:rPr>
        <w:t xml:space="preserve"> </w:t>
      </w:r>
      <w:r w:rsidRPr="001317F1">
        <w:rPr>
          <w:rFonts w:ascii="Calibri Light" w:hAnsi="Calibri Light" w:cs="Calibri Light"/>
        </w:rPr>
        <w:t>δημοσιευθείσα</w:t>
      </w:r>
      <w:r w:rsidRPr="001317F1">
        <w:rPr>
          <w:rFonts w:asciiTheme="majorHAnsi" w:hAnsiTheme="majorHAnsi" w:cstheme="majorHAnsi"/>
        </w:rPr>
        <w:t xml:space="preserve">, EU:T:2014:978), </w:t>
      </w:r>
      <w:r w:rsidRPr="001317F1">
        <w:rPr>
          <w:rFonts w:ascii="Calibri Light" w:hAnsi="Calibri Light" w:cs="Calibri Light"/>
        </w:rPr>
        <w:t>και</w:t>
      </w:r>
      <w:r w:rsidRPr="001317F1">
        <w:rPr>
          <w:rFonts w:asciiTheme="majorHAnsi" w:hAnsiTheme="majorHAnsi" w:cstheme="majorHAnsi"/>
        </w:rPr>
        <w:t xml:space="preserve"> </w:t>
      </w:r>
      <w:r w:rsidRPr="001317F1">
        <w:rPr>
          <w:rFonts w:ascii="Calibri Light" w:hAnsi="Calibri Light" w:cs="Calibri Light"/>
        </w:rPr>
        <w:t>της</w:t>
      </w:r>
      <w:r w:rsidRPr="001317F1">
        <w:rPr>
          <w:rFonts w:asciiTheme="majorHAnsi" w:hAnsiTheme="majorHAnsi" w:cstheme="majorHAnsi"/>
        </w:rPr>
        <w:t xml:space="preserve"> 10</w:t>
      </w:r>
      <w:r w:rsidRPr="001317F1">
        <w:rPr>
          <w:rFonts w:ascii="Calibri Light" w:hAnsi="Calibri Light" w:cs="Calibri Light"/>
        </w:rPr>
        <w:t>ης</w:t>
      </w:r>
      <w:r w:rsidRPr="001317F1">
        <w:rPr>
          <w:rFonts w:asciiTheme="majorHAnsi" w:hAnsiTheme="majorHAnsi" w:cstheme="majorHAnsi"/>
        </w:rPr>
        <w:t xml:space="preserve"> </w:t>
      </w:r>
      <w:r w:rsidRPr="001317F1">
        <w:rPr>
          <w:rFonts w:ascii="Calibri Light" w:hAnsi="Calibri Light" w:cs="Calibri Light"/>
        </w:rPr>
        <w:t>Νοεμβρίου</w:t>
      </w:r>
      <w:r w:rsidRPr="001317F1">
        <w:rPr>
          <w:rFonts w:asciiTheme="majorHAnsi" w:hAnsiTheme="majorHAnsi" w:cstheme="majorHAnsi"/>
        </w:rPr>
        <w:t xml:space="preserve"> 2014, </w:t>
      </w:r>
      <w:r w:rsidRPr="001317F1">
        <w:rPr>
          <w:rFonts w:ascii="Calibri Light" w:hAnsi="Calibri Light" w:cs="Calibri Light"/>
        </w:rPr>
        <w:t>Θεοφίλο</w:t>
      </w:r>
      <w:r w:rsidRPr="001317F1">
        <w:rPr>
          <w:rFonts w:asciiTheme="majorHAnsi" w:hAnsiTheme="majorHAnsi" w:cstheme="majorHAnsi"/>
        </w:rPr>
        <w:t>υ κατά Επιτροπής και ΕΚΤ (T</w:t>
      </w:r>
      <w:r w:rsidRPr="001317F1">
        <w:rPr>
          <w:rFonts w:ascii="Cambria Math" w:hAnsi="Cambria Math" w:cs="Cambria Math"/>
        </w:rPr>
        <w:t>‑</w:t>
      </w:r>
      <w:r w:rsidRPr="001317F1">
        <w:rPr>
          <w:rFonts w:asciiTheme="majorHAnsi" w:hAnsiTheme="majorHAnsi" w:cstheme="majorHAnsi"/>
        </w:rPr>
        <w:t xml:space="preserve">293/13, </w:t>
      </w:r>
      <w:r w:rsidRPr="001317F1">
        <w:rPr>
          <w:rFonts w:ascii="Calibri Light" w:hAnsi="Calibri Light" w:cs="Calibri Light"/>
        </w:rPr>
        <w:t>μη</w:t>
      </w:r>
      <w:r w:rsidRPr="001317F1">
        <w:rPr>
          <w:rFonts w:asciiTheme="majorHAnsi" w:hAnsiTheme="majorHAnsi" w:cstheme="majorHAnsi"/>
        </w:rPr>
        <w:t xml:space="preserve"> </w:t>
      </w:r>
      <w:r w:rsidRPr="001317F1">
        <w:rPr>
          <w:rFonts w:ascii="Calibri Light" w:hAnsi="Calibri Light" w:cs="Calibri Light"/>
        </w:rPr>
        <w:t>δημοσιευθείσα</w:t>
      </w:r>
      <w:r w:rsidRPr="001317F1">
        <w:rPr>
          <w:rFonts w:asciiTheme="majorHAnsi" w:hAnsiTheme="majorHAnsi" w:cstheme="majorHAnsi"/>
        </w:rPr>
        <w:t>, EU:T:2014:979) (</w:t>
      </w:r>
      <w:r w:rsidRPr="001317F1">
        <w:rPr>
          <w:rFonts w:ascii="Calibri Light" w:hAnsi="Calibri Light" w:cs="Calibri Light"/>
        </w:rPr>
        <w:t>στο</w:t>
      </w:r>
      <w:r w:rsidRPr="001317F1">
        <w:rPr>
          <w:rFonts w:asciiTheme="majorHAnsi" w:hAnsiTheme="majorHAnsi" w:cstheme="majorHAnsi"/>
        </w:rPr>
        <w:t xml:space="preserve"> </w:t>
      </w:r>
      <w:r w:rsidRPr="001317F1">
        <w:rPr>
          <w:rFonts w:ascii="Calibri Light" w:hAnsi="Calibri Light" w:cs="Calibri Light"/>
        </w:rPr>
        <w:t>εξής</w:t>
      </w:r>
      <w:r w:rsidRPr="001317F1">
        <w:rPr>
          <w:rFonts w:asciiTheme="majorHAnsi" w:hAnsiTheme="majorHAnsi" w:cstheme="majorHAnsi"/>
        </w:rPr>
        <w:t xml:space="preserve">, </w:t>
      </w:r>
      <w:r w:rsidRPr="001317F1">
        <w:rPr>
          <w:rFonts w:ascii="Calibri Light" w:hAnsi="Calibri Light" w:cs="Calibri Light"/>
        </w:rPr>
        <w:t>από</w:t>
      </w:r>
      <w:r w:rsidRPr="001317F1">
        <w:rPr>
          <w:rFonts w:asciiTheme="majorHAnsi" w:hAnsiTheme="majorHAnsi" w:cstheme="majorHAnsi"/>
        </w:rPr>
        <w:t xml:space="preserve"> </w:t>
      </w:r>
      <w:r w:rsidRPr="001317F1">
        <w:rPr>
          <w:rFonts w:ascii="Calibri Light" w:hAnsi="Calibri Light" w:cs="Calibri Light"/>
        </w:rPr>
        <w:t>κοινού</w:t>
      </w:r>
      <w:r w:rsidRPr="001317F1">
        <w:rPr>
          <w:rFonts w:asciiTheme="majorHAnsi" w:hAnsiTheme="majorHAnsi" w:cstheme="majorHAnsi"/>
        </w:rPr>
        <w:t xml:space="preserve">: </w:t>
      </w:r>
      <w:proofErr w:type="spellStart"/>
      <w:r w:rsidRPr="001317F1">
        <w:rPr>
          <w:rFonts w:ascii="Calibri Light" w:hAnsi="Calibri Light" w:cs="Calibri Light"/>
        </w:rPr>
        <w:t>αναιρεσιβαλλόμενες</w:t>
      </w:r>
      <w:proofErr w:type="spellEnd"/>
      <w:r w:rsidRPr="001317F1">
        <w:rPr>
          <w:rFonts w:asciiTheme="majorHAnsi" w:hAnsiTheme="majorHAnsi" w:cstheme="majorHAnsi"/>
        </w:rPr>
        <w:t xml:space="preserve"> </w:t>
      </w:r>
      <w:r w:rsidRPr="001317F1">
        <w:rPr>
          <w:rFonts w:ascii="Calibri Light" w:hAnsi="Calibri Light" w:cs="Calibri Light"/>
        </w:rPr>
        <w:t>διατάξεις</w:t>
      </w:r>
      <w:r w:rsidRPr="001317F1">
        <w:rPr>
          <w:rFonts w:asciiTheme="majorHAnsi" w:hAnsiTheme="majorHAnsi" w:cstheme="majorHAnsi"/>
        </w:rPr>
        <w:t xml:space="preserve">), </w:t>
      </w:r>
      <w:r w:rsidRPr="001317F1">
        <w:rPr>
          <w:rFonts w:ascii="Calibri Light" w:hAnsi="Calibri Light" w:cs="Calibri Light"/>
        </w:rPr>
        <w:t>με</w:t>
      </w:r>
      <w:r w:rsidRPr="001317F1">
        <w:rPr>
          <w:rFonts w:asciiTheme="majorHAnsi" w:hAnsiTheme="majorHAnsi" w:cstheme="majorHAnsi"/>
        </w:rPr>
        <w:t xml:space="preserve"> </w:t>
      </w:r>
      <w:r w:rsidRPr="001317F1">
        <w:rPr>
          <w:rFonts w:ascii="Calibri Light" w:hAnsi="Calibri Light" w:cs="Calibri Light"/>
        </w:rPr>
        <w:t>τις</w:t>
      </w:r>
      <w:r w:rsidRPr="001317F1">
        <w:rPr>
          <w:rFonts w:asciiTheme="majorHAnsi" w:hAnsiTheme="majorHAnsi" w:cstheme="majorHAnsi"/>
        </w:rPr>
        <w:t xml:space="preserve"> </w:t>
      </w:r>
      <w:r w:rsidRPr="001317F1">
        <w:rPr>
          <w:rFonts w:ascii="Calibri Light" w:hAnsi="Calibri Light" w:cs="Calibri Light"/>
        </w:rPr>
        <w:t>οποίες</w:t>
      </w:r>
      <w:r w:rsidRPr="001317F1">
        <w:rPr>
          <w:rFonts w:asciiTheme="majorHAnsi" w:hAnsiTheme="majorHAnsi" w:cstheme="majorHAnsi"/>
        </w:rPr>
        <w:t xml:space="preserve"> </w:t>
      </w:r>
      <w:r w:rsidRPr="001317F1">
        <w:rPr>
          <w:rFonts w:ascii="Calibri Light" w:hAnsi="Calibri Light" w:cs="Calibri Light"/>
        </w:rPr>
        <w:t>το</w:t>
      </w:r>
      <w:r w:rsidRPr="001317F1">
        <w:rPr>
          <w:rFonts w:asciiTheme="majorHAnsi" w:hAnsiTheme="majorHAnsi" w:cstheme="majorHAnsi"/>
        </w:rPr>
        <w:t xml:space="preserve"> </w:t>
      </w:r>
      <w:r w:rsidRPr="001317F1">
        <w:rPr>
          <w:rFonts w:ascii="Calibri Light" w:hAnsi="Calibri Light" w:cs="Calibri Light"/>
        </w:rPr>
        <w:t>Γενικό</w:t>
      </w:r>
      <w:r w:rsidRPr="001317F1">
        <w:rPr>
          <w:rFonts w:asciiTheme="majorHAnsi" w:hAnsiTheme="majorHAnsi" w:cstheme="majorHAnsi"/>
        </w:rPr>
        <w:t xml:space="preserve"> </w:t>
      </w:r>
      <w:r w:rsidRPr="001317F1">
        <w:rPr>
          <w:rFonts w:ascii="Calibri Light" w:hAnsi="Calibri Light" w:cs="Calibri Light"/>
        </w:rPr>
        <w:t>Δικαστήριο</w:t>
      </w:r>
      <w:r w:rsidRPr="001317F1">
        <w:rPr>
          <w:rFonts w:asciiTheme="majorHAnsi" w:hAnsiTheme="majorHAnsi" w:cstheme="majorHAnsi"/>
        </w:rPr>
        <w:t xml:space="preserve"> </w:t>
      </w:r>
      <w:r w:rsidRPr="001317F1">
        <w:rPr>
          <w:rFonts w:ascii="Calibri Light" w:hAnsi="Calibri Light" w:cs="Calibri Light"/>
        </w:rPr>
        <w:t>κήρυξε</w:t>
      </w:r>
      <w:r w:rsidRPr="001317F1">
        <w:rPr>
          <w:rFonts w:asciiTheme="majorHAnsi" w:hAnsiTheme="majorHAnsi" w:cstheme="majorHAnsi"/>
        </w:rPr>
        <w:t xml:space="preserve"> </w:t>
      </w:r>
      <w:r w:rsidRPr="001317F1">
        <w:rPr>
          <w:rFonts w:ascii="Calibri Light" w:hAnsi="Calibri Light" w:cs="Calibri Light"/>
        </w:rPr>
        <w:t>εν</w:t>
      </w:r>
      <w:r w:rsidRPr="001317F1">
        <w:rPr>
          <w:rFonts w:asciiTheme="majorHAnsi" w:hAnsiTheme="majorHAnsi" w:cstheme="majorHAnsi"/>
        </w:rPr>
        <w:t xml:space="preserve"> </w:t>
      </w:r>
      <w:r w:rsidRPr="001317F1">
        <w:rPr>
          <w:rFonts w:ascii="Calibri Light" w:hAnsi="Calibri Light" w:cs="Calibri Light"/>
        </w:rPr>
        <w:t>μέρει</w:t>
      </w:r>
      <w:r w:rsidRPr="001317F1">
        <w:rPr>
          <w:rFonts w:asciiTheme="majorHAnsi" w:hAnsiTheme="majorHAnsi" w:cstheme="majorHAnsi"/>
        </w:rPr>
        <w:t xml:space="preserve"> </w:t>
      </w:r>
      <w:r w:rsidRPr="001317F1">
        <w:rPr>
          <w:rFonts w:ascii="Calibri Light" w:hAnsi="Calibri Light" w:cs="Calibri Light"/>
        </w:rPr>
        <w:t>απαράδεκτες</w:t>
      </w:r>
      <w:r w:rsidRPr="001317F1">
        <w:rPr>
          <w:rFonts w:asciiTheme="majorHAnsi" w:hAnsiTheme="majorHAnsi" w:cstheme="majorHAnsi"/>
        </w:rPr>
        <w:t xml:space="preserve"> </w:t>
      </w:r>
      <w:r w:rsidRPr="001317F1">
        <w:rPr>
          <w:rFonts w:ascii="Calibri Light" w:hAnsi="Calibri Light" w:cs="Calibri Light"/>
        </w:rPr>
        <w:t>και</w:t>
      </w:r>
      <w:r w:rsidRPr="001317F1">
        <w:rPr>
          <w:rFonts w:asciiTheme="majorHAnsi" w:hAnsiTheme="majorHAnsi" w:cstheme="majorHAnsi"/>
        </w:rPr>
        <w:t xml:space="preserve"> </w:t>
      </w:r>
      <w:r w:rsidRPr="001317F1">
        <w:rPr>
          <w:rFonts w:ascii="Calibri Light" w:hAnsi="Calibri Light" w:cs="Calibri Light"/>
        </w:rPr>
        <w:t>εν</w:t>
      </w:r>
      <w:r w:rsidRPr="001317F1">
        <w:rPr>
          <w:rFonts w:asciiTheme="majorHAnsi" w:hAnsiTheme="majorHAnsi" w:cstheme="majorHAnsi"/>
        </w:rPr>
        <w:t xml:space="preserve"> </w:t>
      </w:r>
      <w:r w:rsidRPr="001317F1">
        <w:rPr>
          <w:rFonts w:ascii="Calibri Light" w:hAnsi="Calibri Light" w:cs="Calibri Light"/>
        </w:rPr>
        <w:t>μέρει</w:t>
      </w:r>
      <w:r w:rsidRPr="001317F1">
        <w:rPr>
          <w:rFonts w:asciiTheme="majorHAnsi" w:hAnsiTheme="majorHAnsi" w:cstheme="majorHAnsi"/>
        </w:rPr>
        <w:t xml:space="preserve"> </w:t>
      </w:r>
      <w:r w:rsidRPr="001317F1">
        <w:rPr>
          <w:rFonts w:ascii="Calibri Light" w:hAnsi="Calibri Light" w:cs="Calibri Light"/>
        </w:rPr>
        <w:t>αβάσιμες</w:t>
      </w:r>
      <w:r w:rsidRPr="001317F1">
        <w:rPr>
          <w:rFonts w:asciiTheme="majorHAnsi" w:hAnsiTheme="majorHAnsi" w:cstheme="majorHAnsi"/>
        </w:rPr>
        <w:t xml:space="preserve"> </w:t>
      </w:r>
      <w:r w:rsidRPr="001317F1">
        <w:rPr>
          <w:rFonts w:ascii="Calibri Light" w:hAnsi="Calibri Light" w:cs="Calibri Light"/>
        </w:rPr>
        <w:t>τις</w:t>
      </w:r>
      <w:r w:rsidRPr="001317F1">
        <w:rPr>
          <w:rFonts w:asciiTheme="majorHAnsi" w:hAnsiTheme="majorHAnsi" w:cstheme="majorHAnsi"/>
        </w:rPr>
        <w:t xml:space="preserve"> </w:t>
      </w:r>
      <w:r w:rsidRPr="001317F1">
        <w:rPr>
          <w:rFonts w:ascii="Calibri Light" w:hAnsi="Calibri Light" w:cs="Calibri Light"/>
        </w:rPr>
        <w:t>προσφυγές</w:t>
      </w:r>
      <w:r w:rsidRPr="001317F1">
        <w:rPr>
          <w:rFonts w:asciiTheme="majorHAnsi" w:hAnsiTheme="majorHAnsi" w:cstheme="majorHAnsi"/>
        </w:rPr>
        <w:t xml:space="preserve"> </w:t>
      </w:r>
      <w:r w:rsidRPr="001317F1">
        <w:rPr>
          <w:rFonts w:ascii="Calibri Light" w:hAnsi="Calibri Light" w:cs="Calibri Light"/>
        </w:rPr>
        <w:t>τους</w:t>
      </w:r>
      <w:r w:rsidRPr="001317F1">
        <w:rPr>
          <w:rFonts w:asciiTheme="majorHAnsi" w:hAnsiTheme="majorHAnsi" w:cstheme="majorHAnsi"/>
        </w:rPr>
        <w:t xml:space="preserve"> </w:t>
      </w:r>
      <w:r w:rsidRPr="001317F1">
        <w:rPr>
          <w:rFonts w:ascii="Calibri Light" w:hAnsi="Calibri Light" w:cs="Calibri Light"/>
        </w:rPr>
        <w:t>με</w:t>
      </w:r>
      <w:r w:rsidRPr="001317F1">
        <w:rPr>
          <w:rFonts w:asciiTheme="majorHAnsi" w:hAnsiTheme="majorHAnsi" w:cstheme="majorHAnsi"/>
        </w:rPr>
        <w:t xml:space="preserve"> </w:t>
      </w:r>
      <w:r w:rsidRPr="001317F1">
        <w:rPr>
          <w:rFonts w:ascii="Calibri Light" w:hAnsi="Calibri Light" w:cs="Calibri Light"/>
        </w:rPr>
        <w:t>αίτημα</w:t>
      </w:r>
      <w:r w:rsidRPr="001317F1">
        <w:rPr>
          <w:rFonts w:asciiTheme="majorHAnsi" w:hAnsiTheme="majorHAnsi" w:cstheme="majorHAnsi"/>
        </w:rPr>
        <w:t xml:space="preserve">, </w:t>
      </w:r>
      <w:r w:rsidRPr="001317F1">
        <w:rPr>
          <w:rFonts w:ascii="Calibri Light" w:hAnsi="Calibri Light" w:cs="Calibri Light"/>
        </w:rPr>
        <w:t>πρώτον</w:t>
      </w:r>
      <w:r w:rsidRPr="001317F1">
        <w:rPr>
          <w:rFonts w:asciiTheme="majorHAnsi" w:hAnsiTheme="majorHAnsi" w:cstheme="majorHAnsi"/>
        </w:rPr>
        <w:t xml:space="preserve">, </w:t>
      </w:r>
      <w:r w:rsidRPr="001317F1">
        <w:rPr>
          <w:rFonts w:ascii="Calibri Light" w:hAnsi="Calibri Light" w:cs="Calibri Light"/>
        </w:rPr>
        <w:t>την</w:t>
      </w:r>
      <w:r w:rsidRPr="001317F1">
        <w:rPr>
          <w:rFonts w:asciiTheme="majorHAnsi" w:hAnsiTheme="majorHAnsi" w:cstheme="majorHAnsi"/>
        </w:rPr>
        <w:t xml:space="preserve"> </w:t>
      </w:r>
      <w:r w:rsidRPr="001317F1">
        <w:rPr>
          <w:rFonts w:ascii="Calibri Light" w:hAnsi="Calibri Light" w:cs="Calibri Light"/>
        </w:rPr>
        <w:t>ακύρωσ</w:t>
      </w:r>
      <w:r w:rsidRPr="001317F1">
        <w:rPr>
          <w:rFonts w:asciiTheme="majorHAnsi" w:hAnsiTheme="majorHAnsi" w:cstheme="majorHAnsi"/>
        </w:rPr>
        <w:t xml:space="preserve">η των σημείων 1.23 έως 1.27 του μνημονίου κατανόησης για τους ειδικούς όρους οικονομικής πολιτικής, που </w:t>
      </w:r>
      <w:proofErr w:type="spellStart"/>
      <w:r w:rsidRPr="001317F1">
        <w:rPr>
          <w:rFonts w:asciiTheme="majorHAnsi" w:hAnsiTheme="majorHAnsi" w:cstheme="majorHAnsi"/>
        </w:rPr>
        <w:t>συνήφθη</w:t>
      </w:r>
      <w:proofErr w:type="spellEnd"/>
      <w:r w:rsidRPr="001317F1">
        <w:rPr>
          <w:rFonts w:asciiTheme="majorHAnsi" w:hAnsiTheme="majorHAnsi" w:cstheme="majorHAnsi"/>
        </w:rPr>
        <w:t xml:space="preserve"> μεταξύ της Κυπριακής Δημοκρατίας και του Ευρωπαϊκού Μηχανισμού Σταθερότητας (ΕΜΣ) στις 26 Απριλίου 2013 (στο εξής: μνημόνιο κατανόησης της 26ης Απριλίου 2013) και, δεύτερον, την αποκατάσταση της ζημίας την </w:t>
      </w:r>
      <w:r w:rsidRPr="001317F1">
        <w:rPr>
          <w:rFonts w:asciiTheme="majorHAnsi" w:hAnsiTheme="majorHAnsi" w:cstheme="majorHAnsi"/>
        </w:rPr>
        <w:lastRenderedPageBreak/>
        <w:t xml:space="preserve">οποία υποστηρίζουν ότι υπέστησαν οι νυν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λόγω της προσθήκης των ανωτέρω σημείων στο εν λόγω μνημόνιο κατανόησης και λόγω παραβάσεως εκ μέρους της Ευρωπαϊκής Επιτροπής της υποχρεώσεως εποπτείας που αυτή υπέχει.</w:t>
      </w:r>
    </w:p>
    <w:p w:rsidR="001317F1" w:rsidRPr="000A7936" w:rsidRDefault="001317F1" w:rsidP="001317F1">
      <w:pPr>
        <w:rPr>
          <w:rFonts w:asciiTheme="majorHAnsi" w:hAnsiTheme="majorHAnsi" w:cstheme="majorHAnsi"/>
          <w:b/>
        </w:rPr>
      </w:pPr>
      <w:r w:rsidRPr="000A7936">
        <w:rPr>
          <w:rFonts w:asciiTheme="majorHAnsi" w:hAnsiTheme="majorHAnsi" w:cstheme="majorHAnsi"/>
          <w:b/>
        </w:rPr>
        <w:t>Το νομικό πλαίσιο</w:t>
      </w:r>
    </w:p>
    <w:p w:rsidR="001317F1" w:rsidRPr="00DB65EA" w:rsidRDefault="001317F1" w:rsidP="001317F1">
      <w:pPr>
        <w:rPr>
          <w:rFonts w:asciiTheme="majorHAnsi" w:hAnsiTheme="majorHAnsi" w:cstheme="majorHAnsi"/>
        </w:rPr>
      </w:pPr>
      <w:r w:rsidRPr="000A7936">
        <w:rPr>
          <w:rFonts w:asciiTheme="majorHAnsi" w:hAnsiTheme="majorHAnsi" w:cstheme="majorHAnsi"/>
          <w:b/>
        </w:rPr>
        <w:t>Η Συνθήκη για τον ΕΜΣ</w:t>
      </w:r>
      <w:r w:rsidR="00DB65EA">
        <w:rPr>
          <w:rFonts w:asciiTheme="majorHAnsi" w:hAnsiTheme="majorHAnsi" w:cstheme="majorHAnsi"/>
          <w:b/>
        </w:rPr>
        <w:t xml:space="preserve"> </w:t>
      </w:r>
      <w:r w:rsidR="00DB65EA">
        <w:rPr>
          <w:rFonts w:asciiTheme="majorHAnsi" w:hAnsiTheme="majorHAnsi" w:cstheme="majorHAnsi"/>
        </w:rPr>
        <w:t>[...]</w:t>
      </w:r>
      <w:bookmarkStart w:id="0" w:name="_GoBack"/>
      <w:bookmarkEnd w:id="0"/>
    </w:p>
    <w:p w:rsidR="001317F1" w:rsidRPr="00DB65EA" w:rsidRDefault="001317F1" w:rsidP="001317F1">
      <w:pPr>
        <w:rPr>
          <w:rFonts w:asciiTheme="majorHAnsi" w:hAnsiTheme="majorHAnsi" w:cstheme="majorHAnsi"/>
        </w:rPr>
      </w:pPr>
      <w:r w:rsidRPr="00491C0E">
        <w:rPr>
          <w:rFonts w:asciiTheme="majorHAnsi" w:hAnsiTheme="majorHAnsi" w:cstheme="majorHAnsi"/>
          <w:b/>
        </w:rPr>
        <w:t>Το μνημόνιο κατανόησης της 26ης Απριλίου 2013</w:t>
      </w:r>
      <w:r w:rsidR="00DB65EA">
        <w:rPr>
          <w:rFonts w:asciiTheme="majorHAnsi" w:hAnsiTheme="majorHAnsi" w:cstheme="majorHAnsi"/>
        </w:rPr>
        <w:t xml:space="preserve"> [...]</w:t>
      </w:r>
    </w:p>
    <w:p w:rsidR="001317F1" w:rsidRPr="00DB65EA" w:rsidRDefault="001317F1" w:rsidP="001317F1">
      <w:pPr>
        <w:rPr>
          <w:rFonts w:asciiTheme="majorHAnsi" w:hAnsiTheme="majorHAnsi" w:cstheme="majorHAnsi"/>
        </w:rPr>
      </w:pPr>
      <w:r w:rsidRPr="00491C0E">
        <w:rPr>
          <w:rFonts w:asciiTheme="majorHAnsi" w:hAnsiTheme="majorHAnsi" w:cstheme="majorHAnsi"/>
          <w:b/>
        </w:rPr>
        <w:t>Το εθνικό δίκαιο</w:t>
      </w:r>
      <w:r w:rsidR="00DB65EA">
        <w:rPr>
          <w:rFonts w:asciiTheme="majorHAnsi" w:hAnsiTheme="majorHAnsi" w:cstheme="majorHAnsi"/>
          <w:b/>
        </w:rPr>
        <w:t xml:space="preserve"> </w:t>
      </w:r>
      <w:r w:rsidR="00DB65EA">
        <w:rPr>
          <w:rFonts w:asciiTheme="majorHAnsi" w:hAnsiTheme="majorHAnsi" w:cstheme="majorHAnsi"/>
        </w:rPr>
        <w:t>[...]</w:t>
      </w:r>
    </w:p>
    <w:p w:rsidR="001317F1" w:rsidRPr="00862FD5" w:rsidRDefault="001317F1" w:rsidP="001317F1">
      <w:pPr>
        <w:rPr>
          <w:rFonts w:asciiTheme="majorHAnsi" w:hAnsiTheme="majorHAnsi" w:cstheme="majorHAnsi"/>
          <w:b/>
        </w:rPr>
      </w:pPr>
      <w:r w:rsidRPr="00862FD5">
        <w:rPr>
          <w:rFonts w:asciiTheme="majorHAnsi" w:hAnsiTheme="majorHAnsi" w:cstheme="majorHAnsi"/>
          <w:b/>
        </w:rPr>
        <w:t>Το ιστορικό των διαφορών</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14      Κατά τους πρώτους μήνες του 2012, ορισμένες τράπεζες εγκατεστημένες στην Κύπρο, μεταξύ των οποίων η Cyprus Popular Bank και η Bank of Cyprus αντιμετώπισαν οικονομικές δυσχέρειες. Στο πλαίσιο αυτό, η Κυπριακή Δημοκρατία έκρινε αναγκαία την </w:t>
      </w:r>
      <w:proofErr w:type="spellStart"/>
      <w:r w:rsidRPr="001317F1">
        <w:rPr>
          <w:rFonts w:asciiTheme="majorHAnsi" w:hAnsiTheme="majorHAnsi" w:cstheme="majorHAnsi"/>
        </w:rPr>
        <w:t>ανακεφαλαιοποίησή</w:t>
      </w:r>
      <w:proofErr w:type="spellEnd"/>
      <w:r w:rsidRPr="001317F1">
        <w:rPr>
          <w:rFonts w:asciiTheme="majorHAnsi" w:hAnsiTheme="majorHAnsi" w:cstheme="majorHAnsi"/>
        </w:rPr>
        <w:t xml:space="preserve"> τους και υπέβαλε στον πρόεδρο της </w:t>
      </w:r>
      <w:proofErr w:type="spellStart"/>
      <w:r w:rsidRPr="001317F1">
        <w:rPr>
          <w:rFonts w:asciiTheme="majorHAnsi" w:hAnsiTheme="majorHAnsi" w:cstheme="majorHAnsi"/>
        </w:rPr>
        <w:t>Ευρωομάδας</w:t>
      </w:r>
      <w:proofErr w:type="spellEnd"/>
      <w:r w:rsidRPr="001317F1">
        <w:rPr>
          <w:rFonts w:asciiTheme="majorHAnsi" w:hAnsiTheme="majorHAnsi" w:cstheme="majorHAnsi"/>
        </w:rPr>
        <w:t xml:space="preserve"> σχετικό αίτημα χρηματοδοτικής συνδρομής από την ΕΔΧΣ ή από τον ΕΜΣ.</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15      Με δήλωση της 27ης Ιουνίου 2012, η </w:t>
      </w:r>
      <w:proofErr w:type="spellStart"/>
      <w:r w:rsidRPr="001317F1">
        <w:rPr>
          <w:rFonts w:asciiTheme="majorHAnsi" w:hAnsiTheme="majorHAnsi" w:cstheme="majorHAnsi"/>
        </w:rPr>
        <w:t>Ευρωομάδα</w:t>
      </w:r>
      <w:proofErr w:type="spellEnd"/>
      <w:r w:rsidRPr="001317F1">
        <w:rPr>
          <w:rFonts w:asciiTheme="majorHAnsi" w:hAnsiTheme="majorHAnsi" w:cstheme="majorHAnsi"/>
        </w:rPr>
        <w:t xml:space="preserve"> επισήμανε ότι η χρηματοδοτική συνδρομή θα χορηγούνταν είτε από την ΕΔΧΣ είτε από τον ΕΜΣ, στο πλαίσιο προγράμματος μακροοικονομικής προσαρμογής το οποίο θα συγκεκριμενοποιούνταν από μνημόνιο κατανόησης για το οποίο θα διεξάγονταν διαπραγματεύσεις μεταξύ, αφενός, της Ευρωπαϊκής Επιτροπής, από κοινού με την Ευρωπαϊκή Κεντρική Τράπεζα (ΕΚΤ) και το Διεθνές Νομισματικό Ταμείο (ΔΝΤ), και, αφετέρου, των κυπριακών αρχών.</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16      Η Κυπριακή Δημοκρατία και τα λοιπά κράτη μέλη με νόμισμα το ευρώ κατέληξαν σε πολιτική συμφωνία επί σχεδίου μνημονίου κατανόησης τον Μάρτιο του 2013. Με δήλωση της 16ης Μαρτίου 2013, η </w:t>
      </w:r>
      <w:proofErr w:type="spellStart"/>
      <w:r w:rsidRPr="001317F1">
        <w:rPr>
          <w:rFonts w:asciiTheme="majorHAnsi" w:hAnsiTheme="majorHAnsi" w:cstheme="majorHAnsi"/>
        </w:rPr>
        <w:t>Ευρωομάδα</w:t>
      </w:r>
      <w:proofErr w:type="spellEnd"/>
      <w:r w:rsidRPr="001317F1">
        <w:rPr>
          <w:rFonts w:asciiTheme="majorHAnsi" w:hAnsiTheme="majorHAnsi" w:cstheme="majorHAnsi"/>
        </w:rPr>
        <w:t xml:space="preserve"> χαιρέτισε τη συμφωνία αυτή και αναφέρθηκε σε ορισμένα από τα προβλεπόμενα μέτρα προσαρμογής, μεταξύ των οποίων και η θέσπιση εισφοράς επί των τραπεζικών καταθέσεων. Η </w:t>
      </w:r>
      <w:proofErr w:type="spellStart"/>
      <w:r w:rsidRPr="001317F1">
        <w:rPr>
          <w:rFonts w:asciiTheme="majorHAnsi" w:hAnsiTheme="majorHAnsi" w:cstheme="majorHAnsi"/>
        </w:rPr>
        <w:t>Ευρωομάδα</w:t>
      </w:r>
      <w:proofErr w:type="spellEnd"/>
      <w:r w:rsidRPr="001317F1">
        <w:rPr>
          <w:rFonts w:asciiTheme="majorHAnsi" w:hAnsiTheme="majorHAnsi" w:cstheme="majorHAnsi"/>
        </w:rPr>
        <w:t xml:space="preserve"> επισήμανε ότι, λαμβανομένου υπόψη του πλαισίου αυτού, εκτιμούσε ότι ήταν κατ’ αρχήν δικαιολογημένη η χορήγηση χρηματοδοτικής συνδρομής ικανής να εξασφαλίσει την οικονομική σταθερότητα της Κύπρου και της ζώνης του ευρώ και κάλεσε τα ενδιαφερόμενα μέρη να επιταχύνουν τις εν εξελίξει διαπραγματεύσεις.</w:t>
      </w:r>
    </w:p>
    <w:p w:rsidR="001317F1" w:rsidRPr="001317F1" w:rsidRDefault="001317F1" w:rsidP="001317F1">
      <w:pPr>
        <w:rPr>
          <w:rFonts w:asciiTheme="majorHAnsi" w:hAnsiTheme="majorHAnsi" w:cstheme="majorHAnsi"/>
        </w:rPr>
      </w:pPr>
      <w:r w:rsidRPr="001317F1">
        <w:rPr>
          <w:rFonts w:asciiTheme="majorHAnsi" w:hAnsiTheme="majorHAnsi" w:cstheme="majorHAnsi"/>
        </w:rPr>
        <w:t>17      Στις 18 Μαρτίου 2013, η Κυπριακή Δημοκρατία προέβλεψε ειδική αργία των τραπεζών για τις 19 και 20 Μαρτίου 2013. Οι κυπριακές αρχές αποφάσισαν να παρατείνουν την αργία των τραπεζών έως τις 28 Μαρτίου 2013 προκειμένου να αποφευχθούν μαζικές αναλήψεις από τους καταθέτες.</w:t>
      </w:r>
    </w:p>
    <w:p w:rsidR="001317F1" w:rsidRPr="001317F1" w:rsidRDefault="001317F1" w:rsidP="001317F1">
      <w:pPr>
        <w:rPr>
          <w:rFonts w:asciiTheme="majorHAnsi" w:hAnsiTheme="majorHAnsi" w:cstheme="majorHAnsi"/>
        </w:rPr>
      </w:pPr>
      <w:r w:rsidRPr="001317F1">
        <w:rPr>
          <w:rFonts w:asciiTheme="majorHAnsi" w:hAnsiTheme="majorHAnsi" w:cstheme="majorHAnsi"/>
        </w:rPr>
        <w:t>18      Στις 19 Μαρτίου 2013, η κυπριακή Βουλή των Αντιπροσώπων καταψήφισε το σχέδιο νόμου της Κυπριακής Κυβερνήσεως για τη θέσπιση εισφοράς επί όλων των τραπεζικών καταθέσεων στην Κύπρο. Εν συνεχεία, η κυπριακή Βουλή των Αντιπροσώπων ψήφισε τον νόμο της 22ας Μαρτίου 2013.</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19      Με δήλωση της 25ης Μαρτίου 2013, η </w:t>
      </w:r>
      <w:proofErr w:type="spellStart"/>
      <w:r w:rsidRPr="001317F1">
        <w:rPr>
          <w:rFonts w:asciiTheme="majorHAnsi" w:hAnsiTheme="majorHAnsi" w:cstheme="majorHAnsi"/>
        </w:rPr>
        <w:t>Ευρωομάδα</w:t>
      </w:r>
      <w:proofErr w:type="spellEnd"/>
      <w:r w:rsidRPr="001317F1">
        <w:rPr>
          <w:rFonts w:asciiTheme="majorHAnsi" w:hAnsiTheme="majorHAnsi" w:cstheme="majorHAnsi"/>
        </w:rPr>
        <w:t xml:space="preserve"> ανακοίνωσε την επίτευξη συμφωνίας με τις κυπριακές αρχές επί των ουσιωδών στοιχείων του μελλοντικού προγράμματος μακροοικονομικής προσαρμογής το οποίο είχε την υποστήριξη όλων των κρατών μελών με νόμισμα το ευρώ, καθώς και της Επιτροπής, της ΕΚΤ και του ΔΝΤ. Επιπλέον, η </w:t>
      </w:r>
      <w:proofErr w:type="spellStart"/>
      <w:r w:rsidRPr="001317F1">
        <w:rPr>
          <w:rFonts w:asciiTheme="majorHAnsi" w:hAnsiTheme="majorHAnsi" w:cstheme="majorHAnsi"/>
        </w:rPr>
        <w:t>Ευρωομάδα</w:t>
      </w:r>
      <w:proofErr w:type="spellEnd"/>
      <w:r w:rsidRPr="001317F1">
        <w:rPr>
          <w:rFonts w:asciiTheme="majorHAnsi" w:hAnsiTheme="majorHAnsi" w:cstheme="majorHAnsi"/>
        </w:rPr>
        <w:t xml:space="preserve"> χαιρέτισε τα σχεδιαζόμενα μέτρα αναδιαρθρώσεως του </w:t>
      </w:r>
      <w:r w:rsidRPr="001317F1">
        <w:rPr>
          <w:rFonts w:asciiTheme="majorHAnsi" w:hAnsiTheme="majorHAnsi" w:cstheme="majorHAnsi"/>
        </w:rPr>
        <w:lastRenderedPageBreak/>
        <w:t>χρηματοπιστωτικού τομέα για τα οποία γινόταν λόγος στο παράρτημα της δηλώσεως αυτής.</w:t>
      </w:r>
    </w:p>
    <w:p w:rsidR="001317F1" w:rsidRPr="001317F1" w:rsidRDefault="001317F1" w:rsidP="001317F1">
      <w:pPr>
        <w:rPr>
          <w:rFonts w:asciiTheme="majorHAnsi" w:hAnsiTheme="majorHAnsi" w:cstheme="majorHAnsi"/>
        </w:rPr>
      </w:pPr>
      <w:r w:rsidRPr="001317F1">
        <w:rPr>
          <w:rFonts w:asciiTheme="majorHAnsi" w:hAnsiTheme="majorHAnsi" w:cstheme="majorHAnsi"/>
        </w:rPr>
        <w:t>20      Στις 25 Μαρτίου 2013, ο διοικητής της ΚΤΚ αποφάσισε να κινήσει διαδικασία εξυγιάνσεως για τη Bank of Cyprus και τη Cyprus Popular Bank. Προς τον σκοπό αυτό εκδόθηκαν στις 29 Μαρτίου 2013 τα διατάγματα 103 και 104, βάσει του νόμου της 22ας Μαρτίου 2013.</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21      Κατά την έναρξη ισχύος των διαταγμάτων αυτών, οι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διατηρούσαν καταθέσεις στη Bank of Cyprus ή στη Cyprus Popular Bank. Η εφαρμογή των προβλεπόμενων από τα εν λόγω διατάγματα μέτρων, είχε ως συνέπεια οι εν λόγω καταθέσεις να υποστούν σημαντική μείωση της αξίας τους, την οποία οι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προσδιόρισαν με ακρίβεια.</w:t>
      </w:r>
    </w:p>
    <w:p w:rsidR="001317F1" w:rsidRPr="001317F1" w:rsidRDefault="001317F1" w:rsidP="001317F1">
      <w:pPr>
        <w:rPr>
          <w:rFonts w:asciiTheme="majorHAnsi" w:hAnsiTheme="majorHAnsi" w:cstheme="majorHAnsi"/>
        </w:rPr>
      </w:pPr>
      <w:r w:rsidRPr="001317F1">
        <w:rPr>
          <w:rFonts w:asciiTheme="majorHAnsi" w:hAnsiTheme="majorHAnsi" w:cstheme="majorHAnsi"/>
        </w:rPr>
        <w:t>22      Κατά τη συνεδρίαση της 24ης Απριλίου 2013 το συμβούλιο διοικητών του ΕΜΣ:</w:t>
      </w:r>
    </w:p>
    <w:p w:rsidR="001317F1" w:rsidRPr="001317F1" w:rsidRDefault="001317F1" w:rsidP="001317F1">
      <w:pPr>
        <w:rPr>
          <w:rFonts w:asciiTheme="majorHAnsi" w:hAnsiTheme="majorHAnsi" w:cstheme="majorHAnsi"/>
        </w:rPr>
      </w:pPr>
      <w:r w:rsidRPr="001317F1">
        <w:rPr>
          <w:rFonts w:asciiTheme="majorHAnsi" w:hAnsiTheme="majorHAnsi" w:cstheme="majorHAnsi"/>
        </w:rPr>
        <w:t>–        αποφάσισε να χορηγήσει στήριξη σταθερότητας, με τη μορφή διευκολύνσεως χρηματοπιστωτικής συνδρομής προς την Κυπριακή Δημοκρατία, σύμφωνα με την πρόταση του διευθύνοντος συμβούλου του ΕΜΣ·</w:t>
      </w:r>
    </w:p>
    <w:p w:rsidR="001317F1" w:rsidRPr="001317F1" w:rsidRDefault="001317F1" w:rsidP="001317F1">
      <w:pPr>
        <w:rPr>
          <w:rFonts w:asciiTheme="majorHAnsi" w:hAnsiTheme="majorHAnsi" w:cstheme="majorHAnsi"/>
        </w:rPr>
      </w:pPr>
      <w:r w:rsidRPr="001317F1">
        <w:rPr>
          <w:rFonts w:asciiTheme="majorHAnsi" w:hAnsiTheme="majorHAnsi" w:cstheme="majorHAnsi"/>
        </w:rPr>
        <w:t>–        ενέκρινε το σχέδιο μνημονίου κατανόησης που είχαν διαπραγματευθεί η Επιτροπή, σε συνεργασία με την ΕΚΤ και το ΔΝΤ, και η Κυπριακή Δημοκρατία·</w:t>
      </w:r>
    </w:p>
    <w:p w:rsidR="001317F1" w:rsidRPr="001317F1" w:rsidRDefault="001317F1" w:rsidP="001317F1">
      <w:pPr>
        <w:rPr>
          <w:rFonts w:asciiTheme="majorHAnsi" w:hAnsiTheme="majorHAnsi" w:cstheme="majorHAnsi"/>
        </w:rPr>
      </w:pPr>
      <w:r w:rsidRPr="001317F1">
        <w:rPr>
          <w:rFonts w:asciiTheme="majorHAnsi" w:hAnsiTheme="majorHAnsi" w:cstheme="majorHAnsi"/>
        </w:rPr>
        <w:t>–        ανέθεσε στην Επιτροπή να το υπογράψει εξ ονόματος του ΕΜΣ.</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23      Το μνημόνιο κατανόησης υπογράφηκε στις 26 Απριλίου 2013 από τον Υπουργό Οικονομικών της Κυπριακής Δημοκρατίας, από τον διοικητή της ΚΤΚ και από τον αντιπρόεδρο της Επιτροπής O. </w:t>
      </w:r>
      <w:proofErr w:type="spellStart"/>
      <w:r w:rsidRPr="001317F1">
        <w:rPr>
          <w:rFonts w:asciiTheme="majorHAnsi" w:hAnsiTheme="majorHAnsi" w:cstheme="majorHAnsi"/>
        </w:rPr>
        <w:t>Rehn</w:t>
      </w:r>
      <w:proofErr w:type="spellEnd"/>
      <w:r w:rsidRPr="001317F1">
        <w:rPr>
          <w:rFonts w:asciiTheme="majorHAnsi" w:hAnsiTheme="majorHAnsi" w:cstheme="majorHAnsi"/>
        </w:rPr>
        <w:t>, ο οποίος ενεργούσε εξ ονόματος του ΕΜΣ.</w:t>
      </w:r>
    </w:p>
    <w:p w:rsidR="001317F1" w:rsidRPr="001317F1" w:rsidRDefault="001317F1" w:rsidP="001317F1">
      <w:pPr>
        <w:rPr>
          <w:rFonts w:asciiTheme="majorHAnsi" w:hAnsiTheme="majorHAnsi" w:cstheme="majorHAnsi"/>
        </w:rPr>
      </w:pPr>
      <w:r w:rsidRPr="001317F1">
        <w:rPr>
          <w:rFonts w:asciiTheme="majorHAnsi" w:hAnsiTheme="majorHAnsi" w:cstheme="majorHAnsi"/>
        </w:rPr>
        <w:t>24      Στις 8 Μαΐου 2013 το διοικητικό συμβούλιο του ΕΜΣ ενέκρινε τη συμφωνία για τη διευκόλυνση χρηματοπιστωτικής συνδρομής καθώς και πρόταση για τους όρους καταβολής της πρώτης δόσεως της συνδρομής προς την Κυπριακή Δημοκρατία. Η δόση αυτή έπρεπε να χορηγηθεί σε δύο χωριστές εκταμιεύσεις οι οποίες πραγματοποιήθηκαν, αντιστοίχως, στις 13 Μαΐου 2013 (2 δισεκατομμύρια ευρώ) και στις 26 Ιουνίου 2013 (1 δισεκατομμύριο ευρώ). Η δεύτερη δόση, ποσού 1,5 δισεκατομμυρίου ευρώ, εκταμιεύθηκε στις 27 Σεπτεμβρίου 2013.</w:t>
      </w:r>
    </w:p>
    <w:p w:rsidR="001317F1" w:rsidRPr="001317F1" w:rsidRDefault="001317F1" w:rsidP="001317F1">
      <w:pPr>
        <w:rPr>
          <w:rFonts w:asciiTheme="majorHAnsi" w:hAnsiTheme="majorHAnsi" w:cstheme="majorHAnsi"/>
        </w:rPr>
      </w:pPr>
      <w:r w:rsidRPr="00491C0E">
        <w:rPr>
          <w:rFonts w:asciiTheme="majorHAnsi" w:hAnsiTheme="majorHAnsi" w:cstheme="majorHAnsi"/>
          <w:b/>
        </w:rPr>
        <w:t xml:space="preserve">Οι διαδικασίες ενώπιον του Γενικού Δικαστηρίου και οι </w:t>
      </w:r>
      <w:proofErr w:type="spellStart"/>
      <w:r w:rsidRPr="00491C0E">
        <w:rPr>
          <w:rFonts w:asciiTheme="majorHAnsi" w:hAnsiTheme="majorHAnsi" w:cstheme="majorHAnsi"/>
          <w:b/>
        </w:rPr>
        <w:t>αναιρεσιβαλλόμενες</w:t>
      </w:r>
      <w:proofErr w:type="spellEnd"/>
      <w:r w:rsidRPr="00491C0E">
        <w:rPr>
          <w:rFonts w:asciiTheme="majorHAnsi" w:hAnsiTheme="majorHAnsi" w:cstheme="majorHAnsi"/>
          <w:b/>
        </w:rPr>
        <w:t xml:space="preserve"> διατάξεις</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25      Με δικόγραφα που κατέθεσαν στη Γραμματεία του Γενικού Δικαστηρίου στις 24 Μαΐου 2013, οι νυν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άσκησαν τρεις προσφυγές με τις οποίες ζητούσαν από το Γενικό Δικαστήριο:</w:t>
      </w:r>
    </w:p>
    <w:p w:rsidR="001317F1" w:rsidRPr="001317F1" w:rsidRDefault="001317F1" w:rsidP="001317F1">
      <w:pPr>
        <w:rPr>
          <w:rFonts w:asciiTheme="majorHAnsi" w:hAnsiTheme="majorHAnsi" w:cstheme="majorHAnsi"/>
        </w:rPr>
      </w:pPr>
      <w:r w:rsidRPr="001317F1">
        <w:rPr>
          <w:rFonts w:asciiTheme="majorHAnsi" w:hAnsiTheme="majorHAnsi" w:cstheme="majorHAnsi"/>
        </w:rPr>
        <w:t>–        να υποχρεώσει την Επιτροπή και την ΕΚΤ να τους καταβάλουν αποζημίωση ίση με τη μείωση της αξίας των αντίστοιχων καταθέσεών τους·</w:t>
      </w:r>
    </w:p>
    <w:p w:rsidR="001317F1" w:rsidRPr="001317F1" w:rsidRDefault="001317F1" w:rsidP="001317F1">
      <w:pPr>
        <w:rPr>
          <w:rFonts w:asciiTheme="majorHAnsi" w:hAnsiTheme="majorHAnsi" w:cstheme="majorHAnsi"/>
        </w:rPr>
      </w:pPr>
      <w:r w:rsidRPr="001317F1">
        <w:rPr>
          <w:rFonts w:asciiTheme="majorHAnsi" w:hAnsiTheme="majorHAnsi" w:cstheme="majorHAnsi"/>
        </w:rPr>
        <w:t>–        «επιπλέον και/ή επικουρικώς» να ακυρώσει τα επίμαχα σημεία, και</w:t>
      </w:r>
    </w:p>
    <w:p w:rsidR="001317F1" w:rsidRPr="001317F1" w:rsidRDefault="001317F1" w:rsidP="001317F1">
      <w:pPr>
        <w:rPr>
          <w:rFonts w:asciiTheme="majorHAnsi" w:hAnsiTheme="majorHAnsi" w:cstheme="majorHAnsi"/>
        </w:rPr>
      </w:pPr>
      <w:r w:rsidRPr="001317F1">
        <w:rPr>
          <w:rFonts w:asciiTheme="majorHAnsi" w:hAnsiTheme="majorHAnsi" w:cstheme="majorHAnsi"/>
        </w:rPr>
        <w:t>–        να εκδικάσει ταχέως την προσφυγή και, εν αναμονή της εκδικάσεως, να διατάξει τα «αναγκαία προσωρινά μέτρα δυνάμει του άρθρου [279 ΣΛΕΕ] για να διασφαλίσει τη θέση [τους] χωρίς όμως να θίξει τη στήριξη σταθερότητας που χορηγήθηκε στην [Κυπριακή Δημοκρατία]».</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26      Με χωριστά δικόγραφα που κατέθεσαν στη Γραμματεία του Γενικού Δικαστηρίου στις 24 Σεπτεμβρίου και την 1η Οκτωβρίου 2013, αντιστοίχως, η Επιτροπή και η ΕΚΤ </w:t>
      </w:r>
      <w:r w:rsidRPr="001317F1">
        <w:rPr>
          <w:rFonts w:asciiTheme="majorHAnsi" w:hAnsiTheme="majorHAnsi" w:cstheme="majorHAnsi"/>
        </w:rPr>
        <w:lastRenderedPageBreak/>
        <w:t>προέβαλαν ενστάσεις απαραδέκτου, δυνάμει του άρθρου 114 του Κανονισμού Διαδικασίας του Γενικού Δικαστηρίου.</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27      Με τις </w:t>
      </w:r>
      <w:proofErr w:type="spellStart"/>
      <w:r w:rsidRPr="001317F1">
        <w:rPr>
          <w:rFonts w:asciiTheme="majorHAnsi" w:hAnsiTheme="majorHAnsi" w:cstheme="majorHAnsi"/>
        </w:rPr>
        <w:t>αναιρεσιβαλλόμενες</w:t>
      </w:r>
      <w:proofErr w:type="spellEnd"/>
      <w:r w:rsidRPr="001317F1">
        <w:rPr>
          <w:rFonts w:asciiTheme="majorHAnsi" w:hAnsiTheme="majorHAnsi" w:cstheme="majorHAnsi"/>
        </w:rPr>
        <w:t xml:space="preserve"> διατάξεις, το Γενικό Δικαστήριο απέρριψε τις προσφυγές στο σύνολό τους ως, εν μέρει, απαράδεκτες και, εν μέρει, προδήλως στερούμενες νομικής βάσεως.</w:t>
      </w:r>
    </w:p>
    <w:p w:rsidR="001317F1" w:rsidRPr="00491C0E" w:rsidRDefault="001317F1" w:rsidP="001317F1">
      <w:pPr>
        <w:rPr>
          <w:rFonts w:asciiTheme="majorHAnsi" w:hAnsiTheme="majorHAnsi" w:cstheme="majorHAnsi"/>
          <w:b/>
        </w:rPr>
      </w:pPr>
      <w:r w:rsidRPr="00491C0E">
        <w:rPr>
          <w:rFonts w:asciiTheme="majorHAnsi" w:hAnsiTheme="majorHAnsi" w:cstheme="majorHAnsi"/>
          <w:b/>
        </w:rPr>
        <w:t>Αιτήματα των διαδίκων</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28      Οι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ζητούν από το Δικαστήριο:</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        να αναιρέσει τις </w:t>
      </w:r>
      <w:proofErr w:type="spellStart"/>
      <w:r w:rsidRPr="001317F1">
        <w:rPr>
          <w:rFonts w:asciiTheme="majorHAnsi" w:hAnsiTheme="majorHAnsi" w:cstheme="majorHAnsi"/>
        </w:rPr>
        <w:t>αναιρεσιβαλλόμενες</w:t>
      </w:r>
      <w:proofErr w:type="spellEnd"/>
      <w:r w:rsidRPr="001317F1">
        <w:rPr>
          <w:rFonts w:asciiTheme="majorHAnsi" w:hAnsiTheme="majorHAnsi" w:cstheme="majorHAnsi"/>
        </w:rPr>
        <w:t xml:space="preserve"> διατάξεις όσον αφορά τα δύο πρώτα αιτήματα που υποβλήθηκαν πρωτοδίκως, ήτοι το αίτημα αποζημιώσεως και/ή το αίτημα ακυρώσεως των επίμαχων σημείων, και</w:t>
      </w:r>
    </w:p>
    <w:p w:rsidR="001317F1" w:rsidRPr="001317F1" w:rsidRDefault="001317F1" w:rsidP="001317F1">
      <w:pPr>
        <w:rPr>
          <w:rFonts w:asciiTheme="majorHAnsi" w:hAnsiTheme="majorHAnsi" w:cstheme="majorHAnsi"/>
        </w:rPr>
      </w:pPr>
      <w:r w:rsidRPr="001317F1">
        <w:rPr>
          <w:rFonts w:asciiTheme="majorHAnsi" w:hAnsiTheme="majorHAnsi" w:cstheme="majorHAnsi"/>
        </w:rPr>
        <w:t>–        να αναπέμψει τις υποθέσεις ενώπιον του Γενικού Δικαστηρίου.</w:t>
      </w:r>
    </w:p>
    <w:p w:rsidR="001317F1" w:rsidRPr="001317F1" w:rsidRDefault="001317F1" w:rsidP="001317F1">
      <w:pPr>
        <w:rPr>
          <w:rFonts w:asciiTheme="majorHAnsi" w:hAnsiTheme="majorHAnsi" w:cstheme="majorHAnsi"/>
        </w:rPr>
      </w:pPr>
      <w:r w:rsidRPr="001317F1">
        <w:rPr>
          <w:rFonts w:asciiTheme="majorHAnsi" w:hAnsiTheme="majorHAnsi" w:cstheme="majorHAnsi"/>
        </w:rPr>
        <w:t>29      Η Ευρωπαϊκή Επιτροπή και η ΕΚΤ ζητούν από το Δικαστήριο:</w:t>
      </w:r>
    </w:p>
    <w:p w:rsidR="001317F1" w:rsidRPr="001317F1" w:rsidRDefault="001317F1" w:rsidP="001317F1">
      <w:pPr>
        <w:rPr>
          <w:rFonts w:asciiTheme="majorHAnsi" w:hAnsiTheme="majorHAnsi" w:cstheme="majorHAnsi"/>
        </w:rPr>
      </w:pPr>
      <w:r w:rsidRPr="001317F1">
        <w:rPr>
          <w:rFonts w:asciiTheme="majorHAnsi" w:hAnsiTheme="majorHAnsi" w:cstheme="majorHAnsi"/>
        </w:rPr>
        <w:t>–        να απορρίψει τις αιτήσεις αναιρέσεως, και</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        να καταδικάσει τους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στα δικαστικά έξοδα.</w:t>
      </w:r>
      <w:r w:rsidR="00D70C9E">
        <w:rPr>
          <w:rFonts w:asciiTheme="majorHAnsi" w:hAnsiTheme="majorHAnsi" w:cstheme="majorHAnsi"/>
        </w:rPr>
        <w:t xml:space="preserve"> […]</w:t>
      </w:r>
    </w:p>
    <w:p w:rsidR="001317F1" w:rsidRPr="00D70C9E" w:rsidRDefault="001317F1" w:rsidP="001317F1">
      <w:pPr>
        <w:rPr>
          <w:rFonts w:asciiTheme="majorHAnsi" w:hAnsiTheme="majorHAnsi" w:cstheme="majorHAnsi"/>
          <w:b/>
        </w:rPr>
      </w:pPr>
      <w:r w:rsidRPr="00D70C9E">
        <w:rPr>
          <w:rFonts w:asciiTheme="majorHAnsi" w:hAnsiTheme="majorHAnsi" w:cstheme="majorHAnsi"/>
          <w:b/>
        </w:rPr>
        <w:t>Επί των αιτήσεων αναιρέσεως</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31      Προς στήριξη των αιτήσεών τους αναιρέσεως, οι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προβάλλουν έναν λόγο αναιρέσεως, αντλούμενο από σφάλματα στα οποία υπέπεσε το Γενικό Δικαστήριο κατά την εκτίμηση των προϋποθέσεων από τις οποίες εξαρτάται η στοιχειοθέτηση της </w:t>
      </w:r>
      <w:proofErr w:type="spellStart"/>
      <w:r w:rsidRPr="001317F1">
        <w:rPr>
          <w:rFonts w:asciiTheme="majorHAnsi" w:hAnsiTheme="majorHAnsi" w:cstheme="majorHAnsi"/>
        </w:rPr>
        <w:t>εξωσυμβατικής</w:t>
      </w:r>
      <w:proofErr w:type="spellEnd"/>
      <w:r w:rsidRPr="001317F1">
        <w:rPr>
          <w:rFonts w:asciiTheme="majorHAnsi" w:hAnsiTheme="majorHAnsi" w:cstheme="majorHAnsi"/>
        </w:rPr>
        <w:t xml:space="preserve"> ευθύνης της Ένωσης.</w:t>
      </w:r>
    </w:p>
    <w:p w:rsidR="001317F1" w:rsidRPr="001317F1" w:rsidRDefault="001317F1" w:rsidP="001317F1">
      <w:pPr>
        <w:rPr>
          <w:rFonts w:asciiTheme="majorHAnsi" w:hAnsiTheme="majorHAnsi" w:cstheme="majorHAnsi"/>
        </w:rPr>
      </w:pPr>
      <w:r w:rsidRPr="001317F1">
        <w:rPr>
          <w:rFonts w:asciiTheme="majorHAnsi" w:hAnsiTheme="majorHAnsi" w:cstheme="majorHAnsi"/>
        </w:rPr>
        <w:t>32      Η Επιτροπή και η ΕΚΤ ζητούν να κηρυχθούν απαράδεκτες οι αιτήσεις αναιρέσεως και προσθέτουν ότι, εν πάση περιπτώσει, ο λόγος αναιρέσεως πρέπει να απορριφθεί ως αβάσιμος.</w:t>
      </w:r>
    </w:p>
    <w:p w:rsidR="001317F1" w:rsidRPr="00862FD5" w:rsidRDefault="001317F1" w:rsidP="001317F1">
      <w:pPr>
        <w:rPr>
          <w:rFonts w:asciiTheme="majorHAnsi" w:hAnsiTheme="majorHAnsi" w:cstheme="majorHAnsi"/>
        </w:rPr>
      </w:pPr>
      <w:r w:rsidRPr="00491C0E">
        <w:rPr>
          <w:rFonts w:asciiTheme="majorHAnsi" w:hAnsiTheme="majorHAnsi" w:cstheme="majorHAnsi"/>
          <w:b/>
        </w:rPr>
        <w:t>Επί του παραδεκτού</w:t>
      </w:r>
      <w:r w:rsidR="00862FD5">
        <w:rPr>
          <w:rFonts w:asciiTheme="majorHAnsi" w:hAnsiTheme="majorHAnsi" w:cstheme="majorHAnsi"/>
        </w:rPr>
        <w:t xml:space="preserve"> […]</w:t>
      </w:r>
    </w:p>
    <w:p w:rsidR="001317F1" w:rsidRPr="00491C0E" w:rsidRDefault="001317F1" w:rsidP="001317F1">
      <w:pPr>
        <w:rPr>
          <w:rFonts w:asciiTheme="majorHAnsi" w:hAnsiTheme="majorHAnsi" w:cstheme="majorHAnsi"/>
          <w:b/>
        </w:rPr>
      </w:pPr>
      <w:r w:rsidRPr="00491C0E">
        <w:rPr>
          <w:rFonts w:asciiTheme="majorHAnsi" w:hAnsiTheme="majorHAnsi" w:cstheme="majorHAnsi"/>
          <w:b/>
        </w:rPr>
        <w:t>Επί της ουσίας</w:t>
      </w:r>
    </w:p>
    <w:p w:rsidR="001317F1" w:rsidRPr="001317F1" w:rsidRDefault="001317F1" w:rsidP="001317F1">
      <w:pPr>
        <w:rPr>
          <w:rFonts w:asciiTheme="majorHAnsi" w:hAnsiTheme="majorHAnsi" w:cstheme="majorHAnsi"/>
        </w:rPr>
      </w:pPr>
      <w:r w:rsidRPr="00491C0E">
        <w:rPr>
          <w:rFonts w:asciiTheme="majorHAnsi" w:hAnsiTheme="majorHAnsi" w:cstheme="majorHAnsi"/>
          <w:b/>
        </w:rPr>
        <w:t xml:space="preserve">Επιχειρήματα των </w:t>
      </w:r>
      <w:proofErr w:type="spellStart"/>
      <w:r w:rsidRPr="00491C0E">
        <w:rPr>
          <w:rFonts w:asciiTheme="majorHAnsi" w:hAnsiTheme="majorHAnsi" w:cstheme="majorHAnsi"/>
          <w:b/>
        </w:rPr>
        <w:t>αναιρεσειόντων</w:t>
      </w:r>
      <w:proofErr w:type="spellEnd"/>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42      Οι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προσάπτουν στο Γενικό Δικαστήριο ότι υπέπεσε σε πλάνη περί το δίκαιο καθόσον περιορίστηκε να κρίνει, με τη σκέψη 45 των </w:t>
      </w:r>
      <w:proofErr w:type="spellStart"/>
      <w:r w:rsidRPr="001317F1">
        <w:rPr>
          <w:rFonts w:asciiTheme="majorHAnsi" w:hAnsiTheme="majorHAnsi" w:cstheme="majorHAnsi"/>
        </w:rPr>
        <w:t>αναιρεσιβαλλομένων</w:t>
      </w:r>
      <w:proofErr w:type="spellEnd"/>
      <w:r w:rsidRPr="001317F1">
        <w:rPr>
          <w:rFonts w:asciiTheme="majorHAnsi" w:hAnsiTheme="majorHAnsi" w:cstheme="majorHAnsi"/>
        </w:rPr>
        <w:t xml:space="preserve"> διατάξεων, ότι τα καθήκοντα που ανατίθενται στην Επιτροπή και στην ΕΚΤ δεν </w:t>
      </w:r>
      <w:proofErr w:type="spellStart"/>
      <w:r w:rsidRPr="001317F1">
        <w:rPr>
          <w:rFonts w:asciiTheme="majorHAnsi" w:hAnsiTheme="majorHAnsi" w:cstheme="majorHAnsi"/>
        </w:rPr>
        <w:t>περιελάμβαναν</w:t>
      </w:r>
      <w:proofErr w:type="spellEnd"/>
      <w:r w:rsidRPr="001317F1">
        <w:rPr>
          <w:rFonts w:asciiTheme="majorHAnsi" w:hAnsiTheme="majorHAnsi" w:cstheme="majorHAnsi"/>
        </w:rPr>
        <w:t xml:space="preserve"> την άσκηση ιδίας εξουσίας λήψεως αποφάσεων. Κατ’ αυτόν τον τρόπο, το Γενικό Δικαστήριο </w:t>
      </w:r>
      <w:proofErr w:type="spellStart"/>
      <w:r w:rsidRPr="001317F1">
        <w:rPr>
          <w:rFonts w:asciiTheme="majorHAnsi" w:hAnsiTheme="majorHAnsi" w:cstheme="majorHAnsi"/>
        </w:rPr>
        <w:t>παρέβη</w:t>
      </w:r>
      <w:proofErr w:type="spellEnd"/>
      <w:r w:rsidRPr="001317F1">
        <w:rPr>
          <w:rFonts w:asciiTheme="majorHAnsi" w:hAnsiTheme="majorHAnsi" w:cstheme="majorHAnsi"/>
        </w:rPr>
        <w:t xml:space="preserve"> το άρθρο 13, παράγραφος 4, της Συνθήκης για τον ΕΜΣ, μη λαμβάνοντας υπόψη το γεγονός ότι η Επιτροπή υπέγραψε το μνημόνιο κατανόησης της 26ης Απριλίου 2013 μολονότι αυτό περιείχε παράνομη προϋπόθεση. Επομένως, οι πραγματικοί υπεύθυνοι για τη διάσωση με ίδια μέσα των κυπριακών τραπεζών ήταν η Επιτροπή και η ΕΚΤ.</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43      Συναφώς, οι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επισημαίνουν ότι ενώπιον του Γενικού Δικαστηρίου είχαν υποστηρίξει ότι η πραγματική αιτία της μειώσεως της αξίας των καταθέσεών τους αναγόταν στις προϋποθέσεις προς τις οποίες συναρτάτο η διευκόλυνση χρηματοπιστωτικής συνδρομής που χορηγήθηκε στην Κυπριακή Δημοκρατία και στον τρόπο που αυτές απαιτήθηκαν από την Επιτροπή και την ΕΚΤ. Συγκεκριμένα, το εν λόγω κράτος μέλος υποχρεώθηκε από την Επιτροπή και την ΕΚΤ να προβεί στην έκδοση των διαταγμάτων 103 και 104, υπό την καθοδήγηση των υπαλλήλων των θεσμικών </w:t>
      </w:r>
      <w:r w:rsidRPr="001317F1">
        <w:rPr>
          <w:rFonts w:asciiTheme="majorHAnsi" w:hAnsiTheme="majorHAnsi" w:cstheme="majorHAnsi"/>
        </w:rPr>
        <w:lastRenderedPageBreak/>
        <w:t xml:space="preserve">αυτών οργάνων οι οποίοι </w:t>
      </w:r>
      <w:proofErr w:type="spellStart"/>
      <w:r w:rsidRPr="001317F1">
        <w:rPr>
          <w:rFonts w:asciiTheme="majorHAnsi" w:hAnsiTheme="majorHAnsi" w:cstheme="majorHAnsi"/>
        </w:rPr>
        <w:t>παρενέβησαν</w:t>
      </w:r>
      <w:proofErr w:type="spellEnd"/>
      <w:r w:rsidRPr="001317F1">
        <w:rPr>
          <w:rFonts w:asciiTheme="majorHAnsi" w:hAnsiTheme="majorHAnsi" w:cstheme="majorHAnsi"/>
        </w:rPr>
        <w:t xml:space="preserve"> επειγόντως προς τον σκοπό αυτό. Οι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διευκρινίζουν συναφώς ότι η Κυπριακή Δημοκρατία είχε υποβάλει αίτηση περί παροχής διευκόλυνσης χρηματοπιστωτικής συνδρομής με σκοπό την </w:t>
      </w:r>
      <w:proofErr w:type="spellStart"/>
      <w:r w:rsidRPr="001317F1">
        <w:rPr>
          <w:rFonts w:asciiTheme="majorHAnsi" w:hAnsiTheme="majorHAnsi" w:cstheme="majorHAnsi"/>
        </w:rPr>
        <w:t>ανακεφαλαιοποίηση</w:t>
      </w:r>
      <w:proofErr w:type="spellEnd"/>
      <w:r w:rsidRPr="001317F1">
        <w:rPr>
          <w:rFonts w:asciiTheme="majorHAnsi" w:hAnsiTheme="majorHAnsi" w:cstheme="majorHAnsi"/>
        </w:rPr>
        <w:t xml:space="preserve"> της Cyprus Popular Bank και της Bank of Cyprus και όχι την εξυγίανση αυτών διά της πρόωρης εφαρμογής μέτρου διάσωσης με ίδια μέσα. Κατά τους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η αρχική θέση της Επιτροπής και της ΕΚΤ ήταν, αντιθέτως, ότι έπρεπε να χρησιμοποιηθεί το εν λόγω μέτρο.</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44      Οι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προσάπτουν στο Γενικό Δικαστήριο ότι δεν απάντησε στα επιχειρήματά τους σχετικά με τον καθοριστικό ρόλο τον οποίο διαδραμάτισαν τα εν λόγω θεσμικά όργανα στο πλαίσιο της υπογραφής του μνημονίου κατανόησης της 26ης Απριλίου 2013 και, συνακόλουθα, της επελεύσεως της οικονομικής ζημίας που συνδέεται με την </w:t>
      </w:r>
      <w:proofErr w:type="spellStart"/>
      <w:r w:rsidRPr="001317F1">
        <w:rPr>
          <w:rFonts w:asciiTheme="majorHAnsi" w:hAnsiTheme="majorHAnsi" w:cstheme="majorHAnsi"/>
        </w:rPr>
        <w:t>ανακεφαλαιοποίηση</w:t>
      </w:r>
      <w:proofErr w:type="spellEnd"/>
      <w:r w:rsidRPr="001317F1">
        <w:rPr>
          <w:rFonts w:asciiTheme="majorHAnsi" w:hAnsiTheme="majorHAnsi" w:cstheme="majorHAnsi"/>
        </w:rPr>
        <w:t xml:space="preserve"> της Bank of Cyprus και την εξυγίανση της Cyprus Popular Bank.</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45      Οι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υποστηρίζουν, επίσης, ότι το Γενικό Δικαστήριο υπέπεσε σε πλάνη περί το δίκαιο κατά την εξέταση του επιχειρήματός τους ότι η Επιτροπή δεν μερίμνησε για τη συμβατότητα του μνημονίου κατανόησης της 26ης Απριλίου 2013 με το δίκαιο της Ένωσης.</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46      Στο πλαίσιο αυτό, οι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προσάπτουν στο Γενικό Δικαστήριο ότι δεν έλαβε υπόψη ως όφειλε την προβαλλόμενη αδράνεια της Επιτροπής μολονότι, κατά τη διατύπωση της σκέψεως 164 της αποφάσεως της 27ης Νοεμβρίου 2012, </w:t>
      </w:r>
      <w:proofErr w:type="spellStart"/>
      <w:r w:rsidRPr="001317F1">
        <w:rPr>
          <w:rFonts w:asciiTheme="majorHAnsi" w:hAnsiTheme="majorHAnsi" w:cstheme="majorHAnsi"/>
        </w:rPr>
        <w:t>Pringle</w:t>
      </w:r>
      <w:proofErr w:type="spellEnd"/>
      <w:r w:rsidRPr="001317F1">
        <w:rPr>
          <w:rFonts w:asciiTheme="majorHAnsi" w:hAnsiTheme="majorHAnsi" w:cstheme="majorHAnsi"/>
        </w:rPr>
        <w:t xml:space="preserve"> (C</w:t>
      </w:r>
      <w:r w:rsidRPr="001317F1">
        <w:rPr>
          <w:rFonts w:ascii="Cambria Math" w:hAnsi="Cambria Math" w:cs="Cambria Math"/>
        </w:rPr>
        <w:t>‑</w:t>
      </w:r>
      <w:r w:rsidRPr="001317F1">
        <w:rPr>
          <w:rFonts w:asciiTheme="majorHAnsi" w:hAnsiTheme="majorHAnsi" w:cstheme="majorHAnsi"/>
        </w:rPr>
        <w:t xml:space="preserve">370/12, EU:C:2012:756), </w:t>
      </w:r>
      <w:r w:rsidRPr="001317F1">
        <w:rPr>
          <w:rFonts w:ascii="Calibri Light" w:hAnsi="Calibri Light" w:cs="Calibri Light"/>
        </w:rPr>
        <w:t>τα</w:t>
      </w:r>
      <w:r w:rsidRPr="001317F1">
        <w:rPr>
          <w:rFonts w:asciiTheme="majorHAnsi" w:hAnsiTheme="majorHAnsi" w:cstheme="majorHAnsi"/>
        </w:rPr>
        <w:t xml:space="preserve"> </w:t>
      </w:r>
      <w:r w:rsidRPr="001317F1">
        <w:rPr>
          <w:rFonts w:ascii="Calibri Light" w:hAnsi="Calibri Light" w:cs="Calibri Light"/>
        </w:rPr>
        <w:t>καθήκοντα</w:t>
      </w:r>
      <w:r w:rsidRPr="001317F1">
        <w:rPr>
          <w:rFonts w:asciiTheme="majorHAnsi" w:hAnsiTheme="majorHAnsi" w:cstheme="majorHAnsi"/>
        </w:rPr>
        <w:t xml:space="preserve"> </w:t>
      </w:r>
      <w:r w:rsidRPr="001317F1">
        <w:rPr>
          <w:rFonts w:ascii="Calibri Light" w:hAnsi="Calibri Light" w:cs="Calibri Light"/>
        </w:rPr>
        <w:t>που</w:t>
      </w:r>
      <w:r w:rsidRPr="001317F1">
        <w:rPr>
          <w:rFonts w:asciiTheme="majorHAnsi" w:hAnsiTheme="majorHAnsi" w:cstheme="majorHAnsi"/>
        </w:rPr>
        <w:t xml:space="preserve"> </w:t>
      </w:r>
      <w:r w:rsidRPr="001317F1">
        <w:rPr>
          <w:rFonts w:ascii="Calibri Light" w:hAnsi="Calibri Light" w:cs="Calibri Light"/>
        </w:rPr>
        <w:t>ανατίθενται</w:t>
      </w:r>
      <w:r w:rsidRPr="001317F1">
        <w:rPr>
          <w:rFonts w:asciiTheme="majorHAnsi" w:hAnsiTheme="majorHAnsi" w:cstheme="majorHAnsi"/>
        </w:rPr>
        <w:t xml:space="preserve"> </w:t>
      </w:r>
      <w:r w:rsidRPr="001317F1">
        <w:rPr>
          <w:rFonts w:ascii="Calibri Light" w:hAnsi="Calibri Light" w:cs="Calibri Light"/>
        </w:rPr>
        <w:t>στην</w:t>
      </w:r>
      <w:r w:rsidRPr="001317F1">
        <w:rPr>
          <w:rFonts w:asciiTheme="majorHAnsi" w:hAnsiTheme="majorHAnsi" w:cstheme="majorHAnsi"/>
        </w:rPr>
        <w:t xml:space="preserve"> </w:t>
      </w:r>
      <w:r w:rsidRPr="001317F1">
        <w:rPr>
          <w:rFonts w:ascii="Calibri Light" w:hAnsi="Calibri Light" w:cs="Calibri Light"/>
        </w:rPr>
        <w:t>Επιτροπή</w:t>
      </w:r>
      <w:r w:rsidRPr="001317F1">
        <w:rPr>
          <w:rFonts w:asciiTheme="majorHAnsi" w:hAnsiTheme="majorHAnsi" w:cstheme="majorHAnsi"/>
        </w:rPr>
        <w:t xml:space="preserve"> </w:t>
      </w:r>
      <w:r w:rsidRPr="001317F1">
        <w:rPr>
          <w:rFonts w:ascii="Calibri Light" w:hAnsi="Calibri Light" w:cs="Calibri Light"/>
        </w:rPr>
        <w:t>από</w:t>
      </w:r>
      <w:r w:rsidRPr="001317F1">
        <w:rPr>
          <w:rFonts w:asciiTheme="majorHAnsi" w:hAnsiTheme="majorHAnsi" w:cstheme="majorHAnsi"/>
        </w:rPr>
        <w:t xml:space="preserve"> </w:t>
      </w:r>
      <w:r w:rsidRPr="001317F1">
        <w:rPr>
          <w:rFonts w:ascii="Calibri Light" w:hAnsi="Calibri Light" w:cs="Calibri Light"/>
        </w:rPr>
        <w:t>τη</w:t>
      </w:r>
      <w:r w:rsidRPr="001317F1">
        <w:rPr>
          <w:rFonts w:asciiTheme="majorHAnsi" w:hAnsiTheme="majorHAnsi" w:cstheme="majorHAnsi"/>
        </w:rPr>
        <w:t xml:space="preserve"> </w:t>
      </w:r>
      <w:r w:rsidRPr="001317F1">
        <w:rPr>
          <w:rFonts w:ascii="Calibri Light" w:hAnsi="Calibri Light" w:cs="Calibri Light"/>
        </w:rPr>
        <w:t>Συνθήκη</w:t>
      </w:r>
      <w:r w:rsidRPr="001317F1">
        <w:rPr>
          <w:rFonts w:asciiTheme="majorHAnsi" w:hAnsiTheme="majorHAnsi" w:cstheme="majorHAnsi"/>
        </w:rPr>
        <w:t xml:space="preserve"> </w:t>
      </w:r>
      <w:r w:rsidRPr="001317F1">
        <w:rPr>
          <w:rFonts w:ascii="Calibri Light" w:hAnsi="Calibri Light" w:cs="Calibri Light"/>
        </w:rPr>
        <w:t>για</w:t>
      </w:r>
      <w:r w:rsidRPr="001317F1">
        <w:rPr>
          <w:rFonts w:asciiTheme="majorHAnsi" w:hAnsiTheme="majorHAnsi" w:cstheme="majorHAnsi"/>
        </w:rPr>
        <w:t xml:space="preserve"> </w:t>
      </w:r>
      <w:r w:rsidRPr="001317F1">
        <w:rPr>
          <w:rFonts w:ascii="Calibri Light" w:hAnsi="Calibri Light" w:cs="Calibri Light"/>
        </w:rPr>
        <w:t>τον</w:t>
      </w:r>
      <w:r w:rsidRPr="001317F1">
        <w:rPr>
          <w:rFonts w:asciiTheme="majorHAnsi" w:hAnsiTheme="majorHAnsi" w:cstheme="majorHAnsi"/>
        </w:rPr>
        <w:t xml:space="preserve"> </w:t>
      </w:r>
      <w:r w:rsidRPr="001317F1">
        <w:rPr>
          <w:rFonts w:ascii="Calibri Light" w:hAnsi="Calibri Light" w:cs="Calibri Light"/>
        </w:rPr>
        <w:t>ΕΜΣ</w:t>
      </w:r>
      <w:r w:rsidRPr="001317F1">
        <w:rPr>
          <w:rFonts w:asciiTheme="majorHAnsi" w:hAnsiTheme="majorHAnsi" w:cstheme="majorHAnsi"/>
        </w:rPr>
        <w:t xml:space="preserve"> </w:t>
      </w:r>
      <w:r w:rsidRPr="001317F1">
        <w:rPr>
          <w:rFonts w:ascii="Calibri Light" w:hAnsi="Calibri Light" w:cs="Calibri Light"/>
        </w:rPr>
        <w:t>της</w:t>
      </w:r>
      <w:r w:rsidRPr="001317F1">
        <w:rPr>
          <w:rFonts w:asciiTheme="majorHAnsi" w:hAnsiTheme="majorHAnsi" w:cstheme="majorHAnsi"/>
        </w:rPr>
        <w:t xml:space="preserve"> </w:t>
      </w:r>
      <w:r w:rsidRPr="001317F1">
        <w:rPr>
          <w:rFonts w:ascii="Calibri Light" w:hAnsi="Calibri Light" w:cs="Calibri Light"/>
        </w:rPr>
        <w:t>επιτρέπουν</w:t>
      </w:r>
      <w:r w:rsidRPr="001317F1">
        <w:rPr>
          <w:rFonts w:asciiTheme="majorHAnsi" w:hAnsiTheme="majorHAnsi" w:cstheme="majorHAnsi"/>
        </w:rPr>
        <w:t xml:space="preserve">, </w:t>
      </w:r>
      <w:r w:rsidRPr="001317F1">
        <w:rPr>
          <w:rFonts w:ascii="Calibri Light" w:hAnsi="Calibri Light" w:cs="Calibri Light"/>
        </w:rPr>
        <w:t>όπω</w:t>
      </w:r>
      <w:r w:rsidRPr="001317F1">
        <w:rPr>
          <w:rFonts w:asciiTheme="majorHAnsi" w:hAnsiTheme="majorHAnsi" w:cstheme="majorHAnsi"/>
        </w:rPr>
        <w:t xml:space="preserve">ς προβλέπει το άρθρο 13, παράγραφοι 3 και 4, της Συνθήκης αυτής, να μεριμνά για τη συμβατότητα με το δίκαιο της Ένωσης των μνημονίων κατανόησης που συνάπτονται από τον ΕΜΣ και ότι, κατά τη σκέψη 174 της εν λόγω αποφάσεως, βάσει του άρθρου 13, παράγραφος 3, της ως άνω Συνθήκης, το μνημόνιο κατανόησης, το οποίο αποτελεί αντικείμενο διαπραγμάτευσης με το κράτος μέλος που ζητεί τη χορήγηση στήριξης σταθερότητας, πρέπει να συνάδει πλήρως με το δίκαιο της Ένωσης. Κατά τους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το Δικαστήριο έχει, ως εκ τούτου, αποφανθεί ότι οι προϋποθέσεις από τις οποίες εξαρτάται η παροχή διευκόλυνσης χρηματοπιστωτικής συνδρομής πρέπει να είναι σύμφωνες με το δίκαιο της Ένωσης.</w:t>
      </w:r>
    </w:p>
    <w:p w:rsidR="001317F1" w:rsidRPr="001317F1" w:rsidRDefault="001317F1" w:rsidP="001317F1">
      <w:pPr>
        <w:rPr>
          <w:rFonts w:asciiTheme="majorHAnsi" w:hAnsiTheme="majorHAnsi" w:cstheme="majorHAnsi"/>
        </w:rPr>
      </w:pPr>
      <w:r w:rsidRPr="001317F1">
        <w:rPr>
          <w:rFonts w:asciiTheme="majorHAnsi" w:hAnsiTheme="majorHAnsi" w:cstheme="majorHAnsi"/>
        </w:rPr>
        <w:t>47      Η εφαρμογή ωστόσο ενός μέτρου διάσωσης με ίδια μέσα, όπως αυτό περί του οποίου γίνεται λόγος στα επίμαχα σημεία, συνιστά πρόδηλη προσβολή του δικαιώματος ιδιοκτησίας η οποία αντιβαίνει προς το άρθρο 17, παράγραφος 1, του Χάρτη των Θεμελιωδών Δικαιωμάτων της Ευρωπαϊκής Ένωσης και προς το άρθρο 1 του Πρώτου Πρόσθετου Πρωτοκόλλου της Ευρωπαϊκής Συμβάσεως για την Προστασία των Δικαιωμάτων του Ανθρώπου και των Θεμελιωδών Ελευθεριών που υπογράφηκε στη Ρώμη στις 4 Νοεμβρίου 1950.</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48      Η Επιτροπή και η ΕΚΤ αμφισβητούν το βάσιμο των επιχειρημάτων που προέβαλαν οι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w:t>
      </w:r>
    </w:p>
    <w:p w:rsidR="001317F1" w:rsidRPr="001317F1" w:rsidRDefault="001317F1" w:rsidP="001317F1">
      <w:pPr>
        <w:rPr>
          <w:rFonts w:asciiTheme="majorHAnsi" w:hAnsiTheme="majorHAnsi" w:cstheme="majorHAnsi"/>
        </w:rPr>
      </w:pPr>
      <w:r w:rsidRPr="00491C0E">
        <w:rPr>
          <w:rFonts w:asciiTheme="majorHAnsi" w:hAnsiTheme="majorHAnsi" w:cstheme="majorHAnsi"/>
          <w:b/>
        </w:rPr>
        <w:t>Εκτίμηση του Δικαστηρίου</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49      Με τον λόγο αναιρέσεως που προβάλλουν, οι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αμφισβητούν την εκτίμηση του Γενικού Δικαστηρίου όσον αφορά τον ρόλο που διαδραμάτισαν η Επιτροπή και η ΕΚΤ στο πλαίσιο της υπογραφής του μνημονίου κατανόησης της 26ης Απριλίου 2013. Ειδικότερα, υποστηρίζουν ότι τα θεσμικά αυτά όργανα είναι οι </w:t>
      </w:r>
      <w:r w:rsidRPr="001317F1">
        <w:rPr>
          <w:rFonts w:asciiTheme="majorHAnsi" w:hAnsiTheme="majorHAnsi" w:cstheme="majorHAnsi"/>
        </w:rPr>
        <w:lastRenderedPageBreak/>
        <w:t>πραγματικοί υπεύθυνοι όσον αφορά τη διάσωση με ίδια μέσα που εφαρμόσθηκε στην Κύπρο και ότι το Γενικό Δικαστήριο υπέπεσε σε πλάνη περί το δίκαιο κατά την εξέταση του επιχειρήματός τους ότι η Επιτροπή παρέλειψε να μεριμνήσει για τη συμβατότητα του μνημονίου κατανόησης της 26ης Απριλίου 2013 με το δίκαιο της Ένωσης.</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50      Ο λόγος αυτός αναιρέσεως βάλλει, αφενός, κατά των σκέψεων 44 έως 47 των </w:t>
      </w:r>
      <w:proofErr w:type="spellStart"/>
      <w:r w:rsidRPr="001317F1">
        <w:rPr>
          <w:rFonts w:asciiTheme="majorHAnsi" w:hAnsiTheme="majorHAnsi" w:cstheme="majorHAnsi"/>
        </w:rPr>
        <w:t>αναιρεσιβαλλομένων</w:t>
      </w:r>
      <w:proofErr w:type="spellEnd"/>
      <w:r w:rsidRPr="001317F1">
        <w:rPr>
          <w:rFonts w:asciiTheme="majorHAnsi" w:hAnsiTheme="majorHAnsi" w:cstheme="majorHAnsi"/>
        </w:rPr>
        <w:t xml:space="preserve"> διατάξεων, με τις οποίες το Γενικό Δικαστήριο επισήμανε ότι το μνημόνιο κατανόησης δεν αποτελούσε πράξη της Επιτροπής και της ΕΚΤ και, συνακόλουθα, έκρινε ότι το ίδιο δεν είχε αρμοδιότητα να αποφανθεί επί των αιτημάτων αποζημιώσεως, στο μέτρο που αυτά στηρίζονταν στον παράνομο χαρακτήρα των επίμαχων σημείων. Αφετέρου, βάλλει κατά των σκέψεων 48 έως 54 των </w:t>
      </w:r>
      <w:proofErr w:type="spellStart"/>
      <w:r w:rsidRPr="001317F1">
        <w:rPr>
          <w:rFonts w:asciiTheme="majorHAnsi" w:hAnsiTheme="majorHAnsi" w:cstheme="majorHAnsi"/>
        </w:rPr>
        <w:t>αναιρεσιβαλλομένων</w:t>
      </w:r>
      <w:proofErr w:type="spellEnd"/>
      <w:r w:rsidRPr="001317F1">
        <w:rPr>
          <w:rFonts w:asciiTheme="majorHAnsi" w:hAnsiTheme="majorHAnsi" w:cstheme="majorHAnsi"/>
        </w:rPr>
        <w:t xml:space="preserve"> διατάξεων, με τις οποίες το Γενικό Δικαστήριο έκρινε, κατ’ </w:t>
      </w:r>
      <w:proofErr w:type="spellStart"/>
      <w:r w:rsidRPr="001317F1">
        <w:rPr>
          <w:rFonts w:asciiTheme="majorHAnsi" w:hAnsiTheme="majorHAnsi" w:cstheme="majorHAnsi"/>
        </w:rPr>
        <w:t>ουσίαν</w:t>
      </w:r>
      <w:proofErr w:type="spellEnd"/>
      <w:r w:rsidRPr="001317F1">
        <w:rPr>
          <w:rFonts w:asciiTheme="majorHAnsi" w:hAnsiTheme="majorHAnsi" w:cstheme="majorHAnsi"/>
        </w:rPr>
        <w:t xml:space="preserve">, ότι οι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δεν είχαν αποδείξει ότι η ζημία την οποία υποστηρίζουν ότι υπέστησαν προκλήθηκε από την παράβαση εκ μέρους της Επιτροπής φερόμενης υποχρεώσεώς της να διασφαλίσει το συμβατό του μνημονίου κατανόησης της 26ης Απριλίου 2013 με το δίκαιο της Ένωσης.</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51      Το Γενικό Δικαστήριο επισήμανε, με τη σκέψη 44 των </w:t>
      </w:r>
      <w:proofErr w:type="spellStart"/>
      <w:r w:rsidRPr="001317F1">
        <w:rPr>
          <w:rFonts w:asciiTheme="majorHAnsi" w:hAnsiTheme="majorHAnsi" w:cstheme="majorHAnsi"/>
        </w:rPr>
        <w:t>αναιρεσιβαλλομένων</w:t>
      </w:r>
      <w:proofErr w:type="spellEnd"/>
      <w:r w:rsidRPr="001317F1">
        <w:rPr>
          <w:rFonts w:asciiTheme="majorHAnsi" w:hAnsiTheme="majorHAnsi" w:cstheme="majorHAnsi"/>
        </w:rPr>
        <w:t xml:space="preserve"> διατάξεων, ότι το εν λόγω μνημόνιο κατανόησης υπογράφηκε από κοινού από τον ΕΜΣ και την Κυπριακή Δημοκρατία και ότι, όπως προκύπτει από το άρθρο 13, παράγραφος 4, της Συνθήκης για τον ΕΜΣ, η Επιτροπή υπέγραψε το ίδιο αυτό μνημόνιο κατανόησης εξ ονόματος του ΕΜΣ και μόνο. Εν συνεχεία, στηριζόμενο στη σκέψη 161 της αποφάσεως της 27ης Νοεμβρίου 2012, </w:t>
      </w:r>
      <w:proofErr w:type="spellStart"/>
      <w:r w:rsidRPr="001317F1">
        <w:rPr>
          <w:rFonts w:asciiTheme="majorHAnsi" w:hAnsiTheme="majorHAnsi" w:cstheme="majorHAnsi"/>
        </w:rPr>
        <w:t>Pringle</w:t>
      </w:r>
      <w:proofErr w:type="spellEnd"/>
      <w:r w:rsidRPr="001317F1">
        <w:rPr>
          <w:rFonts w:asciiTheme="majorHAnsi" w:hAnsiTheme="majorHAnsi" w:cstheme="majorHAnsi"/>
        </w:rPr>
        <w:t xml:space="preserve"> (C</w:t>
      </w:r>
      <w:r w:rsidRPr="001317F1">
        <w:rPr>
          <w:rFonts w:ascii="Cambria Math" w:hAnsi="Cambria Math" w:cs="Cambria Math"/>
        </w:rPr>
        <w:t>‑</w:t>
      </w:r>
      <w:r w:rsidRPr="001317F1">
        <w:rPr>
          <w:rFonts w:asciiTheme="majorHAnsi" w:hAnsiTheme="majorHAnsi" w:cstheme="majorHAnsi"/>
        </w:rPr>
        <w:t xml:space="preserve">370/12, EU:C:2012:756), </w:t>
      </w:r>
      <w:r w:rsidRPr="001317F1">
        <w:rPr>
          <w:rFonts w:ascii="Calibri Light" w:hAnsi="Calibri Light" w:cs="Calibri Light"/>
        </w:rPr>
        <w:t>το</w:t>
      </w:r>
      <w:r w:rsidRPr="001317F1">
        <w:rPr>
          <w:rFonts w:asciiTheme="majorHAnsi" w:hAnsiTheme="majorHAnsi" w:cstheme="majorHAnsi"/>
        </w:rPr>
        <w:t xml:space="preserve"> </w:t>
      </w:r>
      <w:r w:rsidRPr="001317F1">
        <w:rPr>
          <w:rFonts w:ascii="Calibri Light" w:hAnsi="Calibri Light" w:cs="Calibri Light"/>
        </w:rPr>
        <w:t>Γενικό</w:t>
      </w:r>
      <w:r w:rsidRPr="001317F1">
        <w:rPr>
          <w:rFonts w:asciiTheme="majorHAnsi" w:hAnsiTheme="majorHAnsi" w:cstheme="majorHAnsi"/>
        </w:rPr>
        <w:t xml:space="preserve"> </w:t>
      </w:r>
      <w:r w:rsidRPr="001317F1">
        <w:rPr>
          <w:rFonts w:ascii="Calibri Light" w:hAnsi="Calibri Light" w:cs="Calibri Light"/>
        </w:rPr>
        <w:t>Δικαστήριο</w:t>
      </w:r>
      <w:r w:rsidRPr="001317F1">
        <w:rPr>
          <w:rFonts w:asciiTheme="majorHAnsi" w:hAnsiTheme="majorHAnsi" w:cstheme="majorHAnsi"/>
        </w:rPr>
        <w:t xml:space="preserve"> </w:t>
      </w:r>
      <w:r w:rsidRPr="001317F1">
        <w:rPr>
          <w:rFonts w:ascii="Calibri Light" w:hAnsi="Calibri Light" w:cs="Calibri Light"/>
        </w:rPr>
        <w:t>υπενθύμισε</w:t>
      </w:r>
      <w:r w:rsidRPr="001317F1">
        <w:rPr>
          <w:rFonts w:asciiTheme="majorHAnsi" w:hAnsiTheme="majorHAnsi" w:cstheme="majorHAnsi"/>
        </w:rPr>
        <w:t xml:space="preserve">, </w:t>
      </w:r>
      <w:r w:rsidRPr="001317F1">
        <w:rPr>
          <w:rFonts w:ascii="Calibri Light" w:hAnsi="Calibri Light" w:cs="Calibri Light"/>
        </w:rPr>
        <w:t>με</w:t>
      </w:r>
      <w:r w:rsidRPr="001317F1">
        <w:rPr>
          <w:rFonts w:asciiTheme="majorHAnsi" w:hAnsiTheme="majorHAnsi" w:cstheme="majorHAnsi"/>
        </w:rPr>
        <w:t xml:space="preserve"> </w:t>
      </w:r>
      <w:r w:rsidRPr="001317F1">
        <w:rPr>
          <w:rFonts w:ascii="Calibri Light" w:hAnsi="Calibri Light" w:cs="Calibri Light"/>
        </w:rPr>
        <w:t>τη</w:t>
      </w:r>
      <w:r w:rsidRPr="001317F1">
        <w:rPr>
          <w:rFonts w:asciiTheme="majorHAnsi" w:hAnsiTheme="majorHAnsi" w:cstheme="majorHAnsi"/>
        </w:rPr>
        <w:t xml:space="preserve"> </w:t>
      </w:r>
      <w:r w:rsidRPr="001317F1">
        <w:rPr>
          <w:rFonts w:ascii="Calibri Light" w:hAnsi="Calibri Light" w:cs="Calibri Light"/>
        </w:rPr>
        <w:t>σκέψη</w:t>
      </w:r>
      <w:r w:rsidRPr="001317F1">
        <w:rPr>
          <w:rFonts w:asciiTheme="majorHAnsi" w:hAnsiTheme="majorHAnsi" w:cstheme="majorHAnsi"/>
        </w:rPr>
        <w:t xml:space="preserve"> 45 </w:t>
      </w:r>
      <w:r w:rsidRPr="001317F1">
        <w:rPr>
          <w:rFonts w:ascii="Calibri Light" w:hAnsi="Calibri Light" w:cs="Calibri Light"/>
        </w:rPr>
        <w:t>των</w:t>
      </w:r>
      <w:r w:rsidRPr="001317F1">
        <w:rPr>
          <w:rFonts w:asciiTheme="majorHAnsi" w:hAnsiTheme="majorHAnsi" w:cstheme="majorHAnsi"/>
        </w:rPr>
        <w:t xml:space="preserve"> </w:t>
      </w:r>
      <w:r w:rsidRPr="001317F1">
        <w:rPr>
          <w:rFonts w:ascii="Calibri Light" w:hAnsi="Calibri Light" w:cs="Calibri Light"/>
        </w:rPr>
        <w:t>εν</w:t>
      </w:r>
      <w:r w:rsidRPr="001317F1">
        <w:rPr>
          <w:rFonts w:asciiTheme="majorHAnsi" w:hAnsiTheme="majorHAnsi" w:cstheme="majorHAnsi"/>
        </w:rPr>
        <w:t xml:space="preserve"> </w:t>
      </w:r>
      <w:r w:rsidRPr="001317F1">
        <w:rPr>
          <w:rFonts w:ascii="Calibri Light" w:hAnsi="Calibri Light" w:cs="Calibri Light"/>
        </w:rPr>
        <w:t>λόγω</w:t>
      </w:r>
      <w:r w:rsidRPr="001317F1">
        <w:rPr>
          <w:rFonts w:asciiTheme="majorHAnsi" w:hAnsiTheme="majorHAnsi" w:cstheme="majorHAnsi"/>
        </w:rPr>
        <w:t xml:space="preserve"> </w:t>
      </w:r>
      <w:r w:rsidRPr="001317F1">
        <w:rPr>
          <w:rFonts w:ascii="Calibri Light" w:hAnsi="Calibri Light" w:cs="Calibri Light"/>
        </w:rPr>
        <w:t>διατάξεων</w:t>
      </w:r>
      <w:r w:rsidRPr="001317F1">
        <w:rPr>
          <w:rFonts w:asciiTheme="majorHAnsi" w:hAnsiTheme="majorHAnsi" w:cstheme="majorHAnsi"/>
        </w:rPr>
        <w:t xml:space="preserve">, </w:t>
      </w:r>
      <w:r w:rsidRPr="001317F1">
        <w:rPr>
          <w:rFonts w:ascii="Calibri Light" w:hAnsi="Calibri Light" w:cs="Calibri Light"/>
        </w:rPr>
        <w:t>ότι</w:t>
      </w:r>
      <w:r w:rsidRPr="001317F1">
        <w:rPr>
          <w:rFonts w:asciiTheme="majorHAnsi" w:hAnsiTheme="majorHAnsi" w:cstheme="majorHAnsi"/>
        </w:rPr>
        <w:t xml:space="preserve">, </w:t>
      </w:r>
      <w:r w:rsidRPr="001317F1">
        <w:rPr>
          <w:rFonts w:ascii="Calibri Light" w:hAnsi="Calibri Light" w:cs="Calibri Light"/>
        </w:rPr>
        <w:t>μολονότι</w:t>
      </w:r>
      <w:r w:rsidRPr="001317F1">
        <w:rPr>
          <w:rFonts w:asciiTheme="majorHAnsi" w:hAnsiTheme="majorHAnsi" w:cstheme="majorHAnsi"/>
        </w:rPr>
        <w:t xml:space="preserve"> </w:t>
      </w:r>
      <w:r w:rsidRPr="001317F1">
        <w:rPr>
          <w:rFonts w:ascii="Calibri Light" w:hAnsi="Calibri Light" w:cs="Calibri Light"/>
        </w:rPr>
        <w:t>η</w:t>
      </w:r>
      <w:r w:rsidRPr="001317F1">
        <w:rPr>
          <w:rFonts w:asciiTheme="majorHAnsi" w:hAnsiTheme="majorHAnsi" w:cstheme="majorHAnsi"/>
        </w:rPr>
        <w:t xml:space="preserve"> </w:t>
      </w:r>
      <w:r w:rsidRPr="001317F1">
        <w:rPr>
          <w:rFonts w:ascii="Calibri Light" w:hAnsi="Calibri Light" w:cs="Calibri Light"/>
        </w:rPr>
        <w:t>Συνθήκη</w:t>
      </w:r>
      <w:r w:rsidRPr="001317F1">
        <w:rPr>
          <w:rFonts w:asciiTheme="majorHAnsi" w:hAnsiTheme="majorHAnsi" w:cstheme="majorHAnsi"/>
        </w:rPr>
        <w:t xml:space="preserve"> </w:t>
      </w:r>
      <w:r w:rsidRPr="001317F1">
        <w:rPr>
          <w:rFonts w:ascii="Calibri Light" w:hAnsi="Calibri Light" w:cs="Calibri Light"/>
        </w:rPr>
        <w:t>για</w:t>
      </w:r>
      <w:r w:rsidRPr="001317F1">
        <w:rPr>
          <w:rFonts w:asciiTheme="majorHAnsi" w:hAnsiTheme="majorHAnsi" w:cstheme="majorHAnsi"/>
        </w:rPr>
        <w:t xml:space="preserve"> </w:t>
      </w:r>
      <w:r w:rsidRPr="001317F1">
        <w:rPr>
          <w:rFonts w:ascii="Calibri Light" w:hAnsi="Calibri Light" w:cs="Calibri Light"/>
        </w:rPr>
        <w:t>τον</w:t>
      </w:r>
      <w:r w:rsidRPr="001317F1">
        <w:rPr>
          <w:rFonts w:asciiTheme="majorHAnsi" w:hAnsiTheme="majorHAnsi" w:cstheme="majorHAnsi"/>
        </w:rPr>
        <w:t xml:space="preserve"> </w:t>
      </w:r>
      <w:r w:rsidRPr="001317F1">
        <w:rPr>
          <w:rFonts w:ascii="Calibri Light" w:hAnsi="Calibri Light" w:cs="Calibri Light"/>
        </w:rPr>
        <w:t>ΕΜΣ</w:t>
      </w:r>
      <w:r w:rsidRPr="001317F1">
        <w:rPr>
          <w:rFonts w:asciiTheme="majorHAnsi" w:hAnsiTheme="majorHAnsi" w:cstheme="majorHAnsi"/>
        </w:rPr>
        <w:t xml:space="preserve"> </w:t>
      </w:r>
      <w:r w:rsidRPr="001317F1">
        <w:rPr>
          <w:rFonts w:ascii="Calibri Light" w:hAnsi="Calibri Light" w:cs="Calibri Light"/>
        </w:rPr>
        <w:t>αναθέτει</w:t>
      </w:r>
      <w:r w:rsidRPr="001317F1">
        <w:rPr>
          <w:rFonts w:asciiTheme="majorHAnsi" w:hAnsiTheme="majorHAnsi" w:cstheme="majorHAnsi"/>
        </w:rPr>
        <w:t xml:space="preserve"> </w:t>
      </w:r>
      <w:r w:rsidRPr="001317F1">
        <w:rPr>
          <w:rFonts w:ascii="Calibri Light" w:hAnsi="Calibri Light" w:cs="Calibri Light"/>
        </w:rPr>
        <w:t>στην</w:t>
      </w:r>
      <w:r w:rsidRPr="001317F1">
        <w:rPr>
          <w:rFonts w:asciiTheme="majorHAnsi" w:hAnsiTheme="majorHAnsi" w:cstheme="majorHAnsi"/>
        </w:rPr>
        <w:t xml:space="preserve"> Επιτροπή και την ΕΚΤ ορισμένα καθήκοντα τα οποία συνδέονται με την εφαρμογή των σκοπών της Συνθήκης αυτής, αφενός, τα καθήκοντα που ανατίθενται στην Επιτροπή και στην ΕΚΤ στο πλαίσιο της Συνθήκης ΕΜΣ δεν παρέχουν ιδία εξουσία λήψεως αποφάσεων και, αφετέρου, οι ενέργειες των εν λόγω δύο οργάνων στο πλαίσιο της ως άνω Συνθήκης δεσμεύουν μόνον τον ΕΜΣ.</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52      Συναφώς, πρέπει να </w:t>
      </w:r>
      <w:proofErr w:type="spellStart"/>
      <w:r w:rsidRPr="001317F1">
        <w:rPr>
          <w:rFonts w:asciiTheme="majorHAnsi" w:hAnsiTheme="majorHAnsi" w:cstheme="majorHAnsi"/>
        </w:rPr>
        <w:t>υπομνησθεί</w:t>
      </w:r>
      <w:proofErr w:type="spellEnd"/>
      <w:r w:rsidRPr="001317F1">
        <w:rPr>
          <w:rFonts w:asciiTheme="majorHAnsi" w:hAnsiTheme="majorHAnsi" w:cstheme="majorHAnsi"/>
        </w:rPr>
        <w:t xml:space="preserve"> ότι από τη δήλωση της </w:t>
      </w:r>
      <w:proofErr w:type="spellStart"/>
      <w:r w:rsidRPr="001317F1">
        <w:rPr>
          <w:rFonts w:asciiTheme="majorHAnsi" w:hAnsiTheme="majorHAnsi" w:cstheme="majorHAnsi"/>
        </w:rPr>
        <w:t>Ευρωομάδας</w:t>
      </w:r>
      <w:proofErr w:type="spellEnd"/>
      <w:r w:rsidRPr="001317F1">
        <w:rPr>
          <w:rFonts w:asciiTheme="majorHAnsi" w:hAnsiTheme="majorHAnsi" w:cstheme="majorHAnsi"/>
        </w:rPr>
        <w:t xml:space="preserve"> της 27ης Ιουνίου 2012 προκύπτει ότι αυτή ανέθεσε στην Επιτροπή και την ΕΚΤ να διαπραγματευθούν με τις κυπριακές αρχές ένα πρόγραμμα μακροοικονομικής προσαρμογής το οποίο θα συγκεκριμενοποιούνταν από μνημόνιο κατανόησης. Συμμετέχοντας στις διαπραγματεύσεις με τις κυπριακές αρχές και παρέχοντας τεχνική εμπειρογνωμοσύνη, συμβουλές και καθοδήγηση, η Επιτροπή και η ΕΚΤ ενήργησαν εντός των ορίων των αρμοδιοτήτων που τους αναθέτει το άρθρο 13, παράγραφος 3, της Συνθήκης για τον ΕΜΣ. Η συμμετοχή ωστόσο της Επιτροπής και της ΕΚΤ, όπως αυτή προβλέπεται από την εν λόγω διάταξη, στη διαδικασία η οποία κατέληξε στην υπογραφή του μνημονίου κατανόησης της 26ης Απριλίου 2013 δεν αρκεί προκειμένου αυτό να χαρακτηρισθεί ως πράξη δυνάμενη να τους αποδοθεί.</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53      Συγκεκριμένα, όπως επισήμανε το Δικαστήριο με τη σκέψη 161 της αποφάσεως της 27ης Νοεμβρίου 2012, </w:t>
      </w:r>
      <w:proofErr w:type="spellStart"/>
      <w:r w:rsidRPr="001317F1">
        <w:rPr>
          <w:rFonts w:asciiTheme="majorHAnsi" w:hAnsiTheme="majorHAnsi" w:cstheme="majorHAnsi"/>
        </w:rPr>
        <w:t>Pringle</w:t>
      </w:r>
      <w:proofErr w:type="spellEnd"/>
      <w:r w:rsidRPr="001317F1">
        <w:rPr>
          <w:rFonts w:asciiTheme="majorHAnsi" w:hAnsiTheme="majorHAnsi" w:cstheme="majorHAnsi"/>
        </w:rPr>
        <w:t xml:space="preserve"> (C</w:t>
      </w:r>
      <w:r w:rsidRPr="001317F1">
        <w:rPr>
          <w:rFonts w:ascii="Cambria Math" w:hAnsi="Cambria Math" w:cs="Cambria Math"/>
        </w:rPr>
        <w:t>‑</w:t>
      </w:r>
      <w:r w:rsidRPr="001317F1">
        <w:rPr>
          <w:rFonts w:asciiTheme="majorHAnsi" w:hAnsiTheme="majorHAnsi" w:cstheme="majorHAnsi"/>
        </w:rPr>
        <w:t xml:space="preserve">370/12, EU:C:2012:756), </w:t>
      </w:r>
      <w:r w:rsidRPr="001317F1">
        <w:rPr>
          <w:rFonts w:ascii="Calibri Light" w:hAnsi="Calibri Light" w:cs="Calibri Light"/>
        </w:rPr>
        <w:t>τα</w:t>
      </w:r>
      <w:r w:rsidRPr="001317F1">
        <w:rPr>
          <w:rFonts w:asciiTheme="majorHAnsi" w:hAnsiTheme="majorHAnsi" w:cstheme="majorHAnsi"/>
        </w:rPr>
        <w:t xml:space="preserve"> </w:t>
      </w:r>
      <w:r w:rsidRPr="001317F1">
        <w:rPr>
          <w:rFonts w:ascii="Calibri Light" w:hAnsi="Calibri Light" w:cs="Calibri Light"/>
        </w:rPr>
        <w:t>καθήκοντα</w:t>
      </w:r>
      <w:r w:rsidRPr="001317F1">
        <w:rPr>
          <w:rFonts w:asciiTheme="majorHAnsi" w:hAnsiTheme="majorHAnsi" w:cstheme="majorHAnsi"/>
        </w:rPr>
        <w:t xml:space="preserve"> </w:t>
      </w:r>
      <w:r w:rsidRPr="001317F1">
        <w:rPr>
          <w:rFonts w:ascii="Calibri Light" w:hAnsi="Calibri Light" w:cs="Calibri Light"/>
        </w:rPr>
        <w:t>που</w:t>
      </w:r>
      <w:r w:rsidRPr="001317F1">
        <w:rPr>
          <w:rFonts w:asciiTheme="majorHAnsi" w:hAnsiTheme="majorHAnsi" w:cstheme="majorHAnsi"/>
        </w:rPr>
        <w:t xml:space="preserve"> </w:t>
      </w:r>
      <w:r w:rsidRPr="001317F1">
        <w:rPr>
          <w:rFonts w:ascii="Calibri Light" w:hAnsi="Calibri Light" w:cs="Calibri Light"/>
        </w:rPr>
        <w:t>ανατίθενται</w:t>
      </w:r>
      <w:r w:rsidRPr="001317F1">
        <w:rPr>
          <w:rFonts w:asciiTheme="majorHAnsi" w:hAnsiTheme="majorHAnsi" w:cstheme="majorHAnsi"/>
        </w:rPr>
        <w:t xml:space="preserve"> </w:t>
      </w:r>
      <w:r w:rsidRPr="001317F1">
        <w:rPr>
          <w:rFonts w:ascii="Calibri Light" w:hAnsi="Calibri Light" w:cs="Calibri Light"/>
        </w:rPr>
        <w:t>στην</w:t>
      </w:r>
      <w:r w:rsidRPr="001317F1">
        <w:rPr>
          <w:rFonts w:asciiTheme="majorHAnsi" w:hAnsiTheme="majorHAnsi" w:cstheme="majorHAnsi"/>
        </w:rPr>
        <w:t xml:space="preserve"> </w:t>
      </w:r>
      <w:r w:rsidRPr="001317F1">
        <w:rPr>
          <w:rFonts w:ascii="Calibri Light" w:hAnsi="Calibri Light" w:cs="Calibri Light"/>
        </w:rPr>
        <w:t>Επιτροπή</w:t>
      </w:r>
      <w:r w:rsidRPr="001317F1">
        <w:rPr>
          <w:rFonts w:asciiTheme="majorHAnsi" w:hAnsiTheme="majorHAnsi" w:cstheme="majorHAnsi"/>
        </w:rPr>
        <w:t xml:space="preserve"> </w:t>
      </w:r>
      <w:r w:rsidRPr="001317F1">
        <w:rPr>
          <w:rFonts w:ascii="Calibri Light" w:hAnsi="Calibri Light" w:cs="Calibri Light"/>
        </w:rPr>
        <w:t>και</w:t>
      </w:r>
      <w:r w:rsidRPr="001317F1">
        <w:rPr>
          <w:rFonts w:asciiTheme="majorHAnsi" w:hAnsiTheme="majorHAnsi" w:cstheme="majorHAnsi"/>
        </w:rPr>
        <w:t xml:space="preserve"> </w:t>
      </w:r>
      <w:r w:rsidRPr="001317F1">
        <w:rPr>
          <w:rFonts w:ascii="Calibri Light" w:hAnsi="Calibri Light" w:cs="Calibri Light"/>
        </w:rPr>
        <w:t>στην</w:t>
      </w:r>
      <w:r w:rsidRPr="001317F1">
        <w:rPr>
          <w:rFonts w:asciiTheme="majorHAnsi" w:hAnsiTheme="majorHAnsi" w:cstheme="majorHAnsi"/>
        </w:rPr>
        <w:t xml:space="preserve"> </w:t>
      </w:r>
      <w:r w:rsidRPr="001317F1">
        <w:rPr>
          <w:rFonts w:ascii="Calibri Light" w:hAnsi="Calibri Light" w:cs="Calibri Light"/>
        </w:rPr>
        <w:t>ΕΚΤ</w:t>
      </w:r>
      <w:r w:rsidRPr="001317F1">
        <w:rPr>
          <w:rFonts w:asciiTheme="majorHAnsi" w:hAnsiTheme="majorHAnsi" w:cstheme="majorHAnsi"/>
        </w:rPr>
        <w:t xml:space="preserve"> </w:t>
      </w:r>
      <w:r w:rsidRPr="001317F1">
        <w:rPr>
          <w:rFonts w:ascii="Calibri Light" w:hAnsi="Calibri Light" w:cs="Calibri Light"/>
        </w:rPr>
        <w:t>στο</w:t>
      </w:r>
      <w:r w:rsidRPr="001317F1">
        <w:rPr>
          <w:rFonts w:asciiTheme="majorHAnsi" w:hAnsiTheme="majorHAnsi" w:cstheme="majorHAnsi"/>
        </w:rPr>
        <w:t xml:space="preserve"> </w:t>
      </w:r>
      <w:r w:rsidRPr="001317F1">
        <w:rPr>
          <w:rFonts w:ascii="Calibri Light" w:hAnsi="Calibri Light" w:cs="Calibri Light"/>
        </w:rPr>
        <w:t>πλαίσιο</w:t>
      </w:r>
      <w:r w:rsidRPr="001317F1">
        <w:rPr>
          <w:rFonts w:asciiTheme="majorHAnsi" w:hAnsiTheme="majorHAnsi" w:cstheme="majorHAnsi"/>
        </w:rPr>
        <w:t xml:space="preserve"> </w:t>
      </w:r>
      <w:r w:rsidRPr="001317F1">
        <w:rPr>
          <w:rFonts w:ascii="Calibri Light" w:hAnsi="Calibri Light" w:cs="Calibri Light"/>
        </w:rPr>
        <w:t>της</w:t>
      </w:r>
      <w:r w:rsidRPr="001317F1">
        <w:rPr>
          <w:rFonts w:asciiTheme="majorHAnsi" w:hAnsiTheme="majorHAnsi" w:cstheme="majorHAnsi"/>
        </w:rPr>
        <w:t xml:space="preserve"> </w:t>
      </w:r>
      <w:r w:rsidRPr="001317F1">
        <w:rPr>
          <w:rFonts w:ascii="Calibri Light" w:hAnsi="Calibri Light" w:cs="Calibri Light"/>
        </w:rPr>
        <w:t>Συνθήκης</w:t>
      </w:r>
      <w:r w:rsidRPr="001317F1">
        <w:rPr>
          <w:rFonts w:asciiTheme="majorHAnsi" w:hAnsiTheme="majorHAnsi" w:cstheme="majorHAnsi"/>
        </w:rPr>
        <w:t xml:space="preserve"> </w:t>
      </w:r>
      <w:r w:rsidRPr="001317F1">
        <w:rPr>
          <w:rFonts w:ascii="Calibri Light" w:hAnsi="Calibri Light" w:cs="Calibri Light"/>
        </w:rPr>
        <w:t>για</w:t>
      </w:r>
      <w:r w:rsidRPr="001317F1">
        <w:rPr>
          <w:rFonts w:asciiTheme="majorHAnsi" w:hAnsiTheme="majorHAnsi" w:cstheme="majorHAnsi"/>
        </w:rPr>
        <w:t xml:space="preserve"> </w:t>
      </w:r>
      <w:r w:rsidRPr="001317F1">
        <w:rPr>
          <w:rFonts w:ascii="Calibri Light" w:hAnsi="Calibri Light" w:cs="Calibri Light"/>
        </w:rPr>
        <w:t>τον</w:t>
      </w:r>
      <w:r w:rsidRPr="001317F1">
        <w:rPr>
          <w:rFonts w:asciiTheme="majorHAnsi" w:hAnsiTheme="majorHAnsi" w:cstheme="majorHAnsi"/>
        </w:rPr>
        <w:t xml:space="preserve"> </w:t>
      </w:r>
      <w:r w:rsidRPr="001317F1">
        <w:rPr>
          <w:rFonts w:ascii="Calibri Light" w:hAnsi="Calibri Light" w:cs="Calibri Light"/>
        </w:rPr>
        <w:t>ΕΜΣ</w:t>
      </w:r>
      <w:r w:rsidRPr="001317F1">
        <w:rPr>
          <w:rFonts w:asciiTheme="majorHAnsi" w:hAnsiTheme="majorHAnsi" w:cstheme="majorHAnsi"/>
        </w:rPr>
        <w:t xml:space="preserve">, </w:t>
      </w:r>
      <w:r w:rsidRPr="001317F1">
        <w:rPr>
          <w:rFonts w:ascii="Calibri Light" w:hAnsi="Calibri Light" w:cs="Calibri Light"/>
        </w:rPr>
        <w:t>όσο</w:t>
      </w:r>
      <w:r w:rsidRPr="001317F1">
        <w:rPr>
          <w:rFonts w:asciiTheme="majorHAnsi" w:hAnsiTheme="majorHAnsi" w:cstheme="majorHAnsi"/>
        </w:rPr>
        <w:t xml:space="preserve"> </w:t>
      </w:r>
      <w:r w:rsidRPr="001317F1">
        <w:rPr>
          <w:rFonts w:ascii="Calibri Light" w:hAnsi="Calibri Light" w:cs="Calibri Light"/>
        </w:rPr>
        <w:t>σημαντικά</w:t>
      </w:r>
      <w:r w:rsidRPr="001317F1">
        <w:rPr>
          <w:rFonts w:asciiTheme="majorHAnsi" w:hAnsiTheme="majorHAnsi" w:cstheme="majorHAnsi"/>
        </w:rPr>
        <w:t xml:space="preserve"> </w:t>
      </w:r>
      <w:r w:rsidRPr="001317F1">
        <w:rPr>
          <w:rFonts w:ascii="Calibri Light" w:hAnsi="Calibri Light" w:cs="Calibri Light"/>
        </w:rPr>
        <w:t>και</w:t>
      </w:r>
      <w:r w:rsidRPr="001317F1">
        <w:rPr>
          <w:rFonts w:asciiTheme="majorHAnsi" w:hAnsiTheme="majorHAnsi" w:cstheme="majorHAnsi"/>
        </w:rPr>
        <w:t xml:space="preserve"> </w:t>
      </w:r>
      <w:r w:rsidRPr="001317F1">
        <w:rPr>
          <w:rFonts w:ascii="Calibri Light" w:hAnsi="Calibri Light" w:cs="Calibri Light"/>
        </w:rPr>
        <w:t>αν</w:t>
      </w:r>
      <w:r w:rsidRPr="001317F1">
        <w:rPr>
          <w:rFonts w:asciiTheme="majorHAnsi" w:hAnsiTheme="majorHAnsi" w:cstheme="majorHAnsi"/>
        </w:rPr>
        <w:t xml:space="preserve"> </w:t>
      </w:r>
      <w:r w:rsidRPr="001317F1">
        <w:rPr>
          <w:rFonts w:ascii="Calibri Light" w:hAnsi="Calibri Light" w:cs="Calibri Light"/>
        </w:rPr>
        <w:t>είναι</w:t>
      </w:r>
      <w:r w:rsidRPr="001317F1">
        <w:rPr>
          <w:rFonts w:asciiTheme="majorHAnsi" w:hAnsiTheme="majorHAnsi" w:cstheme="majorHAnsi"/>
        </w:rPr>
        <w:t xml:space="preserve">, </w:t>
      </w:r>
      <w:r w:rsidRPr="001317F1">
        <w:rPr>
          <w:rFonts w:ascii="Calibri Light" w:hAnsi="Calibri Light" w:cs="Calibri Light"/>
        </w:rPr>
        <w:t>δεν</w:t>
      </w:r>
      <w:r w:rsidRPr="001317F1">
        <w:rPr>
          <w:rFonts w:asciiTheme="majorHAnsi" w:hAnsiTheme="majorHAnsi" w:cstheme="majorHAnsi"/>
        </w:rPr>
        <w:t xml:space="preserve"> </w:t>
      </w:r>
      <w:r w:rsidRPr="001317F1">
        <w:rPr>
          <w:rFonts w:ascii="Calibri Light" w:hAnsi="Calibri Light" w:cs="Calibri Light"/>
        </w:rPr>
        <w:t>παρέχουν</w:t>
      </w:r>
      <w:r w:rsidRPr="001317F1">
        <w:rPr>
          <w:rFonts w:asciiTheme="majorHAnsi" w:hAnsiTheme="majorHAnsi" w:cstheme="majorHAnsi"/>
        </w:rPr>
        <w:t xml:space="preserve"> </w:t>
      </w:r>
      <w:r w:rsidRPr="001317F1">
        <w:rPr>
          <w:rFonts w:ascii="Calibri Light" w:hAnsi="Calibri Light" w:cs="Calibri Light"/>
        </w:rPr>
        <w:t>ιδία</w:t>
      </w:r>
      <w:r w:rsidRPr="001317F1">
        <w:rPr>
          <w:rFonts w:asciiTheme="majorHAnsi" w:hAnsiTheme="majorHAnsi" w:cstheme="majorHAnsi"/>
        </w:rPr>
        <w:t xml:space="preserve"> </w:t>
      </w:r>
      <w:r w:rsidRPr="001317F1">
        <w:rPr>
          <w:rFonts w:ascii="Calibri Light" w:hAnsi="Calibri Light" w:cs="Calibri Light"/>
        </w:rPr>
        <w:t>εξουσία</w:t>
      </w:r>
      <w:r w:rsidRPr="001317F1">
        <w:rPr>
          <w:rFonts w:asciiTheme="majorHAnsi" w:hAnsiTheme="majorHAnsi" w:cstheme="majorHAnsi"/>
        </w:rPr>
        <w:t xml:space="preserve"> </w:t>
      </w:r>
      <w:r w:rsidRPr="001317F1">
        <w:rPr>
          <w:rFonts w:ascii="Calibri Light" w:hAnsi="Calibri Light" w:cs="Calibri Light"/>
        </w:rPr>
        <w:t>λήψεως</w:t>
      </w:r>
      <w:r w:rsidRPr="001317F1">
        <w:rPr>
          <w:rFonts w:asciiTheme="majorHAnsi" w:hAnsiTheme="majorHAnsi" w:cstheme="majorHAnsi"/>
        </w:rPr>
        <w:t xml:space="preserve"> </w:t>
      </w:r>
      <w:r w:rsidRPr="001317F1">
        <w:rPr>
          <w:rFonts w:ascii="Calibri Light" w:hAnsi="Calibri Light" w:cs="Calibri Light"/>
        </w:rPr>
        <w:t>αποφάσεων</w:t>
      </w:r>
      <w:r w:rsidRPr="001317F1">
        <w:rPr>
          <w:rFonts w:asciiTheme="majorHAnsi" w:hAnsiTheme="majorHAnsi" w:cstheme="majorHAnsi"/>
        </w:rPr>
        <w:t xml:space="preserve">. </w:t>
      </w:r>
      <w:r w:rsidRPr="001317F1">
        <w:rPr>
          <w:rFonts w:ascii="Calibri Light" w:hAnsi="Calibri Light" w:cs="Calibri Light"/>
        </w:rPr>
        <w:t>Εξάλλου</w:t>
      </w:r>
      <w:r w:rsidRPr="001317F1">
        <w:rPr>
          <w:rFonts w:asciiTheme="majorHAnsi" w:hAnsiTheme="majorHAnsi" w:cstheme="majorHAnsi"/>
        </w:rPr>
        <w:t xml:space="preserve">, </w:t>
      </w:r>
      <w:r w:rsidRPr="001317F1">
        <w:rPr>
          <w:rFonts w:ascii="Calibri Light" w:hAnsi="Calibri Light" w:cs="Calibri Light"/>
        </w:rPr>
        <w:t>οι</w:t>
      </w:r>
      <w:r w:rsidRPr="001317F1">
        <w:rPr>
          <w:rFonts w:asciiTheme="majorHAnsi" w:hAnsiTheme="majorHAnsi" w:cstheme="majorHAnsi"/>
        </w:rPr>
        <w:t xml:space="preserve"> </w:t>
      </w:r>
      <w:r w:rsidRPr="001317F1">
        <w:rPr>
          <w:rFonts w:ascii="Calibri Light" w:hAnsi="Calibri Light" w:cs="Calibri Light"/>
        </w:rPr>
        <w:t>ενέργειες</w:t>
      </w:r>
      <w:r w:rsidRPr="001317F1">
        <w:rPr>
          <w:rFonts w:asciiTheme="majorHAnsi" w:hAnsiTheme="majorHAnsi" w:cstheme="majorHAnsi"/>
        </w:rPr>
        <w:t xml:space="preserve"> </w:t>
      </w:r>
      <w:r w:rsidRPr="001317F1">
        <w:rPr>
          <w:rFonts w:ascii="Calibri Light" w:hAnsi="Calibri Light" w:cs="Calibri Light"/>
        </w:rPr>
        <w:t>των</w:t>
      </w:r>
      <w:r w:rsidRPr="001317F1">
        <w:rPr>
          <w:rFonts w:asciiTheme="majorHAnsi" w:hAnsiTheme="majorHAnsi" w:cstheme="majorHAnsi"/>
        </w:rPr>
        <w:t xml:space="preserve"> </w:t>
      </w:r>
      <w:r w:rsidRPr="001317F1">
        <w:rPr>
          <w:rFonts w:ascii="Calibri Light" w:hAnsi="Calibri Light" w:cs="Calibri Light"/>
        </w:rPr>
        <w:t>εν</w:t>
      </w:r>
      <w:r w:rsidRPr="001317F1">
        <w:rPr>
          <w:rFonts w:asciiTheme="majorHAnsi" w:hAnsiTheme="majorHAnsi" w:cstheme="majorHAnsi"/>
        </w:rPr>
        <w:t xml:space="preserve"> </w:t>
      </w:r>
      <w:r w:rsidRPr="001317F1">
        <w:rPr>
          <w:rFonts w:ascii="Calibri Light" w:hAnsi="Calibri Light" w:cs="Calibri Light"/>
        </w:rPr>
        <w:t>λόγω</w:t>
      </w:r>
      <w:r w:rsidRPr="001317F1">
        <w:rPr>
          <w:rFonts w:asciiTheme="majorHAnsi" w:hAnsiTheme="majorHAnsi" w:cstheme="majorHAnsi"/>
        </w:rPr>
        <w:t xml:space="preserve"> </w:t>
      </w:r>
      <w:r w:rsidRPr="001317F1">
        <w:rPr>
          <w:rFonts w:ascii="Calibri Light" w:hAnsi="Calibri Light" w:cs="Calibri Light"/>
        </w:rPr>
        <w:t>δύο</w:t>
      </w:r>
      <w:r w:rsidRPr="001317F1">
        <w:rPr>
          <w:rFonts w:asciiTheme="majorHAnsi" w:hAnsiTheme="majorHAnsi" w:cstheme="majorHAnsi"/>
        </w:rPr>
        <w:t xml:space="preserve"> </w:t>
      </w:r>
      <w:r w:rsidRPr="001317F1">
        <w:rPr>
          <w:rFonts w:ascii="Calibri Light" w:hAnsi="Calibri Light" w:cs="Calibri Light"/>
        </w:rPr>
        <w:t>οργάνων</w:t>
      </w:r>
      <w:r w:rsidRPr="001317F1">
        <w:rPr>
          <w:rFonts w:asciiTheme="majorHAnsi" w:hAnsiTheme="majorHAnsi" w:cstheme="majorHAnsi"/>
        </w:rPr>
        <w:t xml:space="preserve"> </w:t>
      </w:r>
      <w:r w:rsidRPr="001317F1">
        <w:rPr>
          <w:rFonts w:ascii="Calibri Light" w:hAnsi="Calibri Light" w:cs="Calibri Light"/>
        </w:rPr>
        <w:t>στο</w:t>
      </w:r>
      <w:r w:rsidRPr="001317F1">
        <w:rPr>
          <w:rFonts w:asciiTheme="majorHAnsi" w:hAnsiTheme="majorHAnsi" w:cstheme="majorHAnsi"/>
        </w:rPr>
        <w:t xml:space="preserve"> </w:t>
      </w:r>
      <w:r w:rsidRPr="001317F1">
        <w:rPr>
          <w:rFonts w:ascii="Calibri Light" w:hAnsi="Calibri Light" w:cs="Calibri Light"/>
        </w:rPr>
        <w:t>πλαίσ</w:t>
      </w:r>
      <w:r w:rsidRPr="001317F1">
        <w:rPr>
          <w:rFonts w:asciiTheme="majorHAnsi" w:hAnsiTheme="majorHAnsi" w:cstheme="majorHAnsi"/>
        </w:rPr>
        <w:t>ιο της ως άνω Συνθήκης δεσμεύουν μόνον τον ΕΜΣ.</w:t>
      </w:r>
    </w:p>
    <w:p w:rsidR="001317F1" w:rsidRPr="001317F1" w:rsidRDefault="001317F1" w:rsidP="001317F1">
      <w:pPr>
        <w:rPr>
          <w:rFonts w:asciiTheme="majorHAnsi" w:hAnsiTheme="majorHAnsi" w:cstheme="majorHAnsi"/>
        </w:rPr>
      </w:pPr>
      <w:r w:rsidRPr="001317F1">
        <w:rPr>
          <w:rFonts w:asciiTheme="majorHAnsi" w:hAnsiTheme="majorHAnsi" w:cstheme="majorHAnsi"/>
        </w:rPr>
        <w:lastRenderedPageBreak/>
        <w:t>54      Επιπροσθέτως, όπως επισήμανε ο γενικός εισαγγελέας με το σημείο 53 των προτάσεών του, το γεγονός ότι ένα ή περισσότερα θεσμικά όργανα της Ένωσης ενδέχεται να έχουν ορισμένο ρόλο στο πλαίσιο του ΕΜΣ δεν μεταβάλλει τη φύση των πράξεων του ΕΜΣ, οι οποίες βρίσκονται εκτός της έννομης τάξης της Ένωσης.</w:t>
      </w:r>
    </w:p>
    <w:p w:rsidR="001317F1" w:rsidRPr="001317F1" w:rsidRDefault="001317F1" w:rsidP="001317F1">
      <w:pPr>
        <w:rPr>
          <w:rFonts w:asciiTheme="majorHAnsi" w:hAnsiTheme="majorHAnsi" w:cstheme="majorHAnsi"/>
        </w:rPr>
      </w:pPr>
      <w:r w:rsidRPr="001317F1">
        <w:rPr>
          <w:rFonts w:asciiTheme="majorHAnsi" w:hAnsiTheme="majorHAnsi" w:cstheme="majorHAnsi"/>
        </w:rPr>
        <w:t>55      Πάντως, μολονότι η διαπίστωση αυτή δύναται να επηρεάσει το παραδεκτό προσφυγής ακυρώσεως βάσει του άρθρου 263 ΣΛΕΕ, εντούτοις δεν εμποδίζει την επίκληση κατά της Επιτροπής και της ΕΚΤ, στο πλαίσιο αγωγής αποζημιώσεως δυνάμει του άρθρου 268 και του άρθρου 340, δεύτερο και τρίτο εδάφιο, ΣΛΕΕ, παράνομων συμπεριφορών οι οποίες συνδέονται, ενδεχομένως, με την υπογραφή μνημονίου κατανόησης εξ ονόματος του ΕΜΣ.</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56      Συναφώς, πρέπει να </w:t>
      </w:r>
      <w:proofErr w:type="spellStart"/>
      <w:r w:rsidRPr="001317F1">
        <w:rPr>
          <w:rFonts w:asciiTheme="majorHAnsi" w:hAnsiTheme="majorHAnsi" w:cstheme="majorHAnsi"/>
        </w:rPr>
        <w:t>υπομνησθεί</w:t>
      </w:r>
      <w:proofErr w:type="spellEnd"/>
      <w:r w:rsidRPr="001317F1">
        <w:rPr>
          <w:rFonts w:asciiTheme="majorHAnsi" w:hAnsiTheme="majorHAnsi" w:cstheme="majorHAnsi"/>
        </w:rPr>
        <w:t xml:space="preserve"> ότι τα καθήκοντα που ανατίθενται στην Επιτροπή και την ΕΚΤ στο πλαίσιο της Συνθήκης για τον ΕΜΣ δεν αλλοιώνουν τις αρμοδιότητες τις οποίες οι Συνθήκες ΕΕ και ΛΕΕ αναθέτουν στα εν λόγω θεσμικά όργανα (απόφαση της 27ης Νοεμβρίου 2012, </w:t>
      </w:r>
      <w:proofErr w:type="spellStart"/>
      <w:r w:rsidRPr="001317F1">
        <w:rPr>
          <w:rFonts w:asciiTheme="majorHAnsi" w:hAnsiTheme="majorHAnsi" w:cstheme="majorHAnsi"/>
        </w:rPr>
        <w:t>Pringle</w:t>
      </w:r>
      <w:proofErr w:type="spellEnd"/>
      <w:r w:rsidRPr="001317F1">
        <w:rPr>
          <w:rFonts w:asciiTheme="majorHAnsi" w:hAnsiTheme="majorHAnsi" w:cstheme="majorHAnsi"/>
        </w:rPr>
        <w:t>, C</w:t>
      </w:r>
      <w:r w:rsidRPr="001317F1">
        <w:rPr>
          <w:rFonts w:ascii="Cambria Math" w:hAnsi="Cambria Math" w:cs="Cambria Math"/>
        </w:rPr>
        <w:t>‑</w:t>
      </w:r>
      <w:r w:rsidRPr="001317F1">
        <w:rPr>
          <w:rFonts w:asciiTheme="majorHAnsi" w:hAnsiTheme="majorHAnsi" w:cstheme="majorHAnsi"/>
        </w:rPr>
        <w:t xml:space="preserve">370/12, EU:C:2012:756, </w:t>
      </w:r>
      <w:r w:rsidRPr="001317F1">
        <w:rPr>
          <w:rFonts w:ascii="Calibri Light" w:hAnsi="Calibri Light" w:cs="Calibri Light"/>
        </w:rPr>
        <w:t>σκέψη</w:t>
      </w:r>
      <w:r w:rsidRPr="001317F1">
        <w:rPr>
          <w:rFonts w:asciiTheme="majorHAnsi" w:hAnsiTheme="majorHAnsi" w:cstheme="majorHAnsi"/>
        </w:rPr>
        <w:t xml:space="preserve"> 162).</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57      Πράγματι, όσον αφορά την Επιτροπή, από το άρθρο 17, παράγραφος 1, ΣΕΕ προκύπτει ότι «προάγει το κοινό συμφέρον της Ένωσης» και «επιβλέπει την εφαρμογή του δικαίου της Ένωσης» (απόφαση της 27ης Νοεμβρίου 2012, </w:t>
      </w:r>
      <w:proofErr w:type="spellStart"/>
      <w:r w:rsidRPr="001317F1">
        <w:rPr>
          <w:rFonts w:asciiTheme="majorHAnsi" w:hAnsiTheme="majorHAnsi" w:cstheme="majorHAnsi"/>
        </w:rPr>
        <w:t>Pringle</w:t>
      </w:r>
      <w:proofErr w:type="spellEnd"/>
      <w:r w:rsidRPr="001317F1">
        <w:rPr>
          <w:rFonts w:asciiTheme="majorHAnsi" w:hAnsiTheme="majorHAnsi" w:cstheme="majorHAnsi"/>
        </w:rPr>
        <w:t>, C</w:t>
      </w:r>
      <w:r w:rsidRPr="001317F1">
        <w:rPr>
          <w:rFonts w:ascii="Cambria Math" w:hAnsi="Cambria Math" w:cs="Cambria Math"/>
        </w:rPr>
        <w:t>‑</w:t>
      </w:r>
      <w:r w:rsidRPr="001317F1">
        <w:rPr>
          <w:rFonts w:asciiTheme="majorHAnsi" w:hAnsiTheme="majorHAnsi" w:cstheme="majorHAnsi"/>
        </w:rPr>
        <w:t xml:space="preserve">370/12, EU:C:2012:756, </w:t>
      </w:r>
      <w:r w:rsidRPr="001317F1">
        <w:rPr>
          <w:rFonts w:ascii="Calibri Light" w:hAnsi="Calibri Light" w:cs="Calibri Light"/>
        </w:rPr>
        <w:t>σκέψη</w:t>
      </w:r>
      <w:r w:rsidRPr="001317F1">
        <w:rPr>
          <w:rFonts w:asciiTheme="majorHAnsi" w:hAnsiTheme="majorHAnsi" w:cstheme="majorHAnsi"/>
        </w:rPr>
        <w:t xml:space="preserve"> 163).</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58      Εξάλλου, τα καθήκοντα που ανατίθενται στην Επιτροπή από τη Συνθήκη για τον ΕΜΣ της επιβάλλουν, όπως προβλέπει το άρθρο 13, παράγραφοι 3 και 4, της Συνθήκης αυτής, την υποχρέωση να μεριμνά για τη συμβατότητα με το δίκαιο της Ένωσης των μνημονίων κατανόησης που συνάπτονται από τον ΕΜΣ (βλ., υπό την έννοια αυτή, απόφαση της 27ης Νοεμβρίου 2012, </w:t>
      </w:r>
      <w:proofErr w:type="spellStart"/>
      <w:r w:rsidRPr="001317F1">
        <w:rPr>
          <w:rFonts w:asciiTheme="majorHAnsi" w:hAnsiTheme="majorHAnsi" w:cstheme="majorHAnsi"/>
        </w:rPr>
        <w:t>Pringle</w:t>
      </w:r>
      <w:proofErr w:type="spellEnd"/>
      <w:r w:rsidRPr="001317F1">
        <w:rPr>
          <w:rFonts w:asciiTheme="majorHAnsi" w:hAnsiTheme="majorHAnsi" w:cstheme="majorHAnsi"/>
        </w:rPr>
        <w:t>, C-370/12, EU:C:2012:756, σκέψη 164).</w:t>
      </w:r>
    </w:p>
    <w:p w:rsidR="001317F1" w:rsidRPr="001317F1" w:rsidRDefault="001317F1" w:rsidP="001317F1">
      <w:pPr>
        <w:rPr>
          <w:rFonts w:asciiTheme="majorHAnsi" w:hAnsiTheme="majorHAnsi" w:cstheme="majorHAnsi"/>
        </w:rPr>
      </w:pPr>
      <w:r w:rsidRPr="001317F1">
        <w:rPr>
          <w:rFonts w:asciiTheme="majorHAnsi" w:hAnsiTheme="majorHAnsi" w:cstheme="majorHAnsi"/>
        </w:rPr>
        <w:t>59      Επομένως, όπως η ίδια η Επιτροπή παραδέχθηκε απαντώντας σε ερώτηση που υποβλήθηκε κατά την επ’ ακροατηρίου συζήτηση, το θεσμικό αυτό όργανο διατηρεί, στο πλαίσιο της Συνθήκης για τον ΕΜΣ, τον ρόλο του ως θεματοφύλακα των Συνθηκών, όπως αυτός προκύπτει από το άρθρο 17, παράγραφος 1, ΣΕΕ, και επομένως ότι θα έπρεπε να μην υπογράψει ένα μνημόνιο κατανόησης για τη συμβατότητα του οποίου με το δίκαιο της Ένωσης διατηρεί αμφιβολίες.</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60      Ως εκ τούτου, το Γενικό Δικαστήριο υπέπεσε σε πλάνη περί το δίκαιο κατά την ερμηνεία και την εφαρμογή του άρθρου 268 και του άρθρου 340, δεύτερο και τρίτο εδάφιο, ΣΛΕΕ, καθόσον κατέληξε στο συμπέρασμα, με τις σκέψεις 46 και 47 των </w:t>
      </w:r>
      <w:proofErr w:type="spellStart"/>
      <w:r w:rsidRPr="001317F1">
        <w:rPr>
          <w:rFonts w:asciiTheme="majorHAnsi" w:hAnsiTheme="majorHAnsi" w:cstheme="majorHAnsi"/>
        </w:rPr>
        <w:t>αναιρεσιβαλλομένων</w:t>
      </w:r>
      <w:proofErr w:type="spellEnd"/>
      <w:r w:rsidRPr="001317F1">
        <w:rPr>
          <w:rFonts w:asciiTheme="majorHAnsi" w:hAnsiTheme="majorHAnsi" w:cstheme="majorHAnsi"/>
        </w:rPr>
        <w:t xml:space="preserve"> διατάξεων, ότι δεν είχε αρμοδιότητα να αποφανθεί επί αιτήματος αποζημιώσεως που στηρίζεται στον παράνομο χαρακτήρα των επίμαχων σημείων βάσει της διαπιστώσεως και μόνον ότι η υιοθέτηση των εν λόγω σημείων δεν μπορούσε τυπικώς να αποδοθεί ούτε στην Επιτροπή ούτε στην ΕΚΤ.</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61      Κατά συνέπεια, οι αιτήσεις αναιρέσεως πρέπει να γίνουν δεκτές και να αναιρεθούν οι </w:t>
      </w:r>
      <w:proofErr w:type="spellStart"/>
      <w:r w:rsidRPr="001317F1">
        <w:rPr>
          <w:rFonts w:asciiTheme="majorHAnsi" w:hAnsiTheme="majorHAnsi" w:cstheme="majorHAnsi"/>
        </w:rPr>
        <w:t>αναιρεσιβαλλόμενες</w:t>
      </w:r>
      <w:proofErr w:type="spellEnd"/>
      <w:r w:rsidRPr="001317F1">
        <w:rPr>
          <w:rFonts w:asciiTheme="majorHAnsi" w:hAnsiTheme="majorHAnsi" w:cstheme="majorHAnsi"/>
        </w:rPr>
        <w:t xml:space="preserve"> διατάξεις.</w:t>
      </w:r>
    </w:p>
    <w:p w:rsidR="001317F1" w:rsidRPr="001317F1" w:rsidRDefault="001317F1" w:rsidP="001317F1">
      <w:pPr>
        <w:rPr>
          <w:rFonts w:asciiTheme="majorHAnsi" w:hAnsiTheme="majorHAnsi" w:cstheme="majorHAnsi"/>
        </w:rPr>
      </w:pPr>
      <w:r w:rsidRPr="005A46F3">
        <w:rPr>
          <w:rFonts w:asciiTheme="majorHAnsi" w:hAnsiTheme="majorHAnsi" w:cstheme="majorHAnsi"/>
          <w:b/>
        </w:rPr>
        <w:t>Επί των προσφυγών ενώπιον του Γενικού Δικαστηρίου</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62      Σύμφωνα με το άρθρο 61, πρώτο εδάφιο, του Οργανισμού του Δικαστηρίου της Ευρωπαϊκής Ένωσης, σε περίπτωση αναιρέσεως της αποφάσεως του Γενικού </w:t>
      </w:r>
      <w:r w:rsidRPr="001317F1">
        <w:rPr>
          <w:rFonts w:asciiTheme="majorHAnsi" w:hAnsiTheme="majorHAnsi" w:cstheme="majorHAnsi"/>
        </w:rPr>
        <w:lastRenderedPageBreak/>
        <w:t>Δικαστηρίου, το Δικαστήριο μπορεί να αποφανθεί το ίδιο οριστικά επί της διαφοράς, εφόσον είναι ώριμη προς εκδίκαση. Τούτο ισχύει εν προκειμένω.</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63      Πράγματι, το Δικαστήριο είναι σε θέση να αποφανθεί το ίδιο επί του αιτήματος των </w:t>
      </w:r>
      <w:proofErr w:type="spellStart"/>
      <w:r w:rsidRPr="001317F1">
        <w:rPr>
          <w:rFonts w:asciiTheme="majorHAnsi" w:hAnsiTheme="majorHAnsi" w:cstheme="majorHAnsi"/>
        </w:rPr>
        <w:t>αναιρεσειόντων</w:t>
      </w:r>
      <w:proofErr w:type="spellEnd"/>
      <w:r w:rsidRPr="001317F1">
        <w:rPr>
          <w:rFonts w:asciiTheme="majorHAnsi" w:hAnsiTheme="majorHAnsi" w:cstheme="majorHAnsi"/>
        </w:rPr>
        <w:t>, δυνάμει του άρθρου 268 και του άρθρου 340, δεύτερο και τρίτο εδάφιο, ΣΛΕΕ, για την αποκατάσταση της ζημίας που φέρονται ότι υπέστησαν, αφενός, λόγω της προσθήκης από την Επιτροπή και την ΕΚΤ των επίμαχων σημείων στο μνημόνιο κατανόησης της 26ης Απριλίου 2013 και, αφετέρου, λόγω της παράβασης από την Επιτροπή της υποχρεώσεώς της να διασφαλίζει, στο πλαίσιο της υπογραφής του εν λόγω μνημονίου κατανόησης, το συμβατό του μνημονίου με το δίκαιο της Ένωσης.</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64      Συναφώς, πρέπει να </w:t>
      </w:r>
      <w:proofErr w:type="spellStart"/>
      <w:r w:rsidRPr="001317F1">
        <w:rPr>
          <w:rFonts w:asciiTheme="majorHAnsi" w:hAnsiTheme="majorHAnsi" w:cstheme="majorHAnsi"/>
        </w:rPr>
        <w:t>υπομνησθεί</w:t>
      </w:r>
      <w:proofErr w:type="spellEnd"/>
      <w:r w:rsidRPr="001317F1">
        <w:rPr>
          <w:rFonts w:asciiTheme="majorHAnsi" w:hAnsiTheme="majorHAnsi" w:cstheme="majorHAnsi"/>
        </w:rPr>
        <w:t xml:space="preserve"> ότι, κατά πάγια νομολογία, η εξωσυμβατική ευθύνη της Ένωσης, κατά την έννοια του άρθρου 340, δεύτερο εδάφιο, ΣΛΕΕ, θεμελιώνεται εφόσον συντρέχει ένα σύνολο προϋποθέσεων σχετικά με τον παράνομο χαρακτήρα της </w:t>
      </w:r>
      <w:proofErr w:type="spellStart"/>
      <w:r w:rsidRPr="001317F1">
        <w:rPr>
          <w:rFonts w:asciiTheme="majorHAnsi" w:hAnsiTheme="majorHAnsi" w:cstheme="majorHAnsi"/>
        </w:rPr>
        <w:t>προσαπτόμενης</w:t>
      </w:r>
      <w:proofErr w:type="spellEnd"/>
      <w:r w:rsidRPr="001317F1">
        <w:rPr>
          <w:rFonts w:asciiTheme="majorHAnsi" w:hAnsiTheme="majorHAnsi" w:cstheme="majorHAnsi"/>
        </w:rPr>
        <w:t xml:space="preserve"> στα όργανα της Ένωσης συμπεριφοράς, το υποστατό της ζημίας και την ύπαρξη αιτιώδους συνάφειας μεταξύ της συμπεριφοράς του οργάνου και της προβαλλόμενης ζημίας (απόφαση της 14ης Οκτωβρίου 2014, </w:t>
      </w:r>
      <w:proofErr w:type="spellStart"/>
      <w:r w:rsidRPr="001317F1">
        <w:rPr>
          <w:rFonts w:asciiTheme="majorHAnsi" w:hAnsiTheme="majorHAnsi" w:cstheme="majorHAnsi"/>
        </w:rPr>
        <w:t>Giordano</w:t>
      </w:r>
      <w:proofErr w:type="spellEnd"/>
      <w:r w:rsidRPr="001317F1">
        <w:rPr>
          <w:rFonts w:asciiTheme="majorHAnsi" w:hAnsiTheme="majorHAnsi" w:cstheme="majorHAnsi"/>
        </w:rPr>
        <w:t xml:space="preserve"> κατά Επιτροπής, C</w:t>
      </w:r>
      <w:r w:rsidRPr="001317F1">
        <w:rPr>
          <w:rFonts w:ascii="Cambria Math" w:hAnsi="Cambria Math" w:cs="Cambria Math"/>
        </w:rPr>
        <w:t>‑</w:t>
      </w:r>
      <w:r w:rsidRPr="001317F1">
        <w:rPr>
          <w:rFonts w:asciiTheme="majorHAnsi" w:hAnsiTheme="majorHAnsi" w:cstheme="majorHAnsi"/>
        </w:rPr>
        <w:t xml:space="preserve">611/12 P, EU:C:2014:2282, </w:t>
      </w:r>
      <w:r w:rsidRPr="001317F1">
        <w:rPr>
          <w:rFonts w:ascii="Calibri Light" w:hAnsi="Calibri Light" w:cs="Calibri Light"/>
        </w:rPr>
        <w:t>σκέψη</w:t>
      </w:r>
      <w:r w:rsidRPr="001317F1">
        <w:rPr>
          <w:rFonts w:asciiTheme="majorHAnsi" w:hAnsiTheme="majorHAnsi" w:cstheme="majorHAnsi"/>
        </w:rPr>
        <w:t xml:space="preserve"> 35 </w:t>
      </w:r>
      <w:r w:rsidRPr="001317F1">
        <w:rPr>
          <w:rFonts w:ascii="Calibri Light" w:hAnsi="Calibri Light" w:cs="Calibri Light"/>
        </w:rPr>
        <w:t>και</w:t>
      </w:r>
      <w:r w:rsidRPr="001317F1">
        <w:rPr>
          <w:rFonts w:asciiTheme="majorHAnsi" w:hAnsiTheme="majorHAnsi" w:cstheme="majorHAnsi"/>
        </w:rPr>
        <w:t xml:space="preserve"> </w:t>
      </w:r>
      <w:r w:rsidRPr="001317F1">
        <w:rPr>
          <w:rFonts w:ascii="Calibri Light" w:hAnsi="Calibri Light" w:cs="Calibri Light"/>
        </w:rPr>
        <w:t>εκεί</w:t>
      </w:r>
      <w:r w:rsidRPr="001317F1">
        <w:rPr>
          <w:rFonts w:asciiTheme="majorHAnsi" w:hAnsiTheme="majorHAnsi" w:cstheme="majorHAnsi"/>
        </w:rPr>
        <w:t xml:space="preserve"> </w:t>
      </w:r>
      <w:r w:rsidRPr="001317F1">
        <w:rPr>
          <w:rFonts w:ascii="Calibri Light" w:hAnsi="Calibri Light" w:cs="Calibri Light"/>
        </w:rPr>
        <w:t>παρατιθέμενη</w:t>
      </w:r>
      <w:r w:rsidRPr="001317F1">
        <w:rPr>
          <w:rFonts w:asciiTheme="majorHAnsi" w:hAnsiTheme="majorHAnsi" w:cstheme="majorHAnsi"/>
        </w:rPr>
        <w:t xml:space="preserve"> </w:t>
      </w:r>
      <w:r w:rsidRPr="001317F1">
        <w:rPr>
          <w:rFonts w:ascii="Calibri Light" w:hAnsi="Calibri Light" w:cs="Calibri Light"/>
        </w:rPr>
        <w:t>νομολογία</w:t>
      </w:r>
      <w:r w:rsidRPr="001317F1">
        <w:rPr>
          <w:rFonts w:asciiTheme="majorHAnsi" w:hAnsiTheme="majorHAnsi" w:cstheme="majorHAnsi"/>
        </w:rPr>
        <w:t>).</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65      Όσον αφορά την πρώτη από τις προϋποθέσεις αυτές, το Δικαστήριο έχει κατ’ επανάληψη διευκρινίσει ότι πρέπει να έχει αποδειχθεί κατάφωρη παράβαση κανόνα δικαίου έχοντος ως σκοπό την απονομή δικαιωμάτων στους ιδιώτες (βλ., μεταξύ άλλων, αποφάσεις της 4ης Ιουλίου 2000, </w:t>
      </w:r>
      <w:proofErr w:type="spellStart"/>
      <w:r w:rsidRPr="001317F1">
        <w:rPr>
          <w:rFonts w:asciiTheme="majorHAnsi" w:hAnsiTheme="majorHAnsi" w:cstheme="majorHAnsi"/>
        </w:rPr>
        <w:t>Bergaderm</w:t>
      </w:r>
      <w:proofErr w:type="spellEnd"/>
      <w:r w:rsidRPr="001317F1">
        <w:rPr>
          <w:rFonts w:asciiTheme="majorHAnsi" w:hAnsiTheme="majorHAnsi" w:cstheme="majorHAnsi"/>
        </w:rPr>
        <w:t xml:space="preserve"> και </w:t>
      </w:r>
      <w:proofErr w:type="spellStart"/>
      <w:r w:rsidRPr="001317F1">
        <w:rPr>
          <w:rFonts w:asciiTheme="majorHAnsi" w:hAnsiTheme="majorHAnsi" w:cstheme="majorHAnsi"/>
        </w:rPr>
        <w:t>Goupil</w:t>
      </w:r>
      <w:proofErr w:type="spellEnd"/>
      <w:r w:rsidRPr="001317F1">
        <w:rPr>
          <w:rFonts w:asciiTheme="majorHAnsi" w:hAnsiTheme="majorHAnsi" w:cstheme="majorHAnsi"/>
        </w:rPr>
        <w:t xml:space="preserve"> κατά Επιτροπής, C</w:t>
      </w:r>
      <w:r w:rsidRPr="001317F1">
        <w:rPr>
          <w:rFonts w:ascii="Cambria Math" w:hAnsi="Cambria Math" w:cs="Cambria Math"/>
        </w:rPr>
        <w:t>‑</w:t>
      </w:r>
      <w:r w:rsidRPr="001317F1">
        <w:rPr>
          <w:rFonts w:asciiTheme="majorHAnsi" w:hAnsiTheme="majorHAnsi" w:cstheme="majorHAnsi"/>
        </w:rPr>
        <w:t xml:space="preserve">352/98 P, EU:C:2000:361, </w:t>
      </w:r>
      <w:r w:rsidRPr="001317F1">
        <w:rPr>
          <w:rFonts w:ascii="Calibri Light" w:hAnsi="Calibri Light" w:cs="Calibri Light"/>
        </w:rPr>
        <w:t>σκέψη</w:t>
      </w:r>
      <w:r w:rsidRPr="001317F1">
        <w:rPr>
          <w:rFonts w:asciiTheme="majorHAnsi" w:hAnsiTheme="majorHAnsi" w:cstheme="majorHAnsi"/>
        </w:rPr>
        <w:t xml:space="preserve"> 42, </w:t>
      </w:r>
      <w:r w:rsidRPr="001317F1">
        <w:rPr>
          <w:rFonts w:ascii="Calibri Light" w:hAnsi="Calibri Light" w:cs="Calibri Light"/>
        </w:rPr>
        <w:t>καθώς</w:t>
      </w:r>
      <w:r w:rsidRPr="001317F1">
        <w:rPr>
          <w:rFonts w:asciiTheme="majorHAnsi" w:hAnsiTheme="majorHAnsi" w:cstheme="majorHAnsi"/>
        </w:rPr>
        <w:t xml:space="preserve"> </w:t>
      </w:r>
      <w:r w:rsidRPr="001317F1">
        <w:rPr>
          <w:rFonts w:ascii="Calibri Light" w:hAnsi="Calibri Light" w:cs="Calibri Light"/>
        </w:rPr>
        <w:t>και</w:t>
      </w:r>
      <w:r w:rsidRPr="001317F1">
        <w:rPr>
          <w:rFonts w:asciiTheme="majorHAnsi" w:hAnsiTheme="majorHAnsi" w:cstheme="majorHAnsi"/>
        </w:rPr>
        <w:t xml:space="preserve"> </w:t>
      </w:r>
      <w:r w:rsidRPr="001317F1">
        <w:rPr>
          <w:rFonts w:ascii="Calibri Light" w:hAnsi="Calibri Light" w:cs="Calibri Light"/>
        </w:rPr>
        <w:t>της</w:t>
      </w:r>
      <w:r w:rsidRPr="001317F1">
        <w:rPr>
          <w:rFonts w:asciiTheme="majorHAnsi" w:hAnsiTheme="majorHAnsi" w:cstheme="majorHAnsi"/>
        </w:rPr>
        <w:t xml:space="preserve"> 10</w:t>
      </w:r>
      <w:r w:rsidRPr="001317F1">
        <w:rPr>
          <w:rFonts w:ascii="Calibri Light" w:hAnsi="Calibri Light" w:cs="Calibri Light"/>
        </w:rPr>
        <w:t>ης</w:t>
      </w:r>
      <w:r w:rsidRPr="001317F1">
        <w:rPr>
          <w:rFonts w:asciiTheme="majorHAnsi" w:hAnsiTheme="majorHAnsi" w:cstheme="majorHAnsi"/>
        </w:rPr>
        <w:t xml:space="preserve"> </w:t>
      </w:r>
      <w:r w:rsidRPr="001317F1">
        <w:rPr>
          <w:rFonts w:ascii="Calibri Light" w:hAnsi="Calibri Light" w:cs="Calibri Light"/>
        </w:rPr>
        <w:t>Ιουλίου</w:t>
      </w:r>
      <w:r w:rsidRPr="001317F1">
        <w:rPr>
          <w:rFonts w:asciiTheme="majorHAnsi" w:hAnsiTheme="majorHAnsi" w:cstheme="majorHAnsi"/>
        </w:rPr>
        <w:t xml:space="preserve"> 2014, </w:t>
      </w:r>
      <w:r w:rsidRPr="001317F1">
        <w:rPr>
          <w:rFonts w:ascii="Calibri Light" w:hAnsi="Calibri Light" w:cs="Calibri Light"/>
        </w:rPr>
        <w:t>Νικολ</w:t>
      </w:r>
      <w:r w:rsidRPr="001317F1">
        <w:rPr>
          <w:rFonts w:asciiTheme="majorHAnsi" w:hAnsiTheme="majorHAnsi" w:cstheme="majorHAnsi"/>
        </w:rPr>
        <w:t>άου κατά Ελεγκτικού Συνεδρίου, C</w:t>
      </w:r>
      <w:r w:rsidRPr="001317F1">
        <w:rPr>
          <w:rFonts w:ascii="Cambria Math" w:hAnsi="Cambria Math" w:cs="Cambria Math"/>
        </w:rPr>
        <w:t>‑</w:t>
      </w:r>
      <w:r w:rsidRPr="001317F1">
        <w:rPr>
          <w:rFonts w:asciiTheme="majorHAnsi" w:hAnsiTheme="majorHAnsi" w:cstheme="majorHAnsi"/>
        </w:rPr>
        <w:t xml:space="preserve">220/13 P, EU:C:2014:2057, </w:t>
      </w:r>
      <w:r w:rsidRPr="001317F1">
        <w:rPr>
          <w:rFonts w:ascii="Calibri Light" w:hAnsi="Calibri Light" w:cs="Calibri Light"/>
        </w:rPr>
        <w:t>σκέψη</w:t>
      </w:r>
      <w:r w:rsidRPr="001317F1">
        <w:rPr>
          <w:rFonts w:asciiTheme="majorHAnsi" w:hAnsiTheme="majorHAnsi" w:cstheme="majorHAnsi"/>
        </w:rPr>
        <w:t xml:space="preserve"> 53).</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66      Εν προκειμένω, ο κανόνας δικαίου του οποίου τη μη τήρηση προσάπτουν οι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στην Επιτροπή στο πλαίσιο της υπογραφής του μνημονίου κατανόησης της 26ης Απριλίου 2013, είναι στο άρθρο 17, παράγραφος 1, του Χάρτη. Η διάταξη αυτή, η οποία ορίζει ότι κάθε πρόσωπο δικαιούται να είναι κύριος των νομίμως κτηθέντων αγαθών του, συνιστά κανόνα δικαίου που αποσκοπεί στην απονομή δικαιωμάτων στους ιδιώτες.</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67      Εξάλλου, επισημαίνεται ότι, μολονότι ασφαλώς τα κράτη μέλη δεν εφαρμόζουν το δίκαιο της Ένωσης στο πλαίσιο της Συνθήκης για τον ΕΜΣ, και επομένως ότι ο Χάρτης δεν απευθύνεται σε αυτά στο ως άνω πλαίσιο (βλ., υπό την έννοια αυτή, απόφαση της 27ης Νοεμβρίου 2012, </w:t>
      </w:r>
      <w:proofErr w:type="spellStart"/>
      <w:r w:rsidRPr="001317F1">
        <w:rPr>
          <w:rFonts w:asciiTheme="majorHAnsi" w:hAnsiTheme="majorHAnsi" w:cstheme="majorHAnsi"/>
        </w:rPr>
        <w:t>Pringle</w:t>
      </w:r>
      <w:proofErr w:type="spellEnd"/>
      <w:r w:rsidRPr="001317F1">
        <w:rPr>
          <w:rFonts w:asciiTheme="majorHAnsi" w:hAnsiTheme="majorHAnsi" w:cstheme="majorHAnsi"/>
        </w:rPr>
        <w:t xml:space="preserve">, C-370/12, EU:C:2012:756, σκέψεις 178 έως 181), αντιθέτως, ο Χάρτης απευθύνεται στα θεσμικά όργανα της Ένωσης ακόμη και στην περίπτωση που, όπως επισήμανε ο γενικός εισαγγελέας με το σημείο 85 των προτάσεών του, αυτά ενεργούν εκτός του νομικού πλαισίου της Ένωσης. Πράγματι, στο πλαίσιο της υπογραφής μνημονίου κατανόησης όπως αυτό της 26ης Απριλίου 2013, η Επιτροπή υποχρεούται βάσει τόσο του άρθρου 17, παράγραφος 1, ΣΕΕ, το οποίο της αναθέτει το γενικό καθήκον να επιβλέπει την εφαρμογή του δικαίου της Ένωσης, όσο και του άρθρου 13, παράγραφοι 3 και 4, της Συνθήκης για τον ΕΜΣ, το οποίο της επιβάλλει να μεριμνά για τη συμβατότητα με το δίκαιο της Ένωσης των μνημονίων κατανόησης που συνάπτονται από τον ΕΜΣ (βλ., υπό την έννοια αυτή, απόφαση της 27ης Νοεμβρίου 2012, </w:t>
      </w:r>
      <w:proofErr w:type="spellStart"/>
      <w:r w:rsidRPr="001317F1">
        <w:rPr>
          <w:rFonts w:asciiTheme="majorHAnsi" w:hAnsiTheme="majorHAnsi" w:cstheme="majorHAnsi"/>
        </w:rPr>
        <w:t>Pringle</w:t>
      </w:r>
      <w:proofErr w:type="spellEnd"/>
      <w:r w:rsidRPr="001317F1">
        <w:rPr>
          <w:rFonts w:asciiTheme="majorHAnsi" w:hAnsiTheme="majorHAnsi" w:cstheme="majorHAnsi"/>
        </w:rPr>
        <w:t>, C</w:t>
      </w:r>
      <w:r w:rsidRPr="001317F1">
        <w:rPr>
          <w:rFonts w:ascii="Cambria Math" w:hAnsi="Cambria Math" w:cs="Cambria Math"/>
        </w:rPr>
        <w:t>‑</w:t>
      </w:r>
      <w:r w:rsidRPr="001317F1">
        <w:rPr>
          <w:rFonts w:asciiTheme="majorHAnsi" w:hAnsiTheme="majorHAnsi" w:cstheme="majorHAnsi"/>
        </w:rPr>
        <w:t xml:space="preserve">370/12, EU:C:2012:756, </w:t>
      </w:r>
      <w:r w:rsidRPr="001317F1">
        <w:rPr>
          <w:rFonts w:ascii="Calibri Light" w:hAnsi="Calibri Light" w:cs="Calibri Light"/>
        </w:rPr>
        <w:t>σκέψεις</w:t>
      </w:r>
      <w:r w:rsidRPr="001317F1">
        <w:rPr>
          <w:rFonts w:asciiTheme="majorHAnsi" w:hAnsiTheme="majorHAnsi" w:cstheme="majorHAnsi"/>
        </w:rPr>
        <w:t xml:space="preserve"> 163 </w:t>
      </w:r>
      <w:r w:rsidRPr="001317F1">
        <w:rPr>
          <w:rFonts w:ascii="Calibri Light" w:hAnsi="Calibri Light" w:cs="Calibri Light"/>
        </w:rPr>
        <w:lastRenderedPageBreak/>
        <w:t>και</w:t>
      </w:r>
      <w:r w:rsidRPr="001317F1">
        <w:rPr>
          <w:rFonts w:asciiTheme="majorHAnsi" w:hAnsiTheme="majorHAnsi" w:cstheme="majorHAnsi"/>
        </w:rPr>
        <w:t xml:space="preserve"> 164), </w:t>
      </w:r>
      <w:r w:rsidRPr="001317F1">
        <w:rPr>
          <w:rFonts w:ascii="Calibri Light" w:hAnsi="Calibri Light" w:cs="Calibri Light"/>
        </w:rPr>
        <w:t>να</w:t>
      </w:r>
      <w:r w:rsidRPr="001317F1">
        <w:rPr>
          <w:rFonts w:asciiTheme="majorHAnsi" w:hAnsiTheme="majorHAnsi" w:cstheme="majorHAnsi"/>
        </w:rPr>
        <w:t xml:space="preserve"> </w:t>
      </w:r>
      <w:r w:rsidRPr="001317F1">
        <w:rPr>
          <w:rFonts w:ascii="Calibri Light" w:hAnsi="Calibri Light" w:cs="Calibri Light"/>
        </w:rPr>
        <w:t>διασφαλίζει</w:t>
      </w:r>
      <w:r w:rsidRPr="001317F1">
        <w:rPr>
          <w:rFonts w:asciiTheme="majorHAnsi" w:hAnsiTheme="majorHAnsi" w:cstheme="majorHAnsi"/>
        </w:rPr>
        <w:t xml:space="preserve"> </w:t>
      </w:r>
      <w:r w:rsidRPr="001317F1">
        <w:rPr>
          <w:rFonts w:ascii="Calibri Light" w:hAnsi="Calibri Light" w:cs="Calibri Light"/>
        </w:rPr>
        <w:t>ότι</w:t>
      </w:r>
      <w:r w:rsidRPr="001317F1">
        <w:rPr>
          <w:rFonts w:asciiTheme="majorHAnsi" w:hAnsiTheme="majorHAnsi" w:cstheme="majorHAnsi"/>
        </w:rPr>
        <w:t xml:space="preserve"> </w:t>
      </w:r>
      <w:r w:rsidRPr="001317F1">
        <w:rPr>
          <w:rFonts w:ascii="Calibri Light" w:hAnsi="Calibri Light" w:cs="Calibri Light"/>
        </w:rPr>
        <w:t>το</w:t>
      </w:r>
      <w:r w:rsidRPr="001317F1">
        <w:rPr>
          <w:rFonts w:asciiTheme="majorHAnsi" w:hAnsiTheme="majorHAnsi" w:cstheme="majorHAnsi"/>
        </w:rPr>
        <w:t xml:space="preserve"> </w:t>
      </w:r>
      <w:r w:rsidRPr="001317F1">
        <w:rPr>
          <w:rFonts w:ascii="Calibri Light" w:hAnsi="Calibri Light" w:cs="Calibri Light"/>
        </w:rPr>
        <w:t>μνημόνιο</w:t>
      </w:r>
      <w:r w:rsidRPr="001317F1">
        <w:rPr>
          <w:rFonts w:asciiTheme="majorHAnsi" w:hAnsiTheme="majorHAnsi" w:cstheme="majorHAnsi"/>
        </w:rPr>
        <w:t xml:space="preserve"> </w:t>
      </w:r>
      <w:r w:rsidRPr="001317F1">
        <w:rPr>
          <w:rFonts w:ascii="Calibri Light" w:hAnsi="Calibri Light" w:cs="Calibri Light"/>
        </w:rPr>
        <w:t>αυτό</w:t>
      </w:r>
      <w:r w:rsidRPr="001317F1">
        <w:rPr>
          <w:rFonts w:asciiTheme="majorHAnsi" w:hAnsiTheme="majorHAnsi" w:cstheme="majorHAnsi"/>
        </w:rPr>
        <w:t xml:space="preserve"> </w:t>
      </w:r>
      <w:r w:rsidRPr="001317F1">
        <w:rPr>
          <w:rFonts w:ascii="Calibri Light" w:hAnsi="Calibri Light" w:cs="Calibri Light"/>
        </w:rPr>
        <w:t>είναι</w:t>
      </w:r>
      <w:r w:rsidRPr="001317F1">
        <w:rPr>
          <w:rFonts w:asciiTheme="majorHAnsi" w:hAnsiTheme="majorHAnsi" w:cstheme="majorHAnsi"/>
        </w:rPr>
        <w:t xml:space="preserve"> </w:t>
      </w:r>
      <w:r w:rsidRPr="001317F1">
        <w:rPr>
          <w:rFonts w:ascii="Calibri Light" w:hAnsi="Calibri Light" w:cs="Calibri Light"/>
        </w:rPr>
        <w:t>σύμφωνο</w:t>
      </w:r>
      <w:r w:rsidRPr="001317F1">
        <w:rPr>
          <w:rFonts w:asciiTheme="majorHAnsi" w:hAnsiTheme="majorHAnsi" w:cstheme="majorHAnsi"/>
        </w:rPr>
        <w:t xml:space="preserve"> </w:t>
      </w:r>
      <w:r w:rsidRPr="001317F1">
        <w:rPr>
          <w:rFonts w:ascii="Calibri Light" w:hAnsi="Calibri Light" w:cs="Calibri Light"/>
        </w:rPr>
        <w:t>με</w:t>
      </w:r>
      <w:r w:rsidRPr="001317F1">
        <w:rPr>
          <w:rFonts w:asciiTheme="majorHAnsi" w:hAnsiTheme="majorHAnsi" w:cstheme="majorHAnsi"/>
        </w:rPr>
        <w:t xml:space="preserve"> </w:t>
      </w:r>
      <w:r w:rsidRPr="001317F1">
        <w:rPr>
          <w:rFonts w:ascii="Calibri Light" w:hAnsi="Calibri Light" w:cs="Calibri Light"/>
        </w:rPr>
        <w:t>τα</w:t>
      </w:r>
      <w:r w:rsidRPr="001317F1">
        <w:rPr>
          <w:rFonts w:asciiTheme="majorHAnsi" w:hAnsiTheme="majorHAnsi" w:cstheme="majorHAnsi"/>
        </w:rPr>
        <w:t xml:space="preserve"> </w:t>
      </w:r>
      <w:r w:rsidRPr="001317F1">
        <w:rPr>
          <w:rFonts w:ascii="Calibri Light" w:hAnsi="Calibri Light" w:cs="Calibri Light"/>
        </w:rPr>
        <w:t>θεμελιώδη</w:t>
      </w:r>
      <w:r w:rsidRPr="001317F1">
        <w:rPr>
          <w:rFonts w:asciiTheme="majorHAnsi" w:hAnsiTheme="majorHAnsi" w:cstheme="majorHAnsi"/>
        </w:rPr>
        <w:t xml:space="preserve"> </w:t>
      </w:r>
      <w:r w:rsidRPr="001317F1">
        <w:rPr>
          <w:rFonts w:ascii="Calibri Light" w:hAnsi="Calibri Light" w:cs="Calibri Light"/>
        </w:rPr>
        <w:t>δικαιώματα</w:t>
      </w:r>
      <w:r w:rsidRPr="001317F1">
        <w:rPr>
          <w:rFonts w:asciiTheme="majorHAnsi" w:hAnsiTheme="majorHAnsi" w:cstheme="majorHAnsi"/>
        </w:rPr>
        <w:t xml:space="preserve"> </w:t>
      </w:r>
      <w:r w:rsidRPr="001317F1">
        <w:rPr>
          <w:rFonts w:ascii="Calibri Light" w:hAnsi="Calibri Light" w:cs="Calibri Light"/>
        </w:rPr>
        <w:t>που</w:t>
      </w:r>
      <w:r w:rsidRPr="001317F1">
        <w:rPr>
          <w:rFonts w:asciiTheme="majorHAnsi" w:hAnsiTheme="majorHAnsi" w:cstheme="majorHAnsi"/>
        </w:rPr>
        <w:t xml:space="preserve"> </w:t>
      </w:r>
      <w:r w:rsidRPr="001317F1">
        <w:rPr>
          <w:rFonts w:ascii="Calibri Light" w:hAnsi="Calibri Light" w:cs="Calibri Light"/>
        </w:rPr>
        <w:t>κατοχυρώνονται</w:t>
      </w:r>
      <w:r w:rsidRPr="001317F1">
        <w:rPr>
          <w:rFonts w:asciiTheme="majorHAnsi" w:hAnsiTheme="majorHAnsi" w:cstheme="majorHAnsi"/>
        </w:rPr>
        <w:t xml:space="preserve"> </w:t>
      </w:r>
      <w:r w:rsidRPr="001317F1">
        <w:rPr>
          <w:rFonts w:ascii="Calibri Light" w:hAnsi="Calibri Light" w:cs="Calibri Light"/>
        </w:rPr>
        <w:t>από</w:t>
      </w:r>
      <w:r w:rsidRPr="001317F1">
        <w:rPr>
          <w:rFonts w:asciiTheme="majorHAnsi" w:hAnsiTheme="majorHAnsi" w:cstheme="majorHAnsi"/>
        </w:rPr>
        <w:t xml:space="preserve"> </w:t>
      </w:r>
      <w:r w:rsidRPr="001317F1">
        <w:rPr>
          <w:rFonts w:ascii="Calibri Light" w:hAnsi="Calibri Light" w:cs="Calibri Light"/>
        </w:rPr>
        <w:t>τον</w:t>
      </w:r>
      <w:r w:rsidRPr="001317F1">
        <w:rPr>
          <w:rFonts w:asciiTheme="majorHAnsi" w:hAnsiTheme="majorHAnsi" w:cstheme="majorHAnsi"/>
        </w:rPr>
        <w:t xml:space="preserve"> </w:t>
      </w:r>
      <w:r w:rsidRPr="001317F1">
        <w:rPr>
          <w:rFonts w:ascii="Calibri Light" w:hAnsi="Calibri Light" w:cs="Calibri Light"/>
        </w:rPr>
        <w:t>Χάρτη</w:t>
      </w:r>
      <w:r w:rsidRPr="001317F1">
        <w:rPr>
          <w:rFonts w:asciiTheme="majorHAnsi" w:hAnsiTheme="majorHAnsi" w:cstheme="majorHAnsi"/>
        </w:rPr>
        <w:t>.</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68      Επομένως, πρέπει να εξετασθεί αν η Επιτροπή, στο πλαίσιο της υπογραφής του μνημονίου κατανόησης της 26ης Απριλίου 29013, συνέβαλε σε κατάφωρη παράβαση του κατά την έννοια του άρθρου 17, παράγραφος 1, του Χάρτη δικαιώματος ιδιοκτησίας των </w:t>
      </w:r>
      <w:proofErr w:type="spellStart"/>
      <w:r w:rsidRPr="001317F1">
        <w:rPr>
          <w:rFonts w:asciiTheme="majorHAnsi" w:hAnsiTheme="majorHAnsi" w:cstheme="majorHAnsi"/>
        </w:rPr>
        <w:t>αναιρεσειόντων</w:t>
      </w:r>
      <w:proofErr w:type="spellEnd"/>
      <w:r w:rsidRPr="001317F1">
        <w:rPr>
          <w:rFonts w:asciiTheme="majorHAnsi" w:hAnsiTheme="majorHAnsi" w:cstheme="majorHAnsi"/>
        </w:rPr>
        <w:t>.</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69      Συναφώς, πρέπει να </w:t>
      </w:r>
      <w:proofErr w:type="spellStart"/>
      <w:r w:rsidRPr="001317F1">
        <w:rPr>
          <w:rFonts w:asciiTheme="majorHAnsi" w:hAnsiTheme="majorHAnsi" w:cstheme="majorHAnsi"/>
        </w:rPr>
        <w:t>υπομνησθεί</w:t>
      </w:r>
      <w:proofErr w:type="spellEnd"/>
      <w:r w:rsidRPr="001317F1">
        <w:rPr>
          <w:rFonts w:asciiTheme="majorHAnsi" w:hAnsiTheme="majorHAnsi" w:cstheme="majorHAnsi"/>
        </w:rPr>
        <w:t xml:space="preserve"> ότι το δικαίωμα ιδιοκτησίας το οποίο κατοχυρώνεται από την εν λόγω διάταξη του Χάρτη δεν συνιστά απόλυτο προνόμιο και ότι η άσκησή του μπορεί να υπόκειται σε περιορισμούς που δικαιολογούνται από σκοπούς γενικού συμφέροντος που επιδιώκει η Ένωση (βλ. αποφάσεις της 16ης Νοεμβρίου 2011, Bank </w:t>
      </w:r>
      <w:proofErr w:type="spellStart"/>
      <w:r w:rsidRPr="001317F1">
        <w:rPr>
          <w:rFonts w:asciiTheme="majorHAnsi" w:hAnsiTheme="majorHAnsi" w:cstheme="majorHAnsi"/>
        </w:rPr>
        <w:t>Melli</w:t>
      </w:r>
      <w:proofErr w:type="spellEnd"/>
      <w:r w:rsidRPr="001317F1">
        <w:rPr>
          <w:rFonts w:asciiTheme="majorHAnsi" w:hAnsiTheme="majorHAnsi" w:cstheme="majorHAnsi"/>
        </w:rPr>
        <w:t xml:space="preserve"> </w:t>
      </w:r>
      <w:proofErr w:type="spellStart"/>
      <w:r w:rsidRPr="001317F1">
        <w:rPr>
          <w:rFonts w:asciiTheme="majorHAnsi" w:hAnsiTheme="majorHAnsi" w:cstheme="majorHAnsi"/>
        </w:rPr>
        <w:t>Iran</w:t>
      </w:r>
      <w:proofErr w:type="spellEnd"/>
      <w:r w:rsidRPr="001317F1">
        <w:rPr>
          <w:rFonts w:asciiTheme="majorHAnsi" w:hAnsiTheme="majorHAnsi" w:cstheme="majorHAnsi"/>
        </w:rPr>
        <w:t xml:space="preserve"> κατά Συμβουλίου, C</w:t>
      </w:r>
      <w:r w:rsidRPr="001317F1">
        <w:rPr>
          <w:rFonts w:ascii="Cambria Math" w:hAnsi="Cambria Math" w:cs="Cambria Math"/>
        </w:rPr>
        <w:t>‑</w:t>
      </w:r>
      <w:r w:rsidRPr="001317F1">
        <w:rPr>
          <w:rFonts w:asciiTheme="majorHAnsi" w:hAnsiTheme="majorHAnsi" w:cstheme="majorHAnsi"/>
        </w:rPr>
        <w:t xml:space="preserve">548/09 P, EU:C:2011:735, </w:t>
      </w:r>
      <w:r w:rsidRPr="001317F1">
        <w:rPr>
          <w:rFonts w:ascii="Calibri Light" w:hAnsi="Calibri Light" w:cs="Calibri Light"/>
        </w:rPr>
        <w:t>σκέψη</w:t>
      </w:r>
      <w:r w:rsidRPr="001317F1">
        <w:rPr>
          <w:rFonts w:asciiTheme="majorHAnsi" w:hAnsiTheme="majorHAnsi" w:cstheme="majorHAnsi"/>
        </w:rPr>
        <w:t xml:space="preserve"> 113, </w:t>
      </w:r>
      <w:r w:rsidRPr="001317F1">
        <w:rPr>
          <w:rFonts w:ascii="Calibri Light" w:hAnsi="Calibri Light" w:cs="Calibri Light"/>
        </w:rPr>
        <w:t>και</w:t>
      </w:r>
      <w:r w:rsidRPr="001317F1">
        <w:rPr>
          <w:rFonts w:asciiTheme="majorHAnsi" w:hAnsiTheme="majorHAnsi" w:cstheme="majorHAnsi"/>
        </w:rPr>
        <w:t xml:space="preserve"> </w:t>
      </w:r>
      <w:r w:rsidRPr="001317F1">
        <w:rPr>
          <w:rFonts w:ascii="Calibri Light" w:hAnsi="Calibri Light" w:cs="Calibri Light"/>
        </w:rPr>
        <w:t>της</w:t>
      </w:r>
      <w:r w:rsidRPr="001317F1">
        <w:rPr>
          <w:rFonts w:asciiTheme="majorHAnsi" w:hAnsiTheme="majorHAnsi" w:cstheme="majorHAnsi"/>
        </w:rPr>
        <w:t xml:space="preserve"> 12</w:t>
      </w:r>
      <w:r w:rsidRPr="001317F1">
        <w:rPr>
          <w:rFonts w:ascii="Calibri Light" w:hAnsi="Calibri Light" w:cs="Calibri Light"/>
        </w:rPr>
        <w:t>ης</w:t>
      </w:r>
      <w:r w:rsidRPr="001317F1">
        <w:rPr>
          <w:rFonts w:asciiTheme="majorHAnsi" w:hAnsiTheme="majorHAnsi" w:cstheme="majorHAnsi"/>
        </w:rPr>
        <w:t xml:space="preserve"> </w:t>
      </w:r>
      <w:r w:rsidRPr="001317F1">
        <w:rPr>
          <w:rFonts w:ascii="Calibri Light" w:hAnsi="Calibri Light" w:cs="Calibri Light"/>
        </w:rPr>
        <w:t>Μαΐου</w:t>
      </w:r>
      <w:r w:rsidRPr="001317F1">
        <w:rPr>
          <w:rFonts w:asciiTheme="majorHAnsi" w:hAnsiTheme="majorHAnsi" w:cstheme="majorHAnsi"/>
        </w:rPr>
        <w:t xml:space="preserve"> 2016, Bank of Industry and </w:t>
      </w:r>
      <w:proofErr w:type="spellStart"/>
      <w:r w:rsidRPr="001317F1">
        <w:rPr>
          <w:rFonts w:asciiTheme="majorHAnsi" w:hAnsiTheme="majorHAnsi" w:cstheme="majorHAnsi"/>
        </w:rPr>
        <w:t>Mine</w:t>
      </w:r>
      <w:proofErr w:type="spellEnd"/>
      <w:r w:rsidRPr="001317F1">
        <w:rPr>
          <w:rFonts w:asciiTheme="majorHAnsi" w:hAnsiTheme="majorHAnsi" w:cstheme="majorHAnsi"/>
        </w:rPr>
        <w:t xml:space="preserve"> </w:t>
      </w:r>
      <w:r w:rsidRPr="001317F1">
        <w:rPr>
          <w:rFonts w:ascii="Calibri Light" w:hAnsi="Calibri Light" w:cs="Calibri Light"/>
        </w:rPr>
        <w:t>κατά</w:t>
      </w:r>
      <w:r w:rsidRPr="001317F1">
        <w:rPr>
          <w:rFonts w:asciiTheme="majorHAnsi" w:hAnsiTheme="majorHAnsi" w:cstheme="majorHAnsi"/>
        </w:rPr>
        <w:t xml:space="preserve"> </w:t>
      </w:r>
      <w:r w:rsidRPr="001317F1">
        <w:rPr>
          <w:rFonts w:ascii="Calibri Light" w:hAnsi="Calibri Light" w:cs="Calibri Light"/>
        </w:rPr>
        <w:t>Συμβουλίου</w:t>
      </w:r>
      <w:r w:rsidRPr="001317F1">
        <w:rPr>
          <w:rFonts w:asciiTheme="majorHAnsi" w:hAnsiTheme="majorHAnsi" w:cstheme="majorHAnsi"/>
        </w:rPr>
        <w:t>, C</w:t>
      </w:r>
      <w:r w:rsidRPr="001317F1">
        <w:rPr>
          <w:rFonts w:ascii="Cambria Math" w:hAnsi="Cambria Math" w:cs="Cambria Math"/>
        </w:rPr>
        <w:t>‑</w:t>
      </w:r>
      <w:r w:rsidRPr="001317F1">
        <w:rPr>
          <w:rFonts w:asciiTheme="majorHAnsi" w:hAnsiTheme="majorHAnsi" w:cstheme="majorHAnsi"/>
        </w:rPr>
        <w:t xml:space="preserve">358/15 P, EU:C:2016:338, </w:t>
      </w:r>
      <w:r w:rsidRPr="001317F1">
        <w:rPr>
          <w:rFonts w:ascii="Calibri Light" w:hAnsi="Calibri Light" w:cs="Calibri Light"/>
        </w:rPr>
        <w:t>σκέψη</w:t>
      </w:r>
      <w:r w:rsidRPr="001317F1">
        <w:rPr>
          <w:rFonts w:asciiTheme="majorHAnsi" w:hAnsiTheme="majorHAnsi" w:cstheme="majorHAnsi"/>
        </w:rPr>
        <w:t xml:space="preserve"> 55).</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70      Κατά συνέπεια, όπως προκύπτει από το άρθρο 52, παράγραφος 1, του Χάρτη, μπορούν να επιβληθούν περιορισμοί στην άσκηση του δικαιώματος ιδιοκτησίας, υπό την προϋπόθεση ότι οι περιορισμοί αυτοί ανταποκρίνονται πράγματι σε </w:t>
      </w:r>
      <w:proofErr w:type="spellStart"/>
      <w:r w:rsidRPr="001317F1">
        <w:rPr>
          <w:rFonts w:asciiTheme="majorHAnsi" w:hAnsiTheme="majorHAnsi" w:cstheme="majorHAnsi"/>
        </w:rPr>
        <w:t>επιδιωκομένους</w:t>
      </w:r>
      <w:proofErr w:type="spellEnd"/>
      <w:r w:rsidRPr="001317F1">
        <w:rPr>
          <w:rFonts w:asciiTheme="majorHAnsi" w:hAnsiTheme="majorHAnsi" w:cstheme="majorHAnsi"/>
        </w:rPr>
        <w:t xml:space="preserve"> σκοπούς γενικού συμφέροντος και δεν συνιστούν, σε σχέση προς τον επιδιωκόμενο σκοπό, δυσανάλογη και ανεπίτρεπτη επέμβαση </w:t>
      </w:r>
      <w:proofErr w:type="spellStart"/>
      <w:r w:rsidRPr="001317F1">
        <w:rPr>
          <w:rFonts w:asciiTheme="majorHAnsi" w:hAnsiTheme="majorHAnsi" w:cstheme="majorHAnsi"/>
        </w:rPr>
        <w:t>θίγουσα</w:t>
      </w:r>
      <w:proofErr w:type="spellEnd"/>
      <w:r w:rsidRPr="001317F1">
        <w:rPr>
          <w:rFonts w:asciiTheme="majorHAnsi" w:hAnsiTheme="majorHAnsi" w:cstheme="majorHAnsi"/>
        </w:rPr>
        <w:t xml:space="preserve"> την ίδια την υπόσταση του ως άνω κατοχυρωμένου δικαιώματος (βλ., υπό την έννοια αυτή, αποφάσεις της 16ης Νοεμβρίου 2011, Bank </w:t>
      </w:r>
      <w:proofErr w:type="spellStart"/>
      <w:r w:rsidRPr="001317F1">
        <w:rPr>
          <w:rFonts w:asciiTheme="majorHAnsi" w:hAnsiTheme="majorHAnsi" w:cstheme="majorHAnsi"/>
        </w:rPr>
        <w:t>Melli</w:t>
      </w:r>
      <w:proofErr w:type="spellEnd"/>
      <w:r w:rsidRPr="001317F1">
        <w:rPr>
          <w:rFonts w:asciiTheme="majorHAnsi" w:hAnsiTheme="majorHAnsi" w:cstheme="majorHAnsi"/>
        </w:rPr>
        <w:t xml:space="preserve"> </w:t>
      </w:r>
      <w:proofErr w:type="spellStart"/>
      <w:r w:rsidRPr="001317F1">
        <w:rPr>
          <w:rFonts w:asciiTheme="majorHAnsi" w:hAnsiTheme="majorHAnsi" w:cstheme="majorHAnsi"/>
        </w:rPr>
        <w:t>Iran</w:t>
      </w:r>
      <w:proofErr w:type="spellEnd"/>
      <w:r w:rsidRPr="001317F1">
        <w:rPr>
          <w:rFonts w:asciiTheme="majorHAnsi" w:hAnsiTheme="majorHAnsi" w:cstheme="majorHAnsi"/>
        </w:rPr>
        <w:t xml:space="preserve"> κατά Συμβουλίου, C</w:t>
      </w:r>
      <w:r w:rsidRPr="001317F1">
        <w:rPr>
          <w:rFonts w:ascii="Cambria Math" w:hAnsi="Cambria Math" w:cs="Cambria Math"/>
        </w:rPr>
        <w:t>‑</w:t>
      </w:r>
      <w:r w:rsidRPr="001317F1">
        <w:rPr>
          <w:rFonts w:asciiTheme="majorHAnsi" w:hAnsiTheme="majorHAnsi" w:cstheme="majorHAnsi"/>
        </w:rPr>
        <w:t xml:space="preserve">548/09 P, EU:C:2011:735, </w:t>
      </w:r>
      <w:r w:rsidRPr="001317F1">
        <w:rPr>
          <w:rFonts w:ascii="Calibri Light" w:hAnsi="Calibri Light" w:cs="Calibri Light"/>
        </w:rPr>
        <w:t>σκέψη</w:t>
      </w:r>
      <w:r w:rsidRPr="001317F1">
        <w:rPr>
          <w:rFonts w:asciiTheme="majorHAnsi" w:hAnsiTheme="majorHAnsi" w:cstheme="majorHAnsi"/>
        </w:rPr>
        <w:t xml:space="preserve"> 114, </w:t>
      </w:r>
      <w:r w:rsidRPr="001317F1">
        <w:rPr>
          <w:rFonts w:ascii="Calibri Light" w:hAnsi="Calibri Light" w:cs="Calibri Light"/>
        </w:rPr>
        <w:t>και</w:t>
      </w:r>
      <w:r w:rsidRPr="001317F1">
        <w:rPr>
          <w:rFonts w:asciiTheme="majorHAnsi" w:hAnsiTheme="majorHAnsi" w:cstheme="majorHAnsi"/>
        </w:rPr>
        <w:t xml:space="preserve"> </w:t>
      </w:r>
      <w:r w:rsidRPr="001317F1">
        <w:rPr>
          <w:rFonts w:ascii="Calibri Light" w:hAnsi="Calibri Light" w:cs="Calibri Light"/>
        </w:rPr>
        <w:t>της</w:t>
      </w:r>
      <w:r w:rsidRPr="001317F1">
        <w:rPr>
          <w:rFonts w:asciiTheme="majorHAnsi" w:hAnsiTheme="majorHAnsi" w:cstheme="majorHAnsi"/>
        </w:rPr>
        <w:t xml:space="preserve"> 12</w:t>
      </w:r>
      <w:r w:rsidRPr="001317F1">
        <w:rPr>
          <w:rFonts w:ascii="Calibri Light" w:hAnsi="Calibri Light" w:cs="Calibri Light"/>
        </w:rPr>
        <w:t>ης</w:t>
      </w:r>
      <w:r w:rsidRPr="001317F1">
        <w:rPr>
          <w:rFonts w:asciiTheme="majorHAnsi" w:hAnsiTheme="majorHAnsi" w:cstheme="majorHAnsi"/>
        </w:rPr>
        <w:t xml:space="preserve"> </w:t>
      </w:r>
      <w:r w:rsidRPr="001317F1">
        <w:rPr>
          <w:rFonts w:ascii="Calibri Light" w:hAnsi="Calibri Light" w:cs="Calibri Light"/>
        </w:rPr>
        <w:t>Μαΐου</w:t>
      </w:r>
      <w:r w:rsidRPr="001317F1">
        <w:rPr>
          <w:rFonts w:asciiTheme="majorHAnsi" w:hAnsiTheme="majorHAnsi" w:cstheme="majorHAnsi"/>
        </w:rPr>
        <w:t xml:space="preserve"> 2016, Bank of Industry and </w:t>
      </w:r>
      <w:proofErr w:type="spellStart"/>
      <w:r w:rsidRPr="001317F1">
        <w:rPr>
          <w:rFonts w:asciiTheme="majorHAnsi" w:hAnsiTheme="majorHAnsi" w:cstheme="majorHAnsi"/>
        </w:rPr>
        <w:t>Mine</w:t>
      </w:r>
      <w:proofErr w:type="spellEnd"/>
      <w:r w:rsidRPr="001317F1">
        <w:rPr>
          <w:rFonts w:asciiTheme="majorHAnsi" w:hAnsiTheme="majorHAnsi" w:cstheme="majorHAnsi"/>
        </w:rPr>
        <w:t xml:space="preserve"> κατά Συμβουλίου, C</w:t>
      </w:r>
      <w:r w:rsidRPr="001317F1">
        <w:rPr>
          <w:rFonts w:ascii="Cambria Math" w:hAnsi="Cambria Math" w:cs="Cambria Math"/>
        </w:rPr>
        <w:t>‑</w:t>
      </w:r>
      <w:r w:rsidRPr="001317F1">
        <w:rPr>
          <w:rFonts w:asciiTheme="majorHAnsi" w:hAnsiTheme="majorHAnsi" w:cstheme="majorHAnsi"/>
        </w:rPr>
        <w:t xml:space="preserve">358/15 P, EU:C:2016:338, </w:t>
      </w:r>
      <w:r w:rsidRPr="001317F1">
        <w:rPr>
          <w:rFonts w:ascii="Calibri Light" w:hAnsi="Calibri Light" w:cs="Calibri Light"/>
        </w:rPr>
        <w:t>σκέψη</w:t>
      </w:r>
      <w:r w:rsidRPr="001317F1">
        <w:rPr>
          <w:rFonts w:asciiTheme="majorHAnsi" w:hAnsiTheme="majorHAnsi" w:cstheme="majorHAnsi"/>
        </w:rPr>
        <w:t xml:space="preserve"> 56).</w:t>
      </w:r>
    </w:p>
    <w:p w:rsidR="001317F1" w:rsidRPr="001317F1" w:rsidRDefault="001317F1" w:rsidP="001317F1">
      <w:pPr>
        <w:rPr>
          <w:rFonts w:asciiTheme="majorHAnsi" w:hAnsiTheme="majorHAnsi" w:cstheme="majorHAnsi"/>
        </w:rPr>
      </w:pPr>
      <w:r w:rsidRPr="001317F1">
        <w:rPr>
          <w:rFonts w:asciiTheme="majorHAnsi" w:hAnsiTheme="majorHAnsi" w:cstheme="majorHAnsi"/>
        </w:rPr>
        <w:t>71      Συναφώς, επισημαίνεται ότι από το άρθρο 12 της Συνθήκης για τον ΕΜΣ προκύπτει ότι η υπογραφή μνημονίου κατανόησης, όπως αυτό το οποίο προέκυψε από τις διαπραγματεύσεις μεταξύ των κυπριακών αρχών και, μεταξύ άλλων, της Επιτροπής, ανταποκρίνεται σε σκοπό γενικού συμφέροντος που επιδιώκει η Ένωση, ήτοι στη διασφάλιση της σταθερότητας του τραπεζικού συστήματος της ζώνης του ευρώ στο σύνολό της.</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72      Πράγματι, οι χρηματοπιστωτικές υπηρεσίες διαδραματίζουν κεντρικό ρόλο στην οικονομία της Ένωσης. Οι τράπεζες και τα πιστωτικά ιδρύματα συνιστούν βασική πηγή χρηματοδοτήσεως για τις επιχειρήσεις που δραστηριοποιούνται στις διάφορες αγορές. Επιπλέον, συχνά οι τράπεζες είναι στενά συνδεδεμένες μεταξύ τους και αρκετές εξ αυτών λειτουργούν σε διεθνές επίπεδο. Για τον λόγο αυτό η αδυναμία εκπληρώσεως των υποχρεώσεων μίας ή περισσοτέρων τραπεζών ενέχει τον κίνδυνο ταχύτατης εξαπλώσεως στις λοιπές τράπεζες, είτε στο οικείο κράτος μέλος είτε σε άλλα κράτη μέλη. Αυτό ενέχει, συνακόλουθα, τον κίνδυνο αρνητικών δευτερογενών επιπτώσεων σε άλλους τομείς της οικονομίας (απόφαση της 19ης Ιουλίου 2016, </w:t>
      </w:r>
      <w:proofErr w:type="spellStart"/>
      <w:r w:rsidRPr="001317F1">
        <w:rPr>
          <w:rFonts w:asciiTheme="majorHAnsi" w:hAnsiTheme="majorHAnsi" w:cstheme="majorHAnsi"/>
        </w:rPr>
        <w:t>Kotnik</w:t>
      </w:r>
      <w:proofErr w:type="spellEnd"/>
      <w:r w:rsidRPr="001317F1">
        <w:rPr>
          <w:rFonts w:asciiTheme="majorHAnsi" w:hAnsiTheme="majorHAnsi" w:cstheme="majorHAnsi"/>
        </w:rPr>
        <w:t xml:space="preserve"> κ.λπ., C</w:t>
      </w:r>
      <w:r w:rsidRPr="001317F1">
        <w:rPr>
          <w:rFonts w:ascii="Cambria Math" w:hAnsi="Cambria Math" w:cs="Cambria Math"/>
        </w:rPr>
        <w:t>‑</w:t>
      </w:r>
      <w:r w:rsidRPr="001317F1">
        <w:rPr>
          <w:rFonts w:asciiTheme="majorHAnsi" w:hAnsiTheme="majorHAnsi" w:cstheme="majorHAnsi"/>
        </w:rPr>
        <w:t xml:space="preserve">526/14, EU:C:2016:570, </w:t>
      </w:r>
      <w:r w:rsidRPr="001317F1">
        <w:rPr>
          <w:rFonts w:ascii="Calibri Light" w:hAnsi="Calibri Light" w:cs="Calibri Light"/>
        </w:rPr>
        <w:t>σκέψη</w:t>
      </w:r>
      <w:r w:rsidRPr="001317F1">
        <w:rPr>
          <w:rFonts w:asciiTheme="majorHAnsi" w:hAnsiTheme="majorHAnsi" w:cstheme="majorHAnsi"/>
        </w:rPr>
        <w:t xml:space="preserve"> 50).</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73      Εν προκειμένω, τα μέτρα που προσδιορίζονται στα επίμαχα σημεία προβλέπουν, μεταξύ άλλων, την ανάληψη από τη Bank of Cyprus των ασφαλισμένων καταθέσεων της Cyprus Popular Bank, τη μετατροπή 37,5 % των ανασφάλιστων καταθέσεων της Bank of Cyprus σε μετοχές με πλήρη δικαιώματα ψήφου και δικαιώματα σε μέρισμα, καθώς και το προσωρινό πάγωμα μέρους των υπόλοιπων ανασφάλιστων καταθέσεων, με τη διευκρίνιση ότι, σε περίπτωση που θα διαπιστωθεί ότι η Bank of Cyprus είναι </w:t>
      </w:r>
      <w:proofErr w:type="spellStart"/>
      <w:r w:rsidRPr="001317F1">
        <w:rPr>
          <w:rFonts w:asciiTheme="majorHAnsi" w:hAnsiTheme="majorHAnsi" w:cstheme="majorHAnsi"/>
        </w:rPr>
        <w:t>υπερκεφαλαιοποιημένη</w:t>
      </w:r>
      <w:proofErr w:type="spellEnd"/>
      <w:r w:rsidRPr="001317F1">
        <w:rPr>
          <w:rFonts w:asciiTheme="majorHAnsi" w:hAnsiTheme="majorHAnsi" w:cstheme="majorHAnsi"/>
        </w:rPr>
        <w:t xml:space="preserve"> σε σχέση με τον στόχο 9 % στα κύρια βασικά ίδια κεφάλαια </w:t>
      </w:r>
      <w:r w:rsidRPr="001317F1">
        <w:rPr>
          <w:rFonts w:asciiTheme="majorHAnsi" w:hAnsiTheme="majorHAnsi" w:cstheme="majorHAnsi"/>
        </w:rPr>
        <w:lastRenderedPageBreak/>
        <w:t>κατηγορίας 1 (</w:t>
      </w:r>
      <w:proofErr w:type="spellStart"/>
      <w:r w:rsidRPr="001317F1">
        <w:rPr>
          <w:rFonts w:asciiTheme="majorHAnsi" w:hAnsiTheme="majorHAnsi" w:cstheme="majorHAnsi"/>
        </w:rPr>
        <w:t>Core</w:t>
      </w:r>
      <w:proofErr w:type="spellEnd"/>
      <w:r w:rsidRPr="001317F1">
        <w:rPr>
          <w:rFonts w:asciiTheme="majorHAnsi" w:hAnsiTheme="majorHAnsi" w:cstheme="majorHAnsi"/>
        </w:rPr>
        <w:t xml:space="preserve"> </w:t>
      </w:r>
      <w:proofErr w:type="spellStart"/>
      <w:r w:rsidRPr="001317F1">
        <w:rPr>
          <w:rFonts w:asciiTheme="majorHAnsi" w:hAnsiTheme="majorHAnsi" w:cstheme="majorHAnsi"/>
        </w:rPr>
        <w:t>Tier</w:t>
      </w:r>
      <w:proofErr w:type="spellEnd"/>
      <w:r w:rsidRPr="001317F1">
        <w:rPr>
          <w:rFonts w:asciiTheme="majorHAnsi" w:hAnsiTheme="majorHAnsi" w:cstheme="majorHAnsi"/>
        </w:rPr>
        <w:t xml:space="preserve"> 1) σε έλεγχο αντοχής, θα αναληφθεί διαδικασία αντιστροφής μετοχών για αποπληρωμή στους καταθέτες του ποσού της </w:t>
      </w:r>
      <w:proofErr w:type="spellStart"/>
      <w:r w:rsidRPr="001317F1">
        <w:rPr>
          <w:rFonts w:asciiTheme="majorHAnsi" w:hAnsiTheme="majorHAnsi" w:cstheme="majorHAnsi"/>
        </w:rPr>
        <w:t>υπερκεφαλαιοποίησης</w:t>
      </w:r>
      <w:proofErr w:type="spellEnd"/>
      <w:r w:rsidRPr="001317F1">
        <w:rPr>
          <w:rFonts w:asciiTheme="majorHAnsi" w:hAnsiTheme="majorHAnsi" w:cstheme="majorHAnsi"/>
        </w:rPr>
        <w:t>.</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74      Λαμβανομένου υπόψη του σκοπού της διασφαλίσεως της σταθερότητας του τραπεζικού συστήματος της ζώνης του ευρώ και του άμεσου κινδύνου οικονομικής ζημίας τον οποίο θα διέτρεχαν οι καταθέτες των οικείων δύο τραπεζών σε περίπτωση πτωχεύσεως αυτών, τα εν λόγω μέτρα δεν συνιστούν υπέρμετρη και απαράδεκτη παρέμβαση </w:t>
      </w:r>
      <w:proofErr w:type="spellStart"/>
      <w:r w:rsidRPr="001317F1">
        <w:rPr>
          <w:rFonts w:asciiTheme="majorHAnsi" w:hAnsiTheme="majorHAnsi" w:cstheme="majorHAnsi"/>
        </w:rPr>
        <w:t>θίγουσα</w:t>
      </w:r>
      <w:proofErr w:type="spellEnd"/>
      <w:r w:rsidRPr="001317F1">
        <w:rPr>
          <w:rFonts w:asciiTheme="majorHAnsi" w:hAnsiTheme="majorHAnsi" w:cstheme="majorHAnsi"/>
        </w:rPr>
        <w:t xml:space="preserve"> την ίδια την ουσία του δικαιώματος ιδιοκτησίας των </w:t>
      </w:r>
      <w:proofErr w:type="spellStart"/>
      <w:r w:rsidRPr="001317F1">
        <w:rPr>
          <w:rFonts w:asciiTheme="majorHAnsi" w:hAnsiTheme="majorHAnsi" w:cstheme="majorHAnsi"/>
        </w:rPr>
        <w:t>αναιρεσειόντων</w:t>
      </w:r>
      <w:proofErr w:type="spellEnd"/>
      <w:r w:rsidRPr="001317F1">
        <w:rPr>
          <w:rFonts w:asciiTheme="majorHAnsi" w:hAnsiTheme="majorHAnsi" w:cstheme="majorHAnsi"/>
        </w:rPr>
        <w:t xml:space="preserve">. Κατά συνέπεια, δεν είναι δυνατό να θεωρηθούν ως αδικαιολόγητοι περιορισμοί του εν λόγω δικαιώματος (βλ., κατ’ </w:t>
      </w:r>
      <w:proofErr w:type="spellStart"/>
      <w:r w:rsidRPr="001317F1">
        <w:rPr>
          <w:rFonts w:asciiTheme="majorHAnsi" w:hAnsiTheme="majorHAnsi" w:cstheme="majorHAnsi"/>
        </w:rPr>
        <w:t>αναλογίαν</w:t>
      </w:r>
      <w:proofErr w:type="spellEnd"/>
      <w:r w:rsidRPr="001317F1">
        <w:rPr>
          <w:rFonts w:asciiTheme="majorHAnsi" w:hAnsiTheme="majorHAnsi" w:cstheme="majorHAnsi"/>
        </w:rPr>
        <w:t xml:space="preserve">, απόφαση της 10ης Ιουλίου 2003, </w:t>
      </w:r>
      <w:proofErr w:type="spellStart"/>
      <w:r w:rsidRPr="001317F1">
        <w:rPr>
          <w:rFonts w:asciiTheme="majorHAnsi" w:hAnsiTheme="majorHAnsi" w:cstheme="majorHAnsi"/>
        </w:rPr>
        <w:t>Booker</w:t>
      </w:r>
      <w:proofErr w:type="spellEnd"/>
      <w:r w:rsidRPr="001317F1">
        <w:rPr>
          <w:rFonts w:asciiTheme="majorHAnsi" w:hAnsiTheme="majorHAnsi" w:cstheme="majorHAnsi"/>
        </w:rPr>
        <w:t xml:space="preserve"> Aquaculture και </w:t>
      </w:r>
      <w:proofErr w:type="spellStart"/>
      <w:r w:rsidRPr="001317F1">
        <w:rPr>
          <w:rFonts w:asciiTheme="majorHAnsi" w:hAnsiTheme="majorHAnsi" w:cstheme="majorHAnsi"/>
        </w:rPr>
        <w:t>Hydro</w:t>
      </w:r>
      <w:proofErr w:type="spellEnd"/>
      <w:r w:rsidRPr="001317F1">
        <w:rPr>
          <w:rFonts w:asciiTheme="majorHAnsi" w:hAnsiTheme="majorHAnsi" w:cstheme="majorHAnsi"/>
        </w:rPr>
        <w:t xml:space="preserve"> </w:t>
      </w:r>
      <w:proofErr w:type="spellStart"/>
      <w:r w:rsidRPr="001317F1">
        <w:rPr>
          <w:rFonts w:asciiTheme="majorHAnsi" w:hAnsiTheme="majorHAnsi" w:cstheme="majorHAnsi"/>
        </w:rPr>
        <w:t>Seafood</w:t>
      </w:r>
      <w:proofErr w:type="spellEnd"/>
      <w:r w:rsidRPr="001317F1">
        <w:rPr>
          <w:rFonts w:asciiTheme="majorHAnsi" w:hAnsiTheme="majorHAnsi" w:cstheme="majorHAnsi"/>
        </w:rPr>
        <w:t>, C</w:t>
      </w:r>
      <w:r w:rsidRPr="001317F1">
        <w:rPr>
          <w:rFonts w:ascii="Cambria Math" w:hAnsi="Cambria Math" w:cs="Cambria Math"/>
        </w:rPr>
        <w:t>‑</w:t>
      </w:r>
      <w:r w:rsidRPr="001317F1">
        <w:rPr>
          <w:rFonts w:asciiTheme="majorHAnsi" w:hAnsiTheme="majorHAnsi" w:cstheme="majorHAnsi"/>
        </w:rPr>
        <w:t xml:space="preserve">20/00 </w:t>
      </w:r>
      <w:r w:rsidRPr="001317F1">
        <w:rPr>
          <w:rFonts w:ascii="Calibri Light" w:hAnsi="Calibri Light" w:cs="Calibri Light"/>
        </w:rPr>
        <w:t>και</w:t>
      </w:r>
      <w:r w:rsidRPr="001317F1">
        <w:rPr>
          <w:rFonts w:asciiTheme="majorHAnsi" w:hAnsiTheme="majorHAnsi" w:cstheme="majorHAnsi"/>
        </w:rPr>
        <w:t xml:space="preserve"> C</w:t>
      </w:r>
      <w:r w:rsidRPr="001317F1">
        <w:rPr>
          <w:rFonts w:ascii="Cambria Math" w:hAnsi="Cambria Math" w:cs="Cambria Math"/>
        </w:rPr>
        <w:t>‑</w:t>
      </w:r>
      <w:r w:rsidRPr="001317F1">
        <w:rPr>
          <w:rFonts w:asciiTheme="majorHAnsi" w:hAnsiTheme="majorHAnsi" w:cstheme="majorHAnsi"/>
        </w:rPr>
        <w:t xml:space="preserve">64/00, EU:C:2003:397, </w:t>
      </w:r>
      <w:r w:rsidRPr="001317F1">
        <w:rPr>
          <w:rFonts w:ascii="Calibri Light" w:hAnsi="Calibri Light" w:cs="Calibri Light"/>
        </w:rPr>
        <w:t>σκέψεις</w:t>
      </w:r>
      <w:r w:rsidRPr="001317F1">
        <w:rPr>
          <w:rFonts w:asciiTheme="majorHAnsi" w:hAnsiTheme="majorHAnsi" w:cstheme="majorHAnsi"/>
        </w:rPr>
        <w:t xml:space="preserve"> 79 έως 86).</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75      Υπό το πρίσμα των ανωτέρω στοιχείων, δεν μπορεί να γίνει δεκτό ότι η Επιτροπή, καθόσον επέτρεψε την υιοθέτηση των επίδικων σημείων, συνέβαλε σε προσβολή του δικαιώματος ιδιοκτησίας των </w:t>
      </w:r>
      <w:proofErr w:type="spellStart"/>
      <w:r w:rsidRPr="001317F1">
        <w:rPr>
          <w:rFonts w:asciiTheme="majorHAnsi" w:hAnsiTheme="majorHAnsi" w:cstheme="majorHAnsi"/>
        </w:rPr>
        <w:t>αναιρεσειόντων</w:t>
      </w:r>
      <w:proofErr w:type="spellEnd"/>
      <w:r w:rsidRPr="001317F1">
        <w:rPr>
          <w:rFonts w:asciiTheme="majorHAnsi" w:hAnsiTheme="majorHAnsi" w:cstheme="majorHAnsi"/>
        </w:rPr>
        <w:t xml:space="preserve"> το οποίο κατοχυρώνεται από το άρθρο 17, παράγραφος 1, του Χάρτη.</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76      Επομένως, η πρώτη προϋπόθεση για τη θεμελίωση της </w:t>
      </w:r>
      <w:proofErr w:type="spellStart"/>
      <w:r w:rsidRPr="001317F1">
        <w:rPr>
          <w:rFonts w:asciiTheme="majorHAnsi" w:hAnsiTheme="majorHAnsi" w:cstheme="majorHAnsi"/>
        </w:rPr>
        <w:t>εξωσυμβατικής</w:t>
      </w:r>
      <w:proofErr w:type="spellEnd"/>
      <w:r w:rsidRPr="001317F1">
        <w:rPr>
          <w:rFonts w:asciiTheme="majorHAnsi" w:hAnsiTheme="majorHAnsi" w:cstheme="majorHAnsi"/>
        </w:rPr>
        <w:t xml:space="preserve"> ευθύνης της Ένωσης δεν πληρούται εν προκειμένω, με συνέπεια ότι τα αιτήματα αποζημιώσεως που διατύπωσαν οι </w:t>
      </w:r>
      <w:proofErr w:type="spellStart"/>
      <w:r w:rsidRPr="001317F1">
        <w:rPr>
          <w:rFonts w:asciiTheme="majorHAnsi" w:hAnsiTheme="majorHAnsi" w:cstheme="majorHAnsi"/>
        </w:rPr>
        <w:t>αναιρεσείοντες</w:t>
      </w:r>
      <w:proofErr w:type="spellEnd"/>
      <w:r w:rsidRPr="001317F1">
        <w:rPr>
          <w:rFonts w:asciiTheme="majorHAnsi" w:hAnsiTheme="majorHAnsi" w:cstheme="majorHAnsi"/>
        </w:rPr>
        <w:t xml:space="preserve"> πρέπει να απορριφθούν ως </w:t>
      </w:r>
      <w:proofErr w:type="spellStart"/>
      <w:r w:rsidRPr="001317F1">
        <w:rPr>
          <w:rFonts w:asciiTheme="majorHAnsi" w:hAnsiTheme="majorHAnsi" w:cstheme="majorHAnsi"/>
        </w:rPr>
        <w:t>νόμω</w:t>
      </w:r>
      <w:proofErr w:type="spellEnd"/>
      <w:r w:rsidRPr="001317F1">
        <w:rPr>
          <w:rFonts w:asciiTheme="majorHAnsi" w:hAnsiTheme="majorHAnsi" w:cstheme="majorHAnsi"/>
        </w:rPr>
        <w:t xml:space="preserve"> αβάσιμα.</w:t>
      </w:r>
    </w:p>
    <w:p w:rsidR="001317F1" w:rsidRPr="00573CCC" w:rsidRDefault="001317F1" w:rsidP="001317F1">
      <w:pPr>
        <w:rPr>
          <w:rFonts w:asciiTheme="majorHAnsi" w:hAnsiTheme="majorHAnsi" w:cstheme="majorHAnsi"/>
        </w:rPr>
      </w:pPr>
      <w:r w:rsidRPr="005A46F3">
        <w:rPr>
          <w:rFonts w:asciiTheme="majorHAnsi" w:hAnsiTheme="majorHAnsi" w:cstheme="majorHAnsi"/>
          <w:b/>
        </w:rPr>
        <w:t>Επί των δικαστικών εξόδων</w:t>
      </w:r>
      <w:r w:rsidR="00573CCC">
        <w:rPr>
          <w:rFonts w:asciiTheme="majorHAnsi" w:hAnsiTheme="majorHAnsi" w:cstheme="majorHAnsi"/>
        </w:rPr>
        <w:t xml:space="preserve"> […]</w:t>
      </w:r>
    </w:p>
    <w:p w:rsidR="001317F1" w:rsidRPr="001317F1" w:rsidRDefault="001317F1" w:rsidP="001317F1">
      <w:pPr>
        <w:rPr>
          <w:rFonts w:asciiTheme="majorHAnsi" w:hAnsiTheme="majorHAnsi" w:cstheme="majorHAnsi"/>
        </w:rPr>
      </w:pPr>
      <w:r w:rsidRPr="001317F1">
        <w:rPr>
          <w:rFonts w:asciiTheme="majorHAnsi" w:hAnsiTheme="majorHAnsi" w:cstheme="majorHAnsi"/>
        </w:rPr>
        <w:t>Για τους λόγους αυτούς, το Δικαστήριο (τμήμα μείζονος συνθέσεως) αποφασίζει:</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1)      Αναιρεί τις διατάξεις του Γενικού Δικαστηρίου της Ευρωπαϊκής Ένωσης της 10ης Νοεμβρίου 2014, Ledra </w:t>
      </w:r>
      <w:proofErr w:type="spellStart"/>
      <w:r w:rsidRPr="001317F1">
        <w:rPr>
          <w:rFonts w:asciiTheme="majorHAnsi" w:hAnsiTheme="majorHAnsi" w:cstheme="majorHAnsi"/>
        </w:rPr>
        <w:t>Advertising</w:t>
      </w:r>
      <w:proofErr w:type="spellEnd"/>
      <w:r w:rsidRPr="001317F1">
        <w:rPr>
          <w:rFonts w:asciiTheme="majorHAnsi" w:hAnsiTheme="majorHAnsi" w:cstheme="majorHAnsi"/>
        </w:rPr>
        <w:t xml:space="preserve"> κατά Επιτροπής και ΕΚΤ (T</w:t>
      </w:r>
      <w:r w:rsidRPr="001317F1">
        <w:rPr>
          <w:rFonts w:ascii="Cambria Math" w:hAnsi="Cambria Math" w:cs="Cambria Math"/>
        </w:rPr>
        <w:t>‑</w:t>
      </w:r>
      <w:r w:rsidRPr="001317F1">
        <w:rPr>
          <w:rFonts w:asciiTheme="majorHAnsi" w:hAnsiTheme="majorHAnsi" w:cstheme="majorHAnsi"/>
        </w:rPr>
        <w:t xml:space="preserve">289/13, EU:T:2014:981), </w:t>
      </w:r>
      <w:r w:rsidRPr="001317F1">
        <w:rPr>
          <w:rFonts w:ascii="Calibri Light" w:hAnsi="Calibri Light" w:cs="Calibri Light"/>
        </w:rPr>
        <w:t>της</w:t>
      </w:r>
      <w:r w:rsidRPr="001317F1">
        <w:rPr>
          <w:rFonts w:asciiTheme="majorHAnsi" w:hAnsiTheme="majorHAnsi" w:cstheme="majorHAnsi"/>
        </w:rPr>
        <w:t xml:space="preserve"> 10</w:t>
      </w:r>
      <w:r w:rsidRPr="001317F1">
        <w:rPr>
          <w:rFonts w:ascii="Calibri Light" w:hAnsi="Calibri Light" w:cs="Calibri Light"/>
        </w:rPr>
        <w:t>ης</w:t>
      </w:r>
      <w:r w:rsidRPr="001317F1">
        <w:rPr>
          <w:rFonts w:asciiTheme="majorHAnsi" w:hAnsiTheme="majorHAnsi" w:cstheme="majorHAnsi"/>
        </w:rPr>
        <w:t xml:space="preserve"> </w:t>
      </w:r>
      <w:r w:rsidRPr="001317F1">
        <w:rPr>
          <w:rFonts w:ascii="Calibri Light" w:hAnsi="Calibri Light" w:cs="Calibri Light"/>
        </w:rPr>
        <w:t>Νοεμβρίου</w:t>
      </w:r>
      <w:r w:rsidRPr="001317F1">
        <w:rPr>
          <w:rFonts w:asciiTheme="majorHAnsi" w:hAnsiTheme="majorHAnsi" w:cstheme="majorHAnsi"/>
        </w:rPr>
        <w:t xml:space="preserve"> 2014, </w:t>
      </w:r>
      <w:r w:rsidRPr="001317F1">
        <w:rPr>
          <w:rFonts w:ascii="Calibri Light" w:hAnsi="Calibri Light" w:cs="Calibri Light"/>
        </w:rPr>
        <w:t>Ελευθερίου</w:t>
      </w:r>
      <w:r w:rsidRPr="001317F1">
        <w:rPr>
          <w:rFonts w:asciiTheme="majorHAnsi" w:hAnsiTheme="majorHAnsi" w:cstheme="majorHAnsi"/>
        </w:rPr>
        <w:t xml:space="preserve"> </w:t>
      </w:r>
      <w:r w:rsidRPr="001317F1">
        <w:rPr>
          <w:rFonts w:ascii="Calibri Light" w:hAnsi="Calibri Light" w:cs="Calibri Light"/>
        </w:rPr>
        <w:t>και</w:t>
      </w:r>
      <w:r w:rsidRPr="001317F1">
        <w:rPr>
          <w:rFonts w:asciiTheme="majorHAnsi" w:hAnsiTheme="majorHAnsi" w:cstheme="majorHAnsi"/>
        </w:rPr>
        <w:t xml:space="preserve"> </w:t>
      </w:r>
      <w:proofErr w:type="spellStart"/>
      <w:r w:rsidRPr="001317F1">
        <w:rPr>
          <w:rFonts w:asciiTheme="majorHAnsi" w:hAnsiTheme="majorHAnsi" w:cstheme="majorHAnsi"/>
        </w:rPr>
        <w:t>Παπαχριστοφή</w:t>
      </w:r>
      <w:proofErr w:type="spellEnd"/>
      <w:r w:rsidRPr="001317F1">
        <w:rPr>
          <w:rFonts w:asciiTheme="majorHAnsi" w:hAnsiTheme="majorHAnsi" w:cstheme="majorHAnsi"/>
        </w:rPr>
        <w:t xml:space="preserve"> κατά Επιτροπής και ΕΚΤ (T</w:t>
      </w:r>
      <w:r w:rsidRPr="001317F1">
        <w:rPr>
          <w:rFonts w:ascii="Cambria Math" w:hAnsi="Cambria Math" w:cs="Cambria Math"/>
        </w:rPr>
        <w:t>‑</w:t>
      </w:r>
      <w:r w:rsidRPr="001317F1">
        <w:rPr>
          <w:rFonts w:asciiTheme="majorHAnsi" w:hAnsiTheme="majorHAnsi" w:cstheme="majorHAnsi"/>
        </w:rPr>
        <w:t xml:space="preserve">291/13, </w:t>
      </w:r>
      <w:r w:rsidRPr="001317F1">
        <w:rPr>
          <w:rFonts w:ascii="Calibri Light" w:hAnsi="Calibri Light" w:cs="Calibri Light"/>
        </w:rPr>
        <w:t>μη</w:t>
      </w:r>
      <w:r w:rsidRPr="001317F1">
        <w:rPr>
          <w:rFonts w:asciiTheme="majorHAnsi" w:hAnsiTheme="majorHAnsi" w:cstheme="majorHAnsi"/>
        </w:rPr>
        <w:t xml:space="preserve"> </w:t>
      </w:r>
      <w:r w:rsidRPr="001317F1">
        <w:rPr>
          <w:rFonts w:ascii="Calibri Light" w:hAnsi="Calibri Light" w:cs="Calibri Light"/>
        </w:rPr>
        <w:t>δημοσιευθείσα</w:t>
      </w:r>
      <w:r w:rsidRPr="001317F1">
        <w:rPr>
          <w:rFonts w:asciiTheme="majorHAnsi" w:hAnsiTheme="majorHAnsi" w:cstheme="majorHAnsi"/>
        </w:rPr>
        <w:t xml:space="preserve">, EU:T:2014:978), </w:t>
      </w:r>
      <w:r w:rsidRPr="001317F1">
        <w:rPr>
          <w:rFonts w:ascii="Calibri Light" w:hAnsi="Calibri Light" w:cs="Calibri Light"/>
        </w:rPr>
        <w:t>και</w:t>
      </w:r>
      <w:r w:rsidRPr="001317F1">
        <w:rPr>
          <w:rFonts w:asciiTheme="majorHAnsi" w:hAnsiTheme="majorHAnsi" w:cstheme="majorHAnsi"/>
        </w:rPr>
        <w:t xml:space="preserve"> </w:t>
      </w:r>
      <w:r w:rsidRPr="001317F1">
        <w:rPr>
          <w:rFonts w:ascii="Calibri Light" w:hAnsi="Calibri Light" w:cs="Calibri Light"/>
        </w:rPr>
        <w:t>της</w:t>
      </w:r>
      <w:r w:rsidRPr="001317F1">
        <w:rPr>
          <w:rFonts w:asciiTheme="majorHAnsi" w:hAnsiTheme="majorHAnsi" w:cstheme="majorHAnsi"/>
        </w:rPr>
        <w:t xml:space="preserve"> 10</w:t>
      </w:r>
      <w:r w:rsidRPr="001317F1">
        <w:rPr>
          <w:rFonts w:ascii="Calibri Light" w:hAnsi="Calibri Light" w:cs="Calibri Light"/>
        </w:rPr>
        <w:t>ης</w:t>
      </w:r>
      <w:r w:rsidRPr="001317F1">
        <w:rPr>
          <w:rFonts w:asciiTheme="majorHAnsi" w:hAnsiTheme="majorHAnsi" w:cstheme="majorHAnsi"/>
        </w:rPr>
        <w:t xml:space="preserve"> </w:t>
      </w:r>
      <w:r w:rsidRPr="001317F1">
        <w:rPr>
          <w:rFonts w:ascii="Calibri Light" w:hAnsi="Calibri Light" w:cs="Calibri Light"/>
        </w:rPr>
        <w:t>Νοεμβρίου</w:t>
      </w:r>
      <w:r w:rsidRPr="001317F1">
        <w:rPr>
          <w:rFonts w:asciiTheme="majorHAnsi" w:hAnsiTheme="majorHAnsi" w:cstheme="majorHAnsi"/>
        </w:rPr>
        <w:t xml:space="preserve"> 2014, </w:t>
      </w:r>
      <w:r w:rsidRPr="001317F1">
        <w:rPr>
          <w:rFonts w:ascii="Calibri Light" w:hAnsi="Calibri Light" w:cs="Calibri Light"/>
        </w:rPr>
        <w:t>Θεοφίλου</w:t>
      </w:r>
      <w:r w:rsidRPr="001317F1">
        <w:rPr>
          <w:rFonts w:asciiTheme="majorHAnsi" w:hAnsiTheme="majorHAnsi" w:cstheme="majorHAnsi"/>
        </w:rPr>
        <w:t xml:space="preserve"> </w:t>
      </w:r>
      <w:r w:rsidRPr="001317F1">
        <w:rPr>
          <w:rFonts w:ascii="Calibri Light" w:hAnsi="Calibri Light" w:cs="Calibri Light"/>
        </w:rPr>
        <w:t>κατά</w:t>
      </w:r>
      <w:r w:rsidRPr="001317F1">
        <w:rPr>
          <w:rFonts w:asciiTheme="majorHAnsi" w:hAnsiTheme="majorHAnsi" w:cstheme="majorHAnsi"/>
        </w:rPr>
        <w:t xml:space="preserve"> </w:t>
      </w:r>
      <w:r w:rsidRPr="001317F1">
        <w:rPr>
          <w:rFonts w:ascii="Calibri Light" w:hAnsi="Calibri Light" w:cs="Calibri Light"/>
        </w:rPr>
        <w:t>Επιτροπής</w:t>
      </w:r>
      <w:r w:rsidRPr="001317F1">
        <w:rPr>
          <w:rFonts w:asciiTheme="majorHAnsi" w:hAnsiTheme="majorHAnsi" w:cstheme="majorHAnsi"/>
        </w:rPr>
        <w:t xml:space="preserve"> </w:t>
      </w:r>
      <w:r w:rsidRPr="001317F1">
        <w:rPr>
          <w:rFonts w:ascii="Calibri Light" w:hAnsi="Calibri Light" w:cs="Calibri Light"/>
        </w:rPr>
        <w:t>και</w:t>
      </w:r>
      <w:r w:rsidRPr="001317F1">
        <w:rPr>
          <w:rFonts w:asciiTheme="majorHAnsi" w:hAnsiTheme="majorHAnsi" w:cstheme="majorHAnsi"/>
        </w:rPr>
        <w:t xml:space="preserve"> </w:t>
      </w:r>
      <w:r w:rsidRPr="001317F1">
        <w:rPr>
          <w:rFonts w:ascii="Calibri Light" w:hAnsi="Calibri Light" w:cs="Calibri Light"/>
        </w:rPr>
        <w:t>ΕΚΤ</w:t>
      </w:r>
      <w:r w:rsidRPr="001317F1">
        <w:rPr>
          <w:rFonts w:asciiTheme="majorHAnsi" w:hAnsiTheme="majorHAnsi" w:cstheme="majorHAnsi"/>
        </w:rPr>
        <w:t xml:space="preserve"> (T</w:t>
      </w:r>
      <w:r w:rsidRPr="001317F1">
        <w:rPr>
          <w:rFonts w:ascii="Cambria Math" w:hAnsi="Cambria Math" w:cs="Cambria Math"/>
        </w:rPr>
        <w:t>‑</w:t>
      </w:r>
      <w:r w:rsidRPr="001317F1">
        <w:rPr>
          <w:rFonts w:asciiTheme="majorHAnsi" w:hAnsiTheme="majorHAnsi" w:cstheme="majorHAnsi"/>
        </w:rPr>
        <w:t xml:space="preserve">293/13, </w:t>
      </w:r>
      <w:r w:rsidRPr="001317F1">
        <w:rPr>
          <w:rFonts w:ascii="Calibri Light" w:hAnsi="Calibri Light" w:cs="Calibri Light"/>
        </w:rPr>
        <w:t>μη</w:t>
      </w:r>
      <w:r w:rsidRPr="001317F1">
        <w:rPr>
          <w:rFonts w:asciiTheme="majorHAnsi" w:hAnsiTheme="majorHAnsi" w:cstheme="majorHAnsi"/>
        </w:rPr>
        <w:t xml:space="preserve"> </w:t>
      </w:r>
      <w:r w:rsidRPr="001317F1">
        <w:rPr>
          <w:rFonts w:ascii="Calibri Light" w:hAnsi="Calibri Light" w:cs="Calibri Light"/>
        </w:rPr>
        <w:t>δημοσιευθείσα</w:t>
      </w:r>
      <w:r w:rsidRPr="001317F1">
        <w:rPr>
          <w:rFonts w:asciiTheme="majorHAnsi" w:hAnsiTheme="majorHAnsi" w:cstheme="majorHAnsi"/>
        </w:rPr>
        <w:t>, EU:T:2014:979).</w:t>
      </w:r>
    </w:p>
    <w:p w:rsidR="001317F1" w:rsidRPr="001317F1" w:rsidRDefault="001317F1" w:rsidP="001317F1">
      <w:pPr>
        <w:rPr>
          <w:rFonts w:asciiTheme="majorHAnsi" w:hAnsiTheme="majorHAnsi" w:cstheme="majorHAnsi"/>
        </w:rPr>
      </w:pPr>
      <w:r w:rsidRPr="001317F1">
        <w:rPr>
          <w:rFonts w:asciiTheme="majorHAnsi" w:hAnsiTheme="majorHAnsi" w:cstheme="majorHAnsi"/>
        </w:rPr>
        <w:t>2)      Απορρίπτει τις προσφυγές ακυρώσεως που ασκήθηκαν ενώπιον του Γενικού Δικαστηρίου στις υποθέσεις T</w:t>
      </w:r>
      <w:r w:rsidRPr="001317F1">
        <w:rPr>
          <w:rFonts w:ascii="Cambria Math" w:hAnsi="Cambria Math" w:cs="Cambria Math"/>
        </w:rPr>
        <w:t>‑</w:t>
      </w:r>
      <w:r w:rsidRPr="001317F1">
        <w:rPr>
          <w:rFonts w:asciiTheme="majorHAnsi" w:hAnsiTheme="majorHAnsi" w:cstheme="majorHAnsi"/>
        </w:rPr>
        <w:t>289/13, T</w:t>
      </w:r>
      <w:r w:rsidRPr="001317F1">
        <w:rPr>
          <w:rFonts w:ascii="Cambria Math" w:hAnsi="Cambria Math" w:cs="Cambria Math"/>
        </w:rPr>
        <w:t>‑</w:t>
      </w:r>
      <w:r w:rsidRPr="001317F1">
        <w:rPr>
          <w:rFonts w:asciiTheme="majorHAnsi" w:hAnsiTheme="majorHAnsi" w:cstheme="majorHAnsi"/>
        </w:rPr>
        <w:t xml:space="preserve">291/13 </w:t>
      </w:r>
      <w:r w:rsidRPr="001317F1">
        <w:rPr>
          <w:rFonts w:ascii="Calibri Light" w:hAnsi="Calibri Light" w:cs="Calibri Light"/>
        </w:rPr>
        <w:t>και</w:t>
      </w:r>
      <w:r w:rsidRPr="001317F1">
        <w:rPr>
          <w:rFonts w:asciiTheme="majorHAnsi" w:hAnsiTheme="majorHAnsi" w:cstheme="majorHAnsi"/>
        </w:rPr>
        <w:t xml:space="preserve"> T</w:t>
      </w:r>
      <w:r w:rsidRPr="001317F1">
        <w:rPr>
          <w:rFonts w:ascii="Cambria Math" w:hAnsi="Cambria Math" w:cs="Cambria Math"/>
        </w:rPr>
        <w:t>‑</w:t>
      </w:r>
      <w:r w:rsidRPr="001317F1">
        <w:rPr>
          <w:rFonts w:asciiTheme="majorHAnsi" w:hAnsiTheme="majorHAnsi" w:cstheme="majorHAnsi"/>
        </w:rPr>
        <w:t>293/13.</w:t>
      </w:r>
    </w:p>
    <w:p w:rsidR="001317F1" w:rsidRPr="001317F1" w:rsidRDefault="001317F1" w:rsidP="001317F1">
      <w:pPr>
        <w:rPr>
          <w:rFonts w:asciiTheme="majorHAnsi" w:hAnsiTheme="majorHAnsi" w:cstheme="majorHAnsi"/>
        </w:rPr>
      </w:pPr>
      <w:r w:rsidRPr="001317F1">
        <w:rPr>
          <w:rFonts w:asciiTheme="majorHAnsi" w:hAnsiTheme="majorHAnsi" w:cstheme="majorHAnsi"/>
        </w:rPr>
        <w:t xml:space="preserve">3)      Οι Ledra </w:t>
      </w:r>
      <w:proofErr w:type="spellStart"/>
      <w:r w:rsidRPr="001317F1">
        <w:rPr>
          <w:rFonts w:asciiTheme="majorHAnsi" w:hAnsiTheme="majorHAnsi" w:cstheme="majorHAnsi"/>
        </w:rPr>
        <w:t>Advertising</w:t>
      </w:r>
      <w:proofErr w:type="spellEnd"/>
      <w:r w:rsidRPr="001317F1">
        <w:rPr>
          <w:rFonts w:asciiTheme="majorHAnsi" w:hAnsiTheme="majorHAnsi" w:cstheme="majorHAnsi"/>
        </w:rPr>
        <w:t xml:space="preserve"> </w:t>
      </w:r>
      <w:proofErr w:type="spellStart"/>
      <w:r w:rsidRPr="001317F1">
        <w:rPr>
          <w:rFonts w:asciiTheme="majorHAnsi" w:hAnsiTheme="majorHAnsi" w:cstheme="majorHAnsi"/>
        </w:rPr>
        <w:t>Ltd</w:t>
      </w:r>
      <w:proofErr w:type="spellEnd"/>
      <w:r w:rsidRPr="001317F1">
        <w:rPr>
          <w:rFonts w:asciiTheme="majorHAnsi" w:hAnsiTheme="majorHAnsi" w:cstheme="majorHAnsi"/>
        </w:rPr>
        <w:t xml:space="preserve">, Ανδρέας Ελευθερίου, Ελένη Ελευθερίου, </w:t>
      </w:r>
      <w:proofErr w:type="spellStart"/>
      <w:r w:rsidRPr="001317F1">
        <w:rPr>
          <w:rFonts w:asciiTheme="majorHAnsi" w:hAnsiTheme="majorHAnsi" w:cstheme="majorHAnsi"/>
        </w:rPr>
        <w:t>Λίλια</w:t>
      </w:r>
      <w:proofErr w:type="spellEnd"/>
      <w:r w:rsidRPr="001317F1">
        <w:rPr>
          <w:rFonts w:asciiTheme="majorHAnsi" w:hAnsiTheme="majorHAnsi" w:cstheme="majorHAnsi"/>
        </w:rPr>
        <w:t xml:space="preserve"> </w:t>
      </w:r>
      <w:proofErr w:type="spellStart"/>
      <w:r w:rsidRPr="001317F1">
        <w:rPr>
          <w:rFonts w:asciiTheme="majorHAnsi" w:hAnsiTheme="majorHAnsi" w:cstheme="majorHAnsi"/>
        </w:rPr>
        <w:t>Παπαχριστοφή</w:t>
      </w:r>
      <w:proofErr w:type="spellEnd"/>
      <w:r w:rsidRPr="001317F1">
        <w:rPr>
          <w:rFonts w:asciiTheme="majorHAnsi" w:hAnsiTheme="majorHAnsi" w:cstheme="majorHAnsi"/>
        </w:rPr>
        <w:t>, Χρήστος Θεοφίλου και Ελένη Θεοφίλου καθώς και η Ευρωπαϊκή Επιτροπή και η Ευρωπαϊκή Κεντρική Τράπεζα (ΕΚΤ) φέρουν έκαστος τα δικαστικά έξοδα στα οποία υποβλήθηκαν τόσο πρωτοδίκως όσο και κατ’ αναίρεση.</w:t>
      </w:r>
    </w:p>
    <w:sectPr w:rsidR="001317F1" w:rsidRPr="001317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Cambria Math">
    <w:panose1 w:val="02040503050406030204"/>
    <w:charset w:val="A1"/>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F1"/>
    <w:rsid w:val="000A7936"/>
    <w:rsid w:val="001317F1"/>
    <w:rsid w:val="001C61D8"/>
    <w:rsid w:val="002001C2"/>
    <w:rsid w:val="003456CE"/>
    <w:rsid w:val="00491C0E"/>
    <w:rsid w:val="00573CCC"/>
    <w:rsid w:val="005A46F3"/>
    <w:rsid w:val="007E02B4"/>
    <w:rsid w:val="00862FD5"/>
    <w:rsid w:val="009E25D2"/>
    <w:rsid w:val="00C13563"/>
    <w:rsid w:val="00D70C9E"/>
    <w:rsid w:val="00D87969"/>
    <w:rsid w:val="00DB65EA"/>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60A1"/>
  <w15:chartTrackingRefBased/>
  <w15:docId w15:val="{94646526-1253-4F41-BE72-E98BB776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4525</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12</cp:revision>
  <dcterms:created xsi:type="dcterms:W3CDTF">2017-03-12T23:36:00Z</dcterms:created>
  <dcterms:modified xsi:type="dcterms:W3CDTF">2017-03-13T15:20:00Z</dcterms:modified>
</cp:coreProperties>
</file>