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370" w:rsidRPr="00296370" w:rsidRDefault="00296370" w:rsidP="00387A51">
      <w:pPr>
        <w:spacing w:line="240" w:lineRule="auto"/>
        <w:jc w:val="center"/>
        <w:rPr>
          <w:rFonts w:asciiTheme="majorHAnsi" w:hAnsiTheme="majorHAnsi"/>
        </w:rPr>
      </w:pPr>
      <w:r w:rsidRPr="00296370">
        <w:rPr>
          <w:rFonts w:asciiTheme="majorHAnsi" w:hAnsiTheme="majorHAnsi"/>
        </w:rPr>
        <w:t>ΑΠΟΦΑΣΗ ΤΟΥ ΔΙΚΑΣΤΗΡΙΟΥ</w:t>
      </w:r>
    </w:p>
    <w:p w:rsidR="00296370" w:rsidRPr="00296370" w:rsidRDefault="00387A51" w:rsidP="00387A51">
      <w:pPr>
        <w:spacing w:line="240" w:lineRule="auto"/>
        <w:jc w:val="center"/>
        <w:rPr>
          <w:rFonts w:asciiTheme="majorHAnsi" w:hAnsiTheme="majorHAnsi"/>
        </w:rPr>
      </w:pPr>
      <w:r>
        <w:rPr>
          <w:rFonts w:asciiTheme="majorHAnsi" w:hAnsiTheme="majorHAnsi"/>
        </w:rPr>
        <w:t>της 24ης Ιουλίου 2003 (απόσπασμα)</w:t>
      </w:r>
    </w:p>
    <w:p w:rsidR="00296370" w:rsidRPr="00296370" w:rsidRDefault="00296370" w:rsidP="00296370">
      <w:pPr>
        <w:spacing w:line="240" w:lineRule="auto"/>
        <w:rPr>
          <w:rFonts w:asciiTheme="majorHAnsi" w:hAnsiTheme="majorHAnsi"/>
        </w:rPr>
      </w:pPr>
      <w:r w:rsidRPr="00296370">
        <w:rPr>
          <w:rFonts w:asciiTheme="majorHAnsi" w:hAnsiTheme="majorHAnsi"/>
        </w:rPr>
        <w:t>«Κανονισμός (ΕΟΚ) 1191/69 - Εκμετάλλευση τακτικών συγκοινωνιακών γραμμών, αστικών προαστιακών και περιφερε</w:t>
      </w:r>
      <w:r w:rsidR="00C91FB6">
        <w:rPr>
          <w:rFonts w:asciiTheme="majorHAnsi" w:hAnsiTheme="majorHAnsi"/>
        </w:rPr>
        <w:t>ιακών - Δημόσιες επιδοτήσεις - Έ</w:t>
      </w:r>
      <w:r w:rsidRPr="00296370">
        <w:rPr>
          <w:rFonts w:asciiTheme="majorHAnsi" w:hAnsiTheme="majorHAnsi"/>
        </w:rPr>
        <w:t xml:space="preserve">ννοια της κρατικής ενισχύσεως - Αντισταθμίσεις </w:t>
      </w:r>
      <w:proofErr w:type="spellStart"/>
      <w:r w:rsidRPr="00296370">
        <w:rPr>
          <w:rFonts w:asciiTheme="majorHAnsi" w:hAnsiTheme="majorHAnsi"/>
        </w:rPr>
        <w:t>αντιπροσωπεύουσες</w:t>
      </w:r>
      <w:proofErr w:type="spellEnd"/>
      <w:r w:rsidRPr="00296370">
        <w:rPr>
          <w:rFonts w:asciiTheme="majorHAnsi" w:hAnsiTheme="majorHAnsi"/>
        </w:rPr>
        <w:t xml:space="preserve"> την αντιπαροχή έναντι υποχρεώσεων παροχής δημόσιας υπηρεσίας»</w:t>
      </w:r>
    </w:p>
    <w:p w:rsidR="00296370" w:rsidRPr="00296370" w:rsidRDefault="00296370" w:rsidP="00296370">
      <w:pPr>
        <w:spacing w:line="240" w:lineRule="auto"/>
        <w:rPr>
          <w:rFonts w:asciiTheme="majorHAnsi" w:hAnsiTheme="majorHAnsi"/>
        </w:rPr>
      </w:pPr>
      <w:r w:rsidRPr="00387A51">
        <w:rPr>
          <w:rFonts w:asciiTheme="majorHAnsi" w:hAnsiTheme="majorHAnsi"/>
          <w:b/>
        </w:rPr>
        <w:t>Στην υπόθεση C-280/00</w:t>
      </w:r>
      <w:r w:rsidRPr="00296370">
        <w:rPr>
          <w:rFonts w:asciiTheme="majorHAnsi" w:hAnsiTheme="majorHAnsi"/>
        </w:rPr>
        <w:t>,</w:t>
      </w:r>
    </w:p>
    <w:p w:rsidR="00296370" w:rsidRPr="00296370" w:rsidRDefault="00296370" w:rsidP="00296370">
      <w:pPr>
        <w:spacing w:line="240" w:lineRule="auto"/>
        <w:rPr>
          <w:rFonts w:asciiTheme="majorHAnsi" w:hAnsiTheme="majorHAnsi"/>
        </w:rPr>
      </w:pPr>
      <w:r w:rsidRPr="00296370">
        <w:rPr>
          <w:rFonts w:asciiTheme="majorHAnsi" w:hAnsiTheme="majorHAnsi"/>
        </w:rPr>
        <w:t xml:space="preserve">που έχει ως αντικείμενο αίτηση του </w:t>
      </w:r>
      <w:proofErr w:type="spellStart"/>
      <w:r w:rsidRPr="00296370">
        <w:rPr>
          <w:rFonts w:asciiTheme="majorHAnsi" w:hAnsiTheme="majorHAnsi"/>
        </w:rPr>
        <w:t>Bundesverwaltungsgericht</w:t>
      </w:r>
      <w:proofErr w:type="spellEnd"/>
      <w:r w:rsidRPr="00296370">
        <w:rPr>
          <w:rFonts w:asciiTheme="majorHAnsi" w:hAnsiTheme="majorHAnsi"/>
        </w:rPr>
        <w:t xml:space="preserve"> (Γερμανία) προς το Δικαστήριο, κατ' </w:t>
      </w:r>
      <w:proofErr w:type="spellStart"/>
      <w:r w:rsidRPr="00296370">
        <w:rPr>
          <w:rFonts w:asciiTheme="majorHAnsi" w:hAnsiTheme="majorHAnsi"/>
        </w:rPr>
        <w:t>εφαρμογήν</w:t>
      </w:r>
      <w:proofErr w:type="spellEnd"/>
      <w:r w:rsidRPr="00296370">
        <w:rPr>
          <w:rFonts w:asciiTheme="majorHAnsi" w:hAnsiTheme="majorHAnsi"/>
        </w:rPr>
        <w:t xml:space="preserve"> του άρθρου 234 ΕΚ, με την οποία ζητείται, στο πλαίσιο της διαφοράς που εκκρεμεί ενώπιον του αιτούντος δικαστηρίου μεταξύ</w:t>
      </w:r>
    </w:p>
    <w:p w:rsidR="00296370" w:rsidRPr="00296370" w:rsidRDefault="00296370" w:rsidP="00296370">
      <w:pPr>
        <w:spacing w:line="240" w:lineRule="auto"/>
        <w:rPr>
          <w:rFonts w:asciiTheme="majorHAnsi" w:hAnsiTheme="majorHAnsi"/>
          <w:lang w:val="en-US"/>
        </w:rPr>
      </w:pPr>
      <w:proofErr w:type="spellStart"/>
      <w:r w:rsidRPr="00296370">
        <w:rPr>
          <w:rFonts w:asciiTheme="majorHAnsi" w:hAnsiTheme="majorHAnsi"/>
          <w:lang w:val="en-US"/>
        </w:rPr>
        <w:t>Altmark</w:t>
      </w:r>
      <w:proofErr w:type="spellEnd"/>
      <w:r w:rsidRPr="00296370">
        <w:rPr>
          <w:rFonts w:asciiTheme="majorHAnsi" w:hAnsiTheme="majorHAnsi"/>
          <w:lang w:val="en-US"/>
        </w:rPr>
        <w:t xml:space="preserve"> Trans GmbH,</w:t>
      </w:r>
      <w:r w:rsidR="00387A51" w:rsidRPr="00387A51">
        <w:rPr>
          <w:rFonts w:asciiTheme="majorHAnsi" w:hAnsiTheme="majorHAnsi"/>
          <w:lang w:val="en-US"/>
        </w:rPr>
        <w:t xml:space="preserve"> </w:t>
      </w:r>
      <w:proofErr w:type="spellStart"/>
      <w:r w:rsidRPr="00296370">
        <w:rPr>
          <w:rFonts w:asciiTheme="majorHAnsi" w:hAnsiTheme="majorHAnsi"/>
          <w:lang w:val="en-US"/>
        </w:rPr>
        <w:t>Regierungspräsidium</w:t>
      </w:r>
      <w:proofErr w:type="spellEnd"/>
      <w:r w:rsidRPr="00296370">
        <w:rPr>
          <w:rFonts w:asciiTheme="majorHAnsi" w:hAnsiTheme="majorHAnsi"/>
          <w:lang w:val="en-US"/>
        </w:rPr>
        <w:t xml:space="preserve"> Magdeburg</w:t>
      </w:r>
    </w:p>
    <w:p w:rsidR="00296370" w:rsidRPr="00296370" w:rsidRDefault="00387A51" w:rsidP="00296370">
      <w:pPr>
        <w:spacing w:line="240" w:lineRule="auto"/>
        <w:rPr>
          <w:rFonts w:asciiTheme="majorHAnsi" w:hAnsiTheme="majorHAnsi"/>
          <w:lang w:val="en-US"/>
        </w:rPr>
      </w:pPr>
      <w:r w:rsidRPr="00296370">
        <w:rPr>
          <w:rFonts w:asciiTheme="majorHAnsi" w:hAnsiTheme="majorHAnsi"/>
        </w:rPr>
        <w:t>Κ</w:t>
      </w:r>
      <w:r w:rsidR="00296370" w:rsidRPr="00296370">
        <w:rPr>
          <w:rFonts w:asciiTheme="majorHAnsi" w:hAnsiTheme="majorHAnsi"/>
        </w:rPr>
        <w:t>αι</w:t>
      </w:r>
      <w:r w:rsidRPr="00387A51">
        <w:rPr>
          <w:rFonts w:asciiTheme="majorHAnsi" w:hAnsiTheme="majorHAnsi"/>
          <w:lang w:val="en-US"/>
        </w:rPr>
        <w:t xml:space="preserve"> </w:t>
      </w:r>
      <w:proofErr w:type="spellStart"/>
      <w:r w:rsidR="00296370" w:rsidRPr="00296370">
        <w:rPr>
          <w:rFonts w:asciiTheme="majorHAnsi" w:hAnsiTheme="majorHAnsi"/>
          <w:lang w:val="en-US"/>
        </w:rPr>
        <w:t>Nahverkehrsgesellschaft</w:t>
      </w:r>
      <w:proofErr w:type="spellEnd"/>
      <w:r w:rsidR="00296370" w:rsidRPr="00296370">
        <w:rPr>
          <w:rFonts w:asciiTheme="majorHAnsi" w:hAnsiTheme="majorHAnsi"/>
          <w:lang w:val="en-US"/>
        </w:rPr>
        <w:t xml:space="preserve"> </w:t>
      </w:r>
      <w:proofErr w:type="spellStart"/>
      <w:r w:rsidR="00296370" w:rsidRPr="00296370">
        <w:rPr>
          <w:rFonts w:asciiTheme="majorHAnsi" w:hAnsiTheme="majorHAnsi"/>
          <w:lang w:val="en-US"/>
        </w:rPr>
        <w:t>Altmark</w:t>
      </w:r>
      <w:proofErr w:type="spellEnd"/>
      <w:r w:rsidR="00296370" w:rsidRPr="00296370">
        <w:rPr>
          <w:rFonts w:asciiTheme="majorHAnsi" w:hAnsiTheme="majorHAnsi"/>
          <w:lang w:val="en-US"/>
        </w:rPr>
        <w:t xml:space="preserve"> GmbH,</w:t>
      </w:r>
      <w:r w:rsidRPr="00C91FB6">
        <w:rPr>
          <w:rFonts w:asciiTheme="majorHAnsi" w:hAnsiTheme="majorHAnsi"/>
          <w:lang w:val="en-US"/>
        </w:rPr>
        <w:t xml:space="preserve"> </w:t>
      </w:r>
    </w:p>
    <w:p w:rsidR="00296370" w:rsidRPr="00387A51" w:rsidRDefault="00296370" w:rsidP="00296370">
      <w:pPr>
        <w:spacing w:line="240" w:lineRule="auto"/>
        <w:rPr>
          <w:rFonts w:asciiTheme="majorHAnsi" w:hAnsiTheme="majorHAnsi"/>
          <w:lang w:val="en-US"/>
        </w:rPr>
      </w:pPr>
      <w:r w:rsidRPr="00296370">
        <w:rPr>
          <w:rFonts w:asciiTheme="majorHAnsi" w:hAnsiTheme="majorHAnsi"/>
        </w:rPr>
        <w:t>παρισταμένου</w:t>
      </w:r>
      <w:r w:rsidRPr="00296370">
        <w:rPr>
          <w:rFonts w:asciiTheme="majorHAnsi" w:hAnsiTheme="majorHAnsi"/>
          <w:lang w:val="en-US"/>
        </w:rPr>
        <w:t xml:space="preserve"> </w:t>
      </w:r>
      <w:r w:rsidRPr="00296370">
        <w:rPr>
          <w:rFonts w:asciiTheme="majorHAnsi" w:hAnsiTheme="majorHAnsi"/>
        </w:rPr>
        <w:t>του</w:t>
      </w:r>
      <w:r w:rsidR="00387A51">
        <w:rPr>
          <w:rFonts w:asciiTheme="majorHAnsi" w:hAnsiTheme="majorHAnsi"/>
          <w:lang w:val="en-US"/>
        </w:rPr>
        <w:t xml:space="preserve"> </w:t>
      </w:r>
      <w:proofErr w:type="spellStart"/>
      <w:r w:rsidRPr="00387A51">
        <w:rPr>
          <w:rFonts w:asciiTheme="majorHAnsi" w:hAnsiTheme="majorHAnsi"/>
          <w:lang w:val="en-US"/>
        </w:rPr>
        <w:t>Oberbundesanwalt</w:t>
      </w:r>
      <w:proofErr w:type="spellEnd"/>
      <w:r w:rsidRPr="00387A51">
        <w:rPr>
          <w:rFonts w:asciiTheme="majorHAnsi" w:hAnsiTheme="majorHAnsi"/>
          <w:lang w:val="en-US"/>
        </w:rPr>
        <w:t xml:space="preserve"> </w:t>
      </w:r>
      <w:proofErr w:type="spellStart"/>
      <w:r w:rsidRPr="00387A51">
        <w:rPr>
          <w:rFonts w:asciiTheme="majorHAnsi" w:hAnsiTheme="majorHAnsi"/>
          <w:lang w:val="en-US"/>
        </w:rPr>
        <w:t>beim</w:t>
      </w:r>
      <w:proofErr w:type="spellEnd"/>
      <w:r w:rsidRPr="00387A51">
        <w:rPr>
          <w:rFonts w:asciiTheme="majorHAnsi" w:hAnsiTheme="majorHAnsi"/>
          <w:lang w:val="en-US"/>
        </w:rPr>
        <w:t xml:space="preserve"> </w:t>
      </w:r>
      <w:proofErr w:type="spellStart"/>
      <w:r w:rsidRPr="00387A51">
        <w:rPr>
          <w:rFonts w:asciiTheme="majorHAnsi" w:hAnsiTheme="majorHAnsi"/>
          <w:lang w:val="en-US"/>
        </w:rPr>
        <w:t>Bundesverwaltungsgericht</w:t>
      </w:r>
      <w:proofErr w:type="spellEnd"/>
      <w:r w:rsidRPr="00387A51">
        <w:rPr>
          <w:rFonts w:asciiTheme="majorHAnsi" w:hAnsiTheme="majorHAnsi"/>
          <w:lang w:val="en-US"/>
        </w:rPr>
        <w:t>,</w:t>
      </w:r>
    </w:p>
    <w:p w:rsidR="00296370" w:rsidRPr="00296370" w:rsidRDefault="00296370" w:rsidP="00296370">
      <w:pPr>
        <w:spacing w:line="240" w:lineRule="auto"/>
        <w:rPr>
          <w:rFonts w:asciiTheme="majorHAnsi" w:hAnsiTheme="majorHAnsi"/>
        </w:rPr>
      </w:pPr>
      <w:r w:rsidRPr="00296370">
        <w:rPr>
          <w:rFonts w:asciiTheme="majorHAnsi" w:hAnsiTheme="majorHAnsi"/>
        </w:rPr>
        <w:t xml:space="preserve">η έκδοση προδικαστικής αποφάσεως ως προς την ερμηνεία των άρθρων 92 της Συνθήκης ΕΚ (νυν, κατόπιν τροποποιήσεως, άρθρου 87 ΕΚ) και 77 της Συνθήκης ΕΚ (νυν άρθρου 73 ΕΚ), καθώς και του κανονισμού (ΕΟΚ) 1191/69 του Συμβουλίου, της 26ης Ιουνίου 1969, περί των ενεργειών των κρατών μελών που αφορούν τις υποχρεώσεις που είναι συνυφασμένες με την έννοια της δημοσίας υπηρεσίας στον τομέα των σιδηροδρομικών, οδικών και εσωτερικών πλωτών μεταφορών (ΕΕ ειδ. </w:t>
      </w:r>
      <w:proofErr w:type="spellStart"/>
      <w:r w:rsidRPr="00296370">
        <w:rPr>
          <w:rFonts w:asciiTheme="majorHAnsi" w:hAnsiTheme="majorHAnsi"/>
        </w:rPr>
        <w:t>έκδ</w:t>
      </w:r>
      <w:proofErr w:type="spellEnd"/>
      <w:r w:rsidRPr="00296370">
        <w:rPr>
          <w:rFonts w:asciiTheme="majorHAnsi" w:hAnsiTheme="majorHAnsi"/>
        </w:rPr>
        <w:t>. 07/001, σ. 100), όπως τροποποιήθηκε με τον κανονισμό (ΕΟΚ) 1893/91 του Συμβουλίου, της 20ής Ιουνίου 1991 (ΕΕ L 169, σ. 1),</w:t>
      </w:r>
    </w:p>
    <w:p w:rsidR="00296370" w:rsidRPr="00296370" w:rsidRDefault="00296370" w:rsidP="00387A51">
      <w:pPr>
        <w:spacing w:line="240" w:lineRule="auto"/>
        <w:jc w:val="center"/>
        <w:rPr>
          <w:rFonts w:asciiTheme="majorHAnsi" w:hAnsiTheme="majorHAnsi"/>
        </w:rPr>
      </w:pPr>
      <w:r w:rsidRPr="00296370">
        <w:rPr>
          <w:rFonts w:asciiTheme="majorHAnsi" w:hAnsiTheme="majorHAnsi"/>
        </w:rPr>
        <w:t>ΤΟ ΔΙΚΑΣΤΗΡΙΟ,</w:t>
      </w:r>
      <w:r w:rsidR="00387A51">
        <w:rPr>
          <w:rFonts w:asciiTheme="majorHAnsi" w:hAnsiTheme="majorHAnsi"/>
        </w:rPr>
        <w:t xml:space="preserve"> […]</w:t>
      </w:r>
    </w:p>
    <w:p w:rsidR="00296370" w:rsidRPr="00296370" w:rsidRDefault="00296370" w:rsidP="00387A51">
      <w:pPr>
        <w:spacing w:line="240" w:lineRule="auto"/>
        <w:jc w:val="center"/>
        <w:rPr>
          <w:rFonts w:asciiTheme="majorHAnsi" w:hAnsiTheme="majorHAnsi"/>
        </w:rPr>
      </w:pPr>
      <w:r w:rsidRPr="00296370">
        <w:rPr>
          <w:rFonts w:asciiTheme="majorHAnsi" w:hAnsiTheme="majorHAnsi"/>
        </w:rPr>
        <w:t>εκδίδει την ακόλουθη</w:t>
      </w:r>
    </w:p>
    <w:p w:rsidR="00296370" w:rsidRPr="00296370" w:rsidRDefault="00296370" w:rsidP="00387A51">
      <w:pPr>
        <w:spacing w:line="240" w:lineRule="auto"/>
        <w:jc w:val="center"/>
        <w:rPr>
          <w:rFonts w:asciiTheme="majorHAnsi" w:hAnsiTheme="majorHAnsi"/>
        </w:rPr>
      </w:pPr>
      <w:r w:rsidRPr="00296370">
        <w:rPr>
          <w:rFonts w:asciiTheme="majorHAnsi" w:hAnsiTheme="majorHAnsi"/>
        </w:rPr>
        <w:t>Απόφαση</w:t>
      </w:r>
    </w:p>
    <w:p w:rsidR="00296370" w:rsidRPr="00296370" w:rsidRDefault="00296370" w:rsidP="00296370">
      <w:pPr>
        <w:spacing w:line="240" w:lineRule="auto"/>
        <w:rPr>
          <w:rFonts w:asciiTheme="majorHAnsi" w:hAnsiTheme="majorHAnsi"/>
        </w:rPr>
      </w:pPr>
    </w:p>
    <w:p w:rsidR="00296370" w:rsidRPr="00296370" w:rsidRDefault="00296370" w:rsidP="00296370">
      <w:pPr>
        <w:spacing w:line="240" w:lineRule="auto"/>
        <w:rPr>
          <w:rFonts w:asciiTheme="majorHAnsi" w:hAnsiTheme="majorHAnsi"/>
        </w:rPr>
      </w:pPr>
      <w:r w:rsidRPr="00296370">
        <w:rPr>
          <w:rFonts w:asciiTheme="majorHAnsi" w:hAnsiTheme="majorHAnsi"/>
        </w:rPr>
        <w:t xml:space="preserve">1.    Με διάταξη της 6ης Απριλίου 2000, που περιήλθε στο Δικαστήριο στις 14 Ιουλίου 2000, το </w:t>
      </w:r>
      <w:proofErr w:type="spellStart"/>
      <w:r w:rsidRPr="00296370">
        <w:rPr>
          <w:rFonts w:asciiTheme="majorHAnsi" w:hAnsiTheme="majorHAnsi"/>
        </w:rPr>
        <w:t>Bundesverwaltungsgericht</w:t>
      </w:r>
      <w:proofErr w:type="spellEnd"/>
      <w:r w:rsidRPr="00296370">
        <w:rPr>
          <w:rFonts w:asciiTheme="majorHAnsi" w:hAnsiTheme="majorHAnsi"/>
        </w:rPr>
        <w:t xml:space="preserve"> υπέβαλε, δυνάμει του άρθρου 234 ΕΚ, ένα προδικαστικό ερώτημα ως προς την ερμηνεία των άρθρων 92 της Συνθήκης ΕΚ (νυν, κατόπιν τροποποιήσεως, άρθρου 87 ΕΚ) και 77 της Συνθήκης ΕΚ (νυν άρθρου 73 ΕΚ), καθώς και του κανονισμού (ΕΟΚ) 1191/69 του Συμβουλίου, της 26ης Ιουνίου 1969, περί των ενεργειών των κρατών μελών που αφορούν τις υποχρεώσεις που είναι συνυφασμένες με την έννοια της δημοσίας υπηρεσίας στον τομέα των σιδηροδρομικών, οδικών και εσωτερικών πλωτών μεταφορών (ΕΕ ειδ. </w:t>
      </w:r>
      <w:proofErr w:type="spellStart"/>
      <w:r w:rsidRPr="00296370">
        <w:rPr>
          <w:rFonts w:asciiTheme="majorHAnsi" w:hAnsiTheme="majorHAnsi"/>
        </w:rPr>
        <w:t>έκδ</w:t>
      </w:r>
      <w:proofErr w:type="spellEnd"/>
      <w:r w:rsidRPr="00296370">
        <w:rPr>
          <w:rFonts w:asciiTheme="majorHAnsi" w:hAnsiTheme="majorHAnsi"/>
        </w:rPr>
        <w:t>. 07/001, σ. 100), όπως τροποποιήθηκε με τον κανονισμό (ΕΟΚ) 1893/91 του Συμβουλίου, της 20ής Ιουνίου 1991 (ΕΕ L 169, σ. 1, στο εξής: κανονισμός 1191/69).</w:t>
      </w:r>
    </w:p>
    <w:p w:rsidR="00296370" w:rsidRPr="00296370" w:rsidRDefault="00296370" w:rsidP="00296370">
      <w:pPr>
        <w:spacing w:line="240" w:lineRule="auto"/>
        <w:rPr>
          <w:rFonts w:asciiTheme="majorHAnsi" w:hAnsiTheme="majorHAnsi"/>
        </w:rPr>
      </w:pPr>
      <w:r w:rsidRPr="00296370">
        <w:rPr>
          <w:rFonts w:asciiTheme="majorHAnsi" w:hAnsiTheme="majorHAnsi"/>
        </w:rPr>
        <w:t xml:space="preserve">2.    Το ερώτημα αυτό ανέκυψε στο πλαίσιο διαφοράς μεταξύ των εταιριών </w:t>
      </w:r>
      <w:proofErr w:type="spellStart"/>
      <w:r w:rsidRPr="00296370">
        <w:rPr>
          <w:rFonts w:asciiTheme="majorHAnsi" w:hAnsiTheme="majorHAnsi"/>
        </w:rPr>
        <w:t>Altmark</w:t>
      </w:r>
      <w:proofErr w:type="spellEnd"/>
      <w:r w:rsidRPr="00296370">
        <w:rPr>
          <w:rFonts w:asciiTheme="majorHAnsi" w:hAnsiTheme="majorHAnsi"/>
        </w:rPr>
        <w:t xml:space="preserve"> </w:t>
      </w:r>
      <w:proofErr w:type="spellStart"/>
      <w:r w:rsidRPr="00296370">
        <w:rPr>
          <w:rFonts w:asciiTheme="majorHAnsi" w:hAnsiTheme="majorHAnsi"/>
        </w:rPr>
        <w:t>Trans</w:t>
      </w:r>
      <w:proofErr w:type="spellEnd"/>
      <w:r w:rsidRPr="00296370">
        <w:rPr>
          <w:rFonts w:asciiTheme="majorHAnsi" w:hAnsiTheme="majorHAnsi"/>
        </w:rPr>
        <w:t xml:space="preserve"> </w:t>
      </w:r>
      <w:proofErr w:type="spellStart"/>
      <w:r w:rsidRPr="00296370">
        <w:rPr>
          <w:rFonts w:asciiTheme="majorHAnsi" w:hAnsiTheme="majorHAnsi"/>
        </w:rPr>
        <w:t>GmbH</w:t>
      </w:r>
      <w:proofErr w:type="spellEnd"/>
      <w:r w:rsidRPr="00296370">
        <w:rPr>
          <w:rFonts w:asciiTheme="majorHAnsi" w:hAnsiTheme="majorHAnsi"/>
        </w:rPr>
        <w:t xml:space="preserve"> (στο εξής: </w:t>
      </w:r>
      <w:proofErr w:type="spellStart"/>
      <w:r w:rsidRPr="00296370">
        <w:rPr>
          <w:rFonts w:asciiTheme="majorHAnsi" w:hAnsiTheme="majorHAnsi"/>
        </w:rPr>
        <w:t>Altmark</w:t>
      </w:r>
      <w:proofErr w:type="spellEnd"/>
      <w:r w:rsidRPr="00296370">
        <w:rPr>
          <w:rFonts w:asciiTheme="majorHAnsi" w:hAnsiTheme="majorHAnsi"/>
        </w:rPr>
        <w:t xml:space="preserve"> </w:t>
      </w:r>
      <w:proofErr w:type="spellStart"/>
      <w:r w:rsidRPr="00296370">
        <w:rPr>
          <w:rFonts w:asciiTheme="majorHAnsi" w:hAnsiTheme="majorHAnsi"/>
        </w:rPr>
        <w:t>Trans</w:t>
      </w:r>
      <w:proofErr w:type="spellEnd"/>
      <w:r w:rsidRPr="00296370">
        <w:rPr>
          <w:rFonts w:asciiTheme="majorHAnsi" w:hAnsiTheme="majorHAnsi"/>
        </w:rPr>
        <w:t xml:space="preserve">) και </w:t>
      </w:r>
      <w:proofErr w:type="spellStart"/>
      <w:r w:rsidRPr="00296370">
        <w:rPr>
          <w:rFonts w:asciiTheme="majorHAnsi" w:hAnsiTheme="majorHAnsi"/>
        </w:rPr>
        <w:t>Nahverkehrsgesellschaft</w:t>
      </w:r>
      <w:proofErr w:type="spellEnd"/>
      <w:r w:rsidRPr="00296370">
        <w:rPr>
          <w:rFonts w:asciiTheme="majorHAnsi" w:hAnsiTheme="majorHAnsi"/>
        </w:rPr>
        <w:t xml:space="preserve"> </w:t>
      </w:r>
      <w:proofErr w:type="spellStart"/>
      <w:r w:rsidRPr="00296370">
        <w:rPr>
          <w:rFonts w:asciiTheme="majorHAnsi" w:hAnsiTheme="majorHAnsi"/>
        </w:rPr>
        <w:t>Altmark</w:t>
      </w:r>
      <w:proofErr w:type="spellEnd"/>
      <w:r w:rsidRPr="00296370">
        <w:rPr>
          <w:rFonts w:asciiTheme="majorHAnsi" w:hAnsiTheme="majorHAnsi"/>
        </w:rPr>
        <w:t xml:space="preserve"> </w:t>
      </w:r>
      <w:proofErr w:type="spellStart"/>
      <w:r w:rsidRPr="00296370">
        <w:rPr>
          <w:rFonts w:asciiTheme="majorHAnsi" w:hAnsiTheme="majorHAnsi"/>
        </w:rPr>
        <w:t>GmbH</w:t>
      </w:r>
      <w:proofErr w:type="spellEnd"/>
      <w:r w:rsidRPr="00296370">
        <w:rPr>
          <w:rFonts w:asciiTheme="majorHAnsi" w:hAnsiTheme="majorHAnsi"/>
        </w:rPr>
        <w:t xml:space="preserve"> (στο εξής: </w:t>
      </w:r>
      <w:proofErr w:type="spellStart"/>
      <w:r w:rsidRPr="00296370">
        <w:rPr>
          <w:rFonts w:asciiTheme="majorHAnsi" w:hAnsiTheme="majorHAnsi"/>
        </w:rPr>
        <w:t>Nahverkehrsgesellschaft</w:t>
      </w:r>
      <w:proofErr w:type="spellEnd"/>
      <w:r w:rsidRPr="00296370">
        <w:rPr>
          <w:rFonts w:asciiTheme="majorHAnsi" w:hAnsiTheme="majorHAnsi"/>
        </w:rPr>
        <w:t xml:space="preserve">) σχετικά με τη χορήγηση στην πρώτη, εκ μέρους του </w:t>
      </w:r>
      <w:proofErr w:type="spellStart"/>
      <w:r w:rsidRPr="00296370">
        <w:rPr>
          <w:rFonts w:asciiTheme="majorHAnsi" w:hAnsiTheme="majorHAnsi"/>
        </w:rPr>
        <w:t>Regierungspräsidium</w:t>
      </w:r>
      <w:proofErr w:type="spellEnd"/>
      <w:r w:rsidRPr="00296370">
        <w:rPr>
          <w:rFonts w:asciiTheme="majorHAnsi" w:hAnsiTheme="majorHAnsi"/>
        </w:rPr>
        <w:t xml:space="preserve"> </w:t>
      </w:r>
      <w:proofErr w:type="spellStart"/>
      <w:r w:rsidRPr="00296370">
        <w:rPr>
          <w:rFonts w:asciiTheme="majorHAnsi" w:hAnsiTheme="majorHAnsi"/>
        </w:rPr>
        <w:t>Magdeburg</w:t>
      </w:r>
      <w:proofErr w:type="spellEnd"/>
      <w:r w:rsidRPr="00296370">
        <w:rPr>
          <w:rFonts w:asciiTheme="majorHAnsi" w:hAnsiTheme="majorHAnsi"/>
        </w:rPr>
        <w:t xml:space="preserve"> (περιφερειακής διοικήσεως του </w:t>
      </w:r>
      <w:proofErr w:type="spellStart"/>
      <w:r w:rsidRPr="00296370">
        <w:rPr>
          <w:rFonts w:asciiTheme="majorHAnsi" w:hAnsiTheme="majorHAnsi"/>
        </w:rPr>
        <w:t>Μαγδεβούργου</w:t>
      </w:r>
      <w:proofErr w:type="spellEnd"/>
      <w:r w:rsidRPr="00296370">
        <w:rPr>
          <w:rFonts w:asciiTheme="majorHAnsi" w:hAnsiTheme="majorHAnsi"/>
        </w:rPr>
        <w:t xml:space="preserve">, στο εξής: </w:t>
      </w:r>
      <w:proofErr w:type="spellStart"/>
      <w:r w:rsidRPr="00296370">
        <w:rPr>
          <w:rFonts w:asciiTheme="majorHAnsi" w:hAnsiTheme="majorHAnsi"/>
        </w:rPr>
        <w:t>Regierungspräsidium</w:t>
      </w:r>
      <w:proofErr w:type="spellEnd"/>
      <w:r w:rsidRPr="00296370">
        <w:rPr>
          <w:rFonts w:asciiTheme="majorHAnsi" w:hAnsiTheme="majorHAnsi"/>
        </w:rPr>
        <w:t xml:space="preserve">), αδειών λειτουργίας τακτικών συγκοινωνιακών γραμμών </w:t>
      </w:r>
      <w:r w:rsidRPr="00296370">
        <w:rPr>
          <w:rFonts w:asciiTheme="majorHAnsi" w:hAnsiTheme="majorHAnsi"/>
        </w:rPr>
        <w:lastRenderedPageBreak/>
        <w:t xml:space="preserve">με υπεραστικά λεωφορεία στην περιοχή </w:t>
      </w:r>
      <w:proofErr w:type="spellStart"/>
      <w:r w:rsidRPr="00296370">
        <w:rPr>
          <w:rFonts w:asciiTheme="majorHAnsi" w:hAnsiTheme="majorHAnsi"/>
        </w:rPr>
        <w:t>Landkreis</w:t>
      </w:r>
      <w:proofErr w:type="spellEnd"/>
      <w:r w:rsidRPr="00296370">
        <w:rPr>
          <w:rFonts w:asciiTheme="majorHAnsi" w:hAnsiTheme="majorHAnsi"/>
        </w:rPr>
        <w:t xml:space="preserve"> </w:t>
      </w:r>
      <w:proofErr w:type="spellStart"/>
      <w:r w:rsidRPr="00296370">
        <w:rPr>
          <w:rFonts w:asciiTheme="majorHAnsi" w:hAnsiTheme="majorHAnsi"/>
        </w:rPr>
        <w:t>Stendal</w:t>
      </w:r>
      <w:proofErr w:type="spellEnd"/>
      <w:r w:rsidRPr="00296370">
        <w:rPr>
          <w:rFonts w:asciiTheme="majorHAnsi" w:hAnsiTheme="majorHAnsi"/>
        </w:rPr>
        <w:t xml:space="preserve"> (Γερμανία), καθώς και χορηγήσεως δημοσίων επιδοτήσεων για την παροχή των ως άνω υπηρεσιών.</w:t>
      </w:r>
    </w:p>
    <w:p w:rsidR="00296370" w:rsidRPr="00463ECF" w:rsidRDefault="00296370" w:rsidP="00296370">
      <w:pPr>
        <w:spacing w:line="240" w:lineRule="auto"/>
        <w:rPr>
          <w:rFonts w:asciiTheme="majorHAnsi" w:hAnsiTheme="majorHAnsi"/>
          <w:b/>
        </w:rPr>
      </w:pPr>
      <w:r w:rsidRPr="00463ECF">
        <w:rPr>
          <w:rFonts w:asciiTheme="majorHAnsi" w:hAnsiTheme="majorHAnsi"/>
          <w:b/>
        </w:rPr>
        <w:t>Το νομικό πλαίσιο</w:t>
      </w:r>
    </w:p>
    <w:p w:rsidR="00296370" w:rsidRPr="00287D9B" w:rsidRDefault="00296370" w:rsidP="00296370">
      <w:pPr>
        <w:spacing w:line="240" w:lineRule="auto"/>
        <w:rPr>
          <w:rFonts w:asciiTheme="majorHAnsi" w:hAnsiTheme="majorHAnsi"/>
        </w:rPr>
      </w:pPr>
      <w:r w:rsidRPr="00463ECF">
        <w:rPr>
          <w:rFonts w:asciiTheme="majorHAnsi" w:hAnsiTheme="majorHAnsi"/>
          <w:b/>
        </w:rPr>
        <w:t>Το κοινοτικό δίκαιο</w:t>
      </w:r>
      <w:r w:rsidR="00287D9B">
        <w:rPr>
          <w:rFonts w:asciiTheme="majorHAnsi" w:hAnsiTheme="majorHAnsi"/>
          <w:b/>
        </w:rPr>
        <w:t xml:space="preserve"> </w:t>
      </w:r>
      <w:r w:rsidR="00287D9B">
        <w:rPr>
          <w:rFonts w:asciiTheme="majorHAnsi" w:hAnsiTheme="majorHAnsi"/>
        </w:rPr>
        <w:t>[…]</w:t>
      </w:r>
    </w:p>
    <w:p w:rsidR="00296370" w:rsidRPr="00792167" w:rsidRDefault="00296370" w:rsidP="00296370">
      <w:pPr>
        <w:spacing w:line="240" w:lineRule="auto"/>
        <w:rPr>
          <w:rFonts w:asciiTheme="majorHAnsi" w:hAnsiTheme="majorHAnsi"/>
        </w:rPr>
      </w:pPr>
      <w:r w:rsidRPr="00463ECF">
        <w:rPr>
          <w:rFonts w:asciiTheme="majorHAnsi" w:hAnsiTheme="majorHAnsi"/>
          <w:b/>
        </w:rPr>
        <w:t>Η εθνική ρύθμιση</w:t>
      </w:r>
      <w:r w:rsidR="00792167" w:rsidRPr="00792167">
        <w:rPr>
          <w:rFonts w:asciiTheme="majorHAnsi" w:hAnsiTheme="majorHAnsi"/>
          <w:b/>
        </w:rPr>
        <w:t xml:space="preserve"> </w:t>
      </w:r>
      <w:r w:rsidR="00792167" w:rsidRPr="00792167">
        <w:rPr>
          <w:rFonts w:asciiTheme="majorHAnsi" w:hAnsiTheme="majorHAnsi"/>
        </w:rPr>
        <w:t>[...]</w:t>
      </w:r>
    </w:p>
    <w:p w:rsidR="00296370" w:rsidRPr="00792167" w:rsidRDefault="00296370" w:rsidP="00296370">
      <w:pPr>
        <w:spacing w:line="240" w:lineRule="auto"/>
        <w:rPr>
          <w:rFonts w:asciiTheme="majorHAnsi" w:hAnsiTheme="majorHAnsi"/>
        </w:rPr>
      </w:pPr>
      <w:r w:rsidRPr="00463ECF">
        <w:rPr>
          <w:rFonts w:asciiTheme="majorHAnsi" w:hAnsiTheme="majorHAnsi"/>
          <w:b/>
        </w:rPr>
        <w:t>Η διαφορά της κύριας δίκης</w:t>
      </w:r>
      <w:r w:rsidR="00792167" w:rsidRPr="00792167">
        <w:rPr>
          <w:rFonts w:asciiTheme="majorHAnsi" w:hAnsiTheme="majorHAnsi"/>
          <w:b/>
        </w:rPr>
        <w:t xml:space="preserve"> </w:t>
      </w:r>
      <w:r w:rsidR="00792167" w:rsidRPr="00792167">
        <w:rPr>
          <w:rFonts w:asciiTheme="majorHAnsi" w:hAnsiTheme="majorHAnsi"/>
        </w:rPr>
        <w:t>[...]</w:t>
      </w:r>
    </w:p>
    <w:p w:rsidR="00296370" w:rsidRPr="00015EE1" w:rsidRDefault="00296370" w:rsidP="00296370">
      <w:pPr>
        <w:spacing w:line="240" w:lineRule="auto"/>
        <w:rPr>
          <w:rFonts w:asciiTheme="majorHAnsi" w:hAnsiTheme="majorHAnsi"/>
          <w:b/>
        </w:rPr>
      </w:pPr>
      <w:r w:rsidRPr="00015EE1">
        <w:rPr>
          <w:rFonts w:asciiTheme="majorHAnsi" w:hAnsiTheme="majorHAnsi"/>
          <w:b/>
        </w:rPr>
        <w:t>Το προδικαστικό ερώτημα</w:t>
      </w:r>
    </w:p>
    <w:p w:rsidR="00296370" w:rsidRPr="00792167" w:rsidRDefault="00296370" w:rsidP="00296370">
      <w:pPr>
        <w:spacing w:line="240" w:lineRule="auto"/>
        <w:rPr>
          <w:rFonts w:asciiTheme="majorHAnsi" w:hAnsiTheme="majorHAnsi"/>
        </w:rPr>
      </w:pPr>
      <w:r w:rsidRPr="00296370">
        <w:rPr>
          <w:rFonts w:asciiTheme="majorHAnsi" w:hAnsiTheme="majorHAnsi"/>
        </w:rPr>
        <w:t xml:space="preserve">30.    Το </w:t>
      </w:r>
      <w:proofErr w:type="spellStart"/>
      <w:r w:rsidRPr="00296370">
        <w:rPr>
          <w:rFonts w:asciiTheme="majorHAnsi" w:hAnsiTheme="majorHAnsi"/>
        </w:rPr>
        <w:t>Bundesverwaltungsgericht</w:t>
      </w:r>
      <w:proofErr w:type="spellEnd"/>
      <w:r w:rsidRPr="00296370">
        <w:rPr>
          <w:rFonts w:asciiTheme="majorHAnsi" w:hAnsiTheme="majorHAnsi"/>
        </w:rPr>
        <w:t xml:space="preserve">, θεωρώντας ότι, στο πλαίσιο της υποθέσεως της οποίας έχει επιληφθεί, το περιεχόμενο των κοινοτικών κανόνων είναι ασαφές και ότι είναι απαραίτητη η έκδοση προδικαστικής </w:t>
      </w:r>
      <w:proofErr w:type="spellStart"/>
      <w:r w:rsidRPr="00296370">
        <w:rPr>
          <w:rFonts w:asciiTheme="majorHAnsi" w:hAnsiTheme="majorHAnsi"/>
        </w:rPr>
        <w:t>αποφάσες</w:t>
      </w:r>
      <w:proofErr w:type="spellEnd"/>
      <w:r w:rsidRPr="00296370">
        <w:rPr>
          <w:rFonts w:asciiTheme="majorHAnsi" w:hAnsiTheme="majorHAnsi"/>
        </w:rPr>
        <w:t xml:space="preserve"> για την επίλυση της διαφοράς της κύριας δίκης, αποφάσισε να αναστείλει τη διαδικασία κ</w:t>
      </w:r>
      <w:r w:rsidR="00015EE1">
        <w:rPr>
          <w:rFonts w:asciiTheme="majorHAnsi" w:hAnsiTheme="majorHAnsi"/>
        </w:rPr>
        <w:t>αι να υποβάλει στο Δικαστήριο το</w:t>
      </w:r>
      <w:r w:rsidRPr="00296370">
        <w:rPr>
          <w:rFonts w:asciiTheme="majorHAnsi" w:hAnsiTheme="majorHAnsi"/>
        </w:rPr>
        <w:t xml:space="preserve"> ακόλουθο προδικαστικό ερώτημα:</w:t>
      </w:r>
      <w:r w:rsidR="00792167" w:rsidRPr="00792167">
        <w:rPr>
          <w:rFonts w:asciiTheme="majorHAnsi" w:hAnsiTheme="majorHAnsi"/>
        </w:rPr>
        <w:t xml:space="preserve"> [...]</w:t>
      </w:r>
    </w:p>
    <w:p w:rsidR="00296370" w:rsidRPr="00296370" w:rsidRDefault="00296370" w:rsidP="00296370">
      <w:pPr>
        <w:spacing w:line="240" w:lineRule="auto"/>
        <w:rPr>
          <w:rFonts w:asciiTheme="majorHAnsi" w:hAnsiTheme="majorHAnsi"/>
        </w:rPr>
      </w:pPr>
      <w:r w:rsidRPr="00296370">
        <w:rPr>
          <w:rFonts w:asciiTheme="majorHAnsi" w:hAnsiTheme="majorHAnsi"/>
        </w:rPr>
        <w:t>2)    Παρέχει το άρθρο [77 της Συνθήκης] ΕΚ στον εθνικό νομοθέτη τη δυνατότητα να επιτρέπει γενικώς τη χορήγηση κρατικών επιδοτήσεων προς κάλυψη ελλειμμάτων στον τομέα της δημόσιας μεταφοράς προσώπων, χωρίς να λαμβάνεται υπόψη ο κανονισμός (ΕΟΚ) 1191/69;</w:t>
      </w:r>
    </w:p>
    <w:p w:rsidR="00296370" w:rsidRPr="00792167" w:rsidRDefault="00296370" w:rsidP="00296370">
      <w:pPr>
        <w:spacing w:line="240" w:lineRule="auto"/>
        <w:rPr>
          <w:rFonts w:asciiTheme="majorHAnsi" w:hAnsiTheme="majorHAnsi"/>
        </w:rPr>
      </w:pPr>
      <w:r w:rsidRPr="00463ECF">
        <w:rPr>
          <w:rFonts w:asciiTheme="majorHAnsi" w:hAnsiTheme="majorHAnsi"/>
          <w:b/>
        </w:rPr>
        <w:t>Εισαγωγικές παρατηρήσεις</w:t>
      </w:r>
      <w:r w:rsidR="00792167">
        <w:rPr>
          <w:rFonts w:asciiTheme="majorHAnsi" w:hAnsiTheme="majorHAnsi"/>
          <w:b/>
        </w:rPr>
        <w:t xml:space="preserve"> </w:t>
      </w:r>
      <w:r w:rsidR="00792167">
        <w:rPr>
          <w:rFonts w:asciiTheme="majorHAnsi" w:hAnsiTheme="majorHAnsi"/>
        </w:rPr>
        <w:t>[...]</w:t>
      </w:r>
    </w:p>
    <w:p w:rsidR="00296370" w:rsidRPr="00792167" w:rsidRDefault="00296370" w:rsidP="00296370">
      <w:pPr>
        <w:spacing w:line="240" w:lineRule="auto"/>
        <w:rPr>
          <w:rFonts w:asciiTheme="majorHAnsi" w:hAnsiTheme="majorHAnsi"/>
        </w:rPr>
      </w:pPr>
      <w:r w:rsidRPr="00463ECF">
        <w:rPr>
          <w:rFonts w:asciiTheme="majorHAnsi" w:hAnsiTheme="majorHAnsi"/>
          <w:b/>
        </w:rPr>
        <w:t>Επί του τρίτου σκέλους του προδικαστικού ερωτήματος</w:t>
      </w:r>
      <w:r w:rsidR="00792167">
        <w:rPr>
          <w:rFonts w:asciiTheme="majorHAnsi" w:hAnsiTheme="majorHAnsi"/>
          <w:b/>
        </w:rPr>
        <w:t xml:space="preserve"> </w:t>
      </w:r>
      <w:r w:rsidR="00792167">
        <w:rPr>
          <w:rFonts w:asciiTheme="majorHAnsi" w:hAnsiTheme="majorHAnsi"/>
        </w:rPr>
        <w:t>[...]</w:t>
      </w:r>
    </w:p>
    <w:p w:rsidR="00296370" w:rsidRPr="00296370" w:rsidRDefault="00296370" w:rsidP="00296370">
      <w:pPr>
        <w:spacing w:line="240" w:lineRule="auto"/>
        <w:rPr>
          <w:rFonts w:asciiTheme="majorHAnsi" w:hAnsiTheme="majorHAnsi"/>
        </w:rPr>
      </w:pPr>
      <w:r w:rsidRPr="00287D9B">
        <w:rPr>
          <w:rFonts w:asciiTheme="majorHAnsi" w:hAnsiTheme="majorHAnsi"/>
          <w:b/>
        </w:rPr>
        <w:t>Παρατηρήσεις που κατατέθηκαν στο Δικαστήριο</w:t>
      </w:r>
      <w:r w:rsidR="00287D9B">
        <w:rPr>
          <w:rFonts w:asciiTheme="majorHAnsi" w:hAnsiTheme="majorHAnsi"/>
        </w:rPr>
        <w:t xml:space="preserve"> […]</w:t>
      </w:r>
    </w:p>
    <w:p w:rsidR="00296370" w:rsidRPr="00792167" w:rsidRDefault="00296370" w:rsidP="00296370">
      <w:pPr>
        <w:spacing w:line="240" w:lineRule="auto"/>
        <w:rPr>
          <w:rFonts w:asciiTheme="majorHAnsi" w:hAnsiTheme="majorHAnsi"/>
        </w:rPr>
      </w:pPr>
      <w:r w:rsidRPr="00287D9B">
        <w:rPr>
          <w:rFonts w:asciiTheme="majorHAnsi" w:hAnsiTheme="majorHAnsi"/>
          <w:b/>
        </w:rPr>
        <w:t>Η απάντηση του Δικαστηρίου</w:t>
      </w:r>
      <w:r w:rsidR="00792167">
        <w:rPr>
          <w:rFonts w:asciiTheme="majorHAnsi" w:hAnsiTheme="majorHAnsi"/>
          <w:b/>
        </w:rPr>
        <w:t xml:space="preserve"> </w:t>
      </w:r>
      <w:r w:rsidR="00792167">
        <w:rPr>
          <w:rFonts w:asciiTheme="majorHAnsi" w:hAnsiTheme="majorHAnsi"/>
        </w:rPr>
        <w:t>[...]</w:t>
      </w:r>
    </w:p>
    <w:p w:rsidR="00296370" w:rsidRPr="00296370" w:rsidRDefault="00296370" w:rsidP="00296370">
      <w:pPr>
        <w:spacing w:line="240" w:lineRule="auto"/>
        <w:rPr>
          <w:rFonts w:asciiTheme="majorHAnsi" w:hAnsiTheme="majorHAnsi"/>
        </w:rPr>
      </w:pPr>
      <w:r w:rsidRPr="00B72F40">
        <w:rPr>
          <w:rFonts w:asciiTheme="majorHAnsi" w:hAnsiTheme="majorHAnsi"/>
          <w:b/>
        </w:rPr>
        <w:t>Επί του πρώτου σκέλους του προδικαστικού ερωτήματος</w:t>
      </w:r>
    </w:p>
    <w:p w:rsidR="00296370" w:rsidRPr="00296370" w:rsidRDefault="00296370" w:rsidP="00296370">
      <w:pPr>
        <w:spacing w:line="240" w:lineRule="auto"/>
        <w:rPr>
          <w:rFonts w:asciiTheme="majorHAnsi" w:hAnsiTheme="majorHAnsi"/>
        </w:rPr>
      </w:pPr>
      <w:r w:rsidRPr="00296370">
        <w:rPr>
          <w:rFonts w:asciiTheme="majorHAnsi" w:hAnsiTheme="majorHAnsi"/>
        </w:rPr>
        <w:t>67.    Με το πρώτο σκέλος του προδικαστικού ερωτήματος, το αιτούν δικαστήριο ερωτά στην ουσία αν εμπίπτουν σε κάθε περίπτωση στο πεδίο εφαρμογής του άρθρου 92, παράγραφος 1, της Συνθήκης οι επιδοτήσεις που αποσκοπούν στην αντιστάθμιση του ελλείμματος δημόσιας υπηρεσίας αστικών, προαστιακών ή περιφερειακών μεταφορών ή αν οι επιδοτήσεις αυτές δεν είναι ικανές να επηρεάσουν το εμπόριο μεταξύ κρατών μελών ενόψει του τοπικού ή περιφερειακού χαρακτήρα των παρεχόμενων μεταφορικών υπηρεσιών και, ενδεχομένως, της σημασίας του σχετικού τομέα δραστηριοτήτων.</w:t>
      </w:r>
    </w:p>
    <w:p w:rsidR="00296370" w:rsidRPr="00296370" w:rsidRDefault="00296370" w:rsidP="00296370">
      <w:pPr>
        <w:spacing w:line="240" w:lineRule="auto"/>
        <w:rPr>
          <w:rFonts w:asciiTheme="majorHAnsi" w:hAnsiTheme="majorHAnsi"/>
        </w:rPr>
      </w:pPr>
      <w:r w:rsidRPr="00B72F40">
        <w:rPr>
          <w:rFonts w:asciiTheme="majorHAnsi" w:hAnsiTheme="majorHAnsi"/>
          <w:b/>
        </w:rPr>
        <w:t>Παρατηρήσεις που κατατέθηκαν στο Δικαστήριο</w:t>
      </w:r>
      <w:r w:rsidR="00B72F40">
        <w:rPr>
          <w:rFonts w:asciiTheme="majorHAnsi" w:hAnsiTheme="majorHAnsi"/>
        </w:rPr>
        <w:t xml:space="preserve"> […]</w:t>
      </w:r>
    </w:p>
    <w:p w:rsidR="00296370" w:rsidRPr="00296370" w:rsidRDefault="00296370" w:rsidP="00296370">
      <w:pPr>
        <w:spacing w:line="240" w:lineRule="auto"/>
        <w:rPr>
          <w:rFonts w:asciiTheme="majorHAnsi" w:hAnsiTheme="majorHAnsi"/>
        </w:rPr>
      </w:pPr>
      <w:r w:rsidRPr="00B72F40">
        <w:rPr>
          <w:rFonts w:asciiTheme="majorHAnsi" w:hAnsiTheme="majorHAnsi"/>
          <w:b/>
        </w:rPr>
        <w:t>Η απάντηση του Δικαστηρίου</w:t>
      </w:r>
    </w:p>
    <w:p w:rsidR="00296370" w:rsidRPr="00296370" w:rsidRDefault="00296370" w:rsidP="00296370">
      <w:pPr>
        <w:spacing w:line="240" w:lineRule="auto"/>
        <w:rPr>
          <w:rFonts w:asciiTheme="majorHAnsi" w:hAnsiTheme="majorHAnsi"/>
        </w:rPr>
      </w:pPr>
      <w:r w:rsidRPr="00296370">
        <w:rPr>
          <w:rFonts w:asciiTheme="majorHAnsi" w:hAnsiTheme="majorHAnsi"/>
        </w:rPr>
        <w:t xml:space="preserve">74.    Για να δοθεί απάντηση στο πρώτο σκέλος του ερωτήματος, πρέπει να εξεταστούν τα διάφορα στοιχεία της έννοιας της κρατικής ενισχύσεως του άρθρου 92, παράγραφος 1, της Συνθήκης. Συγκεκριμένα, κατά πάγια νομολογία, για να υφίσταται ενίσχυση πρέπει να πληρούνται όλες οι προϋποθέσεις που προβλέπει η διάταξη αυτή (βλ. τις αποφάσεις της 21ης Μαρτίου 1990, C-142/87, Βέλγιο κατά Επιτροπής, λεγόμενη «απόφαση </w:t>
      </w:r>
      <w:proofErr w:type="spellStart"/>
      <w:r w:rsidRPr="00296370">
        <w:rPr>
          <w:rFonts w:asciiTheme="majorHAnsi" w:hAnsiTheme="majorHAnsi"/>
        </w:rPr>
        <w:t>Tubemeuse</w:t>
      </w:r>
      <w:proofErr w:type="spellEnd"/>
      <w:r w:rsidRPr="00296370">
        <w:rPr>
          <w:rFonts w:asciiTheme="majorHAnsi" w:hAnsiTheme="majorHAnsi"/>
        </w:rPr>
        <w:t xml:space="preserve">», Συλλογή 1990, σ. Ι-959, σκέψη 25· της 14ης Σεπτεμβρίου 1994, C-278/92 έως C-280/92, Ισπανία κατά Επιτροπής, Συλλογή 1994, σ. Ι-4103, σκέψη 20, και της 16ης </w:t>
      </w:r>
      <w:proofErr w:type="spellStart"/>
      <w:r w:rsidRPr="00296370">
        <w:rPr>
          <w:rFonts w:asciiTheme="majorHAnsi" w:hAnsiTheme="majorHAnsi"/>
        </w:rPr>
        <w:t>Μα.ου</w:t>
      </w:r>
      <w:proofErr w:type="spellEnd"/>
      <w:r w:rsidRPr="00296370">
        <w:rPr>
          <w:rFonts w:asciiTheme="majorHAnsi" w:hAnsiTheme="majorHAnsi"/>
        </w:rPr>
        <w:t xml:space="preserve"> 2002, C-482/99, Γαλλία κατά Επιτροπής, Συλλογή 2002, σ. Ι-4397, σκέψη 68).</w:t>
      </w:r>
    </w:p>
    <w:p w:rsidR="00296370" w:rsidRPr="00296370" w:rsidRDefault="00296370" w:rsidP="00296370">
      <w:pPr>
        <w:spacing w:line="240" w:lineRule="auto"/>
        <w:rPr>
          <w:rFonts w:asciiTheme="majorHAnsi" w:hAnsiTheme="majorHAnsi"/>
        </w:rPr>
      </w:pPr>
      <w:r w:rsidRPr="00296370">
        <w:rPr>
          <w:rFonts w:asciiTheme="majorHAnsi" w:hAnsiTheme="majorHAnsi"/>
        </w:rPr>
        <w:lastRenderedPageBreak/>
        <w:t>75.    Το άρθρο 92, παράγραφος 1, της Συνθήκης προβλέπει τις ακόλουθες προϋποθέσεις. Πρώτον, πρέπει να πρόκειται για σχετική παρέμβαση εκ μέρους του κράτους ή μέσω δημοσίων πόρων. Δεύτερον, η παρέμβαση αυτή πρέπει να μπορεί να επηρεάσει το εμπόριο μεταξύ κρατών μελών. Τρίτον, πρέπει να χορηγεί ένα πλεονέκτημα υπέρ του δικαιούχου. Τέταρτον, πρέπει να νοθεύει ή να απειλεί να νοθεύσει τον ανταγωνισμό.</w:t>
      </w:r>
    </w:p>
    <w:p w:rsidR="00296370" w:rsidRPr="00296370" w:rsidRDefault="00296370" w:rsidP="00296370">
      <w:pPr>
        <w:spacing w:line="240" w:lineRule="auto"/>
        <w:rPr>
          <w:rFonts w:asciiTheme="majorHAnsi" w:hAnsiTheme="majorHAnsi"/>
        </w:rPr>
      </w:pPr>
      <w:r w:rsidRPr="00296370">
        <w:rPr>
          <w:rFonts w:asciiTheme="majorHAnsi" w:hAnsiTheme="majorHAnsi"/>
        </w:rPr>
        <w:t>76.    Το ερώτημα που υποβάλλει το αιτούν δικαστήριο αφορά ειδικότερα τη δεύτερη από τις ως άνω προϋποθέσεις.</w:t>
      </w:r>
    </w:p>
    <w:p w:rsidR="00296370" w:rsidRPr="00296370" w:rsidRDefault="00296370" w:rsidP="00296370">
      <w:pPr>
        <w:spacing w:line="240" w:lineRule="auto"/>
        <w:rPr>
          <w:rFonts w:asciiTheme="majorHAnsi" w:hAnsiTheme="majorHAnsi"/>
        </w:rPr>
      </w:pPr>
      <w:r w:rsidRPr="00296370">
        <w:rPr>
          <w:rFonts w:asciiTheme="majorHAnsi" w:hAnsiTheme="majorHAnsi"/>
        </w:rPr>
        <w:t>77.    Συναφώς, πρέπει να σημειωθεί καταρχάς ότι ουδόλως αποκλείεται μια δημόσια επιδότηση, η οποία χορηγείται σε επιχείρηση παρέχουσα απλώς τοπικές ή περιφερειακές μεταφορικές υπηρεσίες και η οποία δεν παρέχει τέτοιες υπηρεσίες εκτός του κράτους προελεύσεώς της, να μπορεί, παρά ταύτα, να έχει επιπτώσεις επί του εμπορίου μεταξύ κρατών μελών.</w:t>
      </w:r>
    </w:p>
    <w:p w:rsidR="00296370" w:rsidRPr="00296370" w:rsidRDefault="00296370" w:rsidP="00296370">
      <w:pPr>
        <w:spacing w:line="240" w:lineRule="auto"/>
        <w:rPr>
          <w:rFonts w:asciiTheme="majorHAnsi" w:hAnsiTheme="majorHAnsi"/>
        </w:rPr>
      </w:pPr>
      <w:r w:rsidRPr="00296370">
        <w:rPr>
          <w:rFonts w:asciiTheme="majorHAnsi" w:hAnsiTheme="majorHAnsi"/>
        </w:rPr>
        <w:t>78.    Πράγματι, όταν κράτος μέλος χορηγεί δημόσια επιδότηση σε επιχείρηση, η εκ μέρους της επιχειρήσεως αυτής παροχή μεταφορικών υπηρεσιών μπορεί να διατηρείται στο ίδιο επίπεδο ή να αυξάνεται, με συνέπεια να μειώνονται οι δυνατότητες επιχειρήσεων εγκατεστημένων σε άλλα κράτη μέλη να παρέχουν τις μεταφορικές υπηρεσίες τους στην αγορά του κράτους μέλους αυτού (βλ. επ' αυτού τις αποφάσεις της 13ης Ιουλίου 1988, 102/87, Γαλλία κατά Επιτροπής, Συλλογή 1988, σ. 4067, σκέψη 19· της 21ης Μαρτίου 1991, C-305/89, Ιταλία κατά Επιτροπής, Συλλογή 1991, σ. I-1603, σκέψη 26, και Ισπανία κατά Επιτροπής, προαναφερθείσα, σκέψη 40).</w:t>
      </w:r>
    </w:p>
    <w:p w:rsidR="00296370" w:rsidRPr="00296370" w:rsidRDefault="00296370" w:rsidP="00296370">
      <w:pPr>
        <w:spacing w:line="240" w:lineRule="auto"/>
        <w:rPr>
          <w:rFonts w:asciiTheme="majorHAnsi" w:hAnsiTheme="majorHAnsi"/>
        </w:rPr>
      </w:pPr>
      <w:r w:rsidRPr="00296370">
        <w:rPr>
          <w:rFonts w:asciiTheme="majorHAnsi" w:hAnsiTheme="majorHAnsi"/>
        </w:rPr>
        <w:t>79.    Εν προκειμένω, η διαπίστωση αυτή δεν είναι απλώς υποθετική, διότι, όπως προκύπτει ιδίως από τις παρατηρήσεις της Επιτροπής, πολλά κράτη μέλη άρχισαν ήδη από το 1995 να ανοίγουν ορισμένες αγορές μεταφορών στον ανταγωνισμό επιχειρήσεων εγκατεστημένων σε άλλα κράτη μέλη, οπότε πολλές επιχειρήσεις προσφέρουν ήδη υπηρεσίες αστικών, προαστιακών ή περιφερειακών μεταφορών εντός κρατών μελών διαφορετικών από το κράτος της προελεύσεώς τους.</w:t>
      </w:r>
    </w:p>
    <w:p w:rsidR="00296370" w:rsidRPr="00296370" w:rsidRDefault="00296370" w:rsidP="00296370">
      <w:pPr>
        <w:spacing w:line="240" w:lineRule="auto"/>
        <w:rPr>
          <w:rFonts w:asciiTheme="majorHAnsi" w:hAnsiTheme="majorHAnsi"/>
        </w:rPr>
      </w:pPr>
      <w:r w:rsidRPr="00296370">
        <w:rPr>
          <w:rFonts w:asciiTheme="majorHAnsi" w:hAnsiTheme="majorHAnsi"/>
        </w:rPr>
        <w:t xml:space="preserve">80.    Στη συνέχεια, η ανακοίνωση της Επιτροπής, της 6ης Μαρτίου 1996, σχετικά με τις ενισχύσεις de </w:t>
      </w:r>
      <w:proofErr w:type="spellStart"/>
      <w:r w:rsidRPr="00296370">
        <w:rPr>
          <w:rFonts w:asciiTheme="majorHAnsi" w:hAnsiTheme="majorHAnsi"/>
        </w:rPr>
        <w:t>minimis</w:t>
      </w:r>
      <w:proofErr w:type="spellEnd"/>
      <w:r w:rsidRPr="00296370">
        <w:rPr>
          <w:rFonts w:asciiTheme="majorHAnsi" w:hAnsiTheme="majorHAnsi"/>
        </w:rPr>
        <w:t xml:space="preserve"> [ενισχύσεις ήσσονος σημασίας] (ΕΕ C 68, σ. 9), δεν αφορά τον τομέα των μεταφορών, όπως προκύπτει από το τέταρτο εδάφιό της. Ομοίως, ο κανονισμός (ΕΚ) 69/2001 της Επιτροπής, της 12ης Ιανουαρίου 2001, για την εφαρμογή των άρθρων 87 και 88 της Συνθήκης ΕΚ στις ενισχύσεις ήσσονος σημασίας (EE L 10, σ. 30), δεν εφαρμόζεται στον εν λόγω τομέα σύμφωνα με την τρίτη αιτιολογική του σκέψη και το άρθρο 1, στοιχείο α´.</w:t>
      </w:r>
    </w:p>
    <w:p w:rsidR="00296370" w:rsidRPr="00296370" w:rsidRDefault="00296370" w:rsidP="00296370">
      <w:pPr>
        <w:spacing w:line="240" w:lineRule="auto"/>
        <w:rPr>
          <w:rFonts w:asciiTheme="majorHAnsi" w:hAnsiTheme="majorHAnsi"/>
        </w:rPr>
      </w:pPr>
      <w:r w:rsidRPr="00296370">
        <w:rPr>
          <w:rFonts w:asciiTheme="majorHAnsi" w:hAnsiTheme="majorHAnsi"/>
        </w:rPr>
        <w:t xml:space="preserve">81.    Τέλος, κατά τη νομολογία του Δικαστηρίου, δεν υφίσταται κάποιο όριο ή κάποιο ποσοστό κάτω από το οποίο μπορεί να θεωρηθεί ότι δεν επηρεάζεται το μεταξύ κρατών μελών εμπόριο. Πράγματι, το σχετικά χαμηλό ύψος μιας ενισχύσεως ή το σχετικά μέτριο μέγεθος της επιχειρήσεως που λαμβάνει την ενίσχυση δεν αποκλείουν a priori τη δυνατότητα επηρεασμού του μεταξύ των κρατών μελών εμπορίου (βλ. τις προαναφερθείσες αποφάσεις </w:t>
      </w:r>
      <w:proofErr w:type="spellStart"/>
      <w:r w:rsidRPr="00296370">
        <w:rPr>
          <w:rFonts w:asciiTheme="majorHAnsi" w:hAnsiTheme="majorHAnsi"/>
        </w:rPr>
        <w:t>Tubemeuse</w:t>
      </w:r>
      <w:proofErr w:type="spellEnd"/>
      <w:r w:rsidRPr="00296370">
        <w:rPr>
          <w:rFonts w:asciiTheme="majorHAnsi" w:hAnsiTheme="majorHAnsi"/>
        </w:rPr>
        <w:t>, σκέψη 43, και Ισπανία κατά Επιτροπής, σκέψη 43).</w:t>
      </w:r>
    </w:p>
    <w:p w:rsidR="00296370" w:rsidRPr="00296370" w:rsidRDefault="00296370" w:rsidP="00296370">
      <w:pPr>
        <w:spacing w:line="240" w:lineRule="auto"/>
        <w:rPr>
          <w:rFonts w:asciiTheme="majorHAnsi" w:hAnsiTheme="majorHAnsi"/>
        </w:rPr>
      </w:pPr>
      <w:r w:rsidRPr="00296370">
        <w:rPr>
          <w:rFonts w:asciiTheme="majorHAnsi" w:hAnsiTheme="majorHAnsi"/>
        </w:rPr>
        <w:t xml:space="preserve">82.    Επομένως, η δεύτερη προϋπόθεση εφαρμογής του άρθρου 92, παράγραφος 1, της Συνθήκης, κατά την οποία η ενίσχυση πρέπει να είναι ικανή να επηρεάσει το μεταξύ κρατών μελών εμπόριο, δεν εξαρτάται από τον τοπικό ή περιφερειακό </w:t>
      </w:r>
      <w:r w:rsidRPr="00296370">
        <w:rPr>
          <w:rFonts w:asciiTheme="majorHAnsi" w:hAnsiTheme="majorHAnsi"/>
        </w:rPr>
        <w:lastRenderedPageBreak/>
        <w:t>χαρακτήρα των μεταφορικών υπηρεσιών που παρέχονται ή από τη σημασία του σχετικού τομέα δραστηριοτήτων.</w:t>
      </w:r>
    </w:p>
    <w:p w:rsidR="00296370" w:rsidRPr="00296370" w:rsidRDefault="00296370" w:rsidP="00296370">
      <w:pPr>
        <w:spacing w:line="240" w:lineRule="auto"/>
        <w:rPr>
          <w:rFonts w:asciiTheme="majorHAnsi" w:hAnsiTheme="majorHAnsi"/>
        </w:rPr>
      </w:pPr>
      <w:r w:rsidRPr="00296370">
        <w:rPr>
          <w:rFonts w:asciiTheme="majorHAnsi" w:hAnsiTheme="majorHAnsi"/>
        </w:rPr>
        <w:t>83.    Ωστόσο, για να μπορεί κάποια κρατική παρέμβαση να εμπίπτει στο πεδίο εφαρμογής του άρθρου 92, παράγραφος 1, της Συνθήκης, πρέπει επίσης να μπορεί να θεωρηθεί ως πλεονέκτημα χορηγούμενο στη δικαιούχο επιχείρηση, όπως αναφέρθηκε στη σκέψη 75 της παρούσας αποφάσεως.</w:t>
      </w:r>
    </w:p>
    <w:p w:rsidR="00296370" w:rsidRPr="00296370" w:rsidRDefault="00296370" w:rsidP="00296370">
      <w:pPr>
        <w:spacing w:line="240" w:lineRule="auto"/>
        <w:rPr>
          <w:rFonts w:asciiTheme="majorHAnsi" w:hAnsiTheme="majorHAnsi"/>
        </w:rPr>
      </w:pPr>
      <w:r w:rsidRPr="00296370">
        <w:rPr>
          <w:rFonts w:asciiTheme="majorHAnsi" w:hAnsiTheme="majorHAnsi"/>
        </w:rPr>
        <w:t xml:space="preserve">84.    Συναφώς, θεωρούνται ενισχύσεις οι παρεμβάσεις εκείνες οι οποίες, υπό οποιαδήποτε μορφή, ενδέχεται να ευνοήσουν επιχειρήσεις, άμεσα ή έμμεσα (απόφαση της 15ης Ιουλίου 1964, 6/64, </w:t>
      </w:r>
      <w:proofErr w:type="spellStart"/>
      <w:r w:rsidRPr="00296370">
        <w:rPr>
          <w:rFonts w:asciiTheme="majorHAnsi" w:hAnsiTheme="majorHAnsi"/>
        </w:rPr>
        <w:t>Costa</w:t>
      </w:r>
      <w:proofErr w:type="spellEnd"/>
      <w:r w:rsidRPr="00296370">
        <w:rPr>
          <w:rFonts w:asciiTheme="majorHAnsi" w:hAnsiTheme="majorHAnsi"/>
        </w:rPr>
        <w:t>, Συλλογή τόμος 1954-1964, σ. 1191) ή οι οποίες πρέπει να θεωρηθούν ως οικονομικό όφελος το οποίο δεν θα είχε αποκομίσει η δικαιούχος επιχείρηση υπό τις συνήθεις συνθήκες της αγοράς (αποφάσεις της 11ης Ιουλίου 1996, C-39/94, SFEI κ.λπ., Συλλογή 1996, σ. I-3547, σκέψη 60, και της 29ης Απριλίου 1999, C-342/96, Ισπανία κατά Επιτροπής, Συλλογή 1999, σ. I-2459, σκέψη 41).</w:t>
      </w:r>
    </w:p>
    <w:p w:rsidR="00296370" w:rsidRPr="00296370" w:rsidRDefault="00296370" w:rsidP="00296370">
      <w:pPr>
        <w:spacing w:line="240" w:lineRule="auto"/>
        <w:rPr>
          <w:rFonts w:asciiTheme="majorHAnsi" w:hAnsiTheme="majorHAnsi"/>
        </w:rPr>
      </w:pPr>
      <w:r w:rsidRPr="00296370">
        <w:rPr>
          <w:rFonts w:asciiTheme="majorHAnsi" w:hAnsiTheme="majorHAnsi"/>
        </w:rPr>
        <w:t xml:space="preserve">85.    Εντούτοις, πρέπει να υπενθυμιστεί αυτό που έκρινε το Δικαστήριο σχετικά με την αποζημίωση που προβλέπει η οδηγία 75/439/ΕΟΚ του Συμβουλίου, της 16ης Ιουνίου 1975, περί διαθέσεως των χρησιμοποιημένων ορυκτελαίων (ΕΕ ειδ. </w:t>
      </w:r>
      <w:proofErr w:type="spellStart"/>
      <w:r w:rsidRPr="00296370">
        <w:rPr>
          <w:rFonts w:asciiTheme="majorHAnsi" w:hAnsiTheme="majorHAnsi"/>
        </w:rPr>
        <w:t>έκδ</w:t>
      </w:r>
      <w:proofErr w:type="spellEnd"/>
      <w:r w:rsidRPr="00296370">
        <w:rPr>
          <w:rFonts w:asciiTheme="majorHAnsi" w:hAnsiTheme="majorHAnsi"/>
        </w:rPr>
        <w:t xml:space="preserve">. 15/001, σ. 77). Η αποζημίωση αυτή μπορούσε να χορηγηθεί σε επιχειρήσεις συλλογής ή/και διαθέσεως χρησιμοποιημένων ορυκτελαίων ως αντιπαροχή έναντι των υποχρεώσεων συλλογής ή/και διαθέσεως τέτοιων ορυκτελαίων που τους επέβαλε το κράτος μέλος, υπό την προϋπόθεση να μην υπερβαίνουν τα μη καλυπτόμενα και πράγματι διαπιστωνόμενα ετήσια έξοδα των επιχειρήσεων, λαμβανομένου υπόψη ενός ευλόγου κέρδους. Το Δικαστήριο έκρινε ότι μια τέτοια αποζημίωση δεν συνιστά ενίσχυση υπό την </w:t>
      </w:r>
      <w:proofErr w:type="spellStart"/>
      <w:r w:rsidRPr="00296370">
        <w:rPr>
          <w:rFonts w:asciiTheme="majorHAnsi" w:hAnsiTheme="majorHAnsi"/>
        </w:rPr>
        <w:t>την</w:t>
      </w:r>
      <w:proofErr w:type="spellEnd"/>
      <w:r w:rsidRPr="00296370">
        <w:rPr>
          <w:rFonts w:asciiTheme="majorHAnsi" w:hAnsiTheme="majorHAnsi"/>
        </w:rPr>
        <w:t xml:space="preserve"> έννοια των άρθρων 92 επ. της Συνθήκης, αλλά τίμημα που αποτελεί το αντάλλαγμα για υπηρεσίες που παρέχουν οι επιχειρήσεις συλλογής ή διαθέσεως (βλ. την απόφαση της 7ης Φεβρουαρίου 1985, 240/83, ADBHU, Συλλογή 1985, σ. 531, σκέψεις 3, τελευταία περίοδος, και 18).</w:t>
      </w:r>
    </w:p>
    <w:p w:rsidR="00296370" w:rsidRPr="00296370" w:rsidRDefault="00296370" w:rsidP="00296370">
      <w:pPr>
        <w:spacing w:line="240" w:lineRule="auto"/>
        <w:rPr>
          <w:rFonts w:asciiTheme="majorHAnsi" w:hAnsiTheme="majorHAnsi"/>
        </w:rPr>
      </w:pPr>
      <w:r w:rsidRPr="00296370">
        <w:rPr>
          <w:rFonts w:asciiTheme="majorHAnsi" w:hAnsiTheme="majorHAnsi"/>
        </w:rPr>
        <w:t xml:space="preserve">86.    Ομοίως, το Δικαστήριο έχει κρίνει ότι, καθόσον ο φόρος επί των αμέσων πωλήσεων που επιβάλλεται στα φαρμακευτικά εργαστήρια αντιστοιχεί στα επιπλέον έξοδα που πράγματι βαρύνουν τους χονδρεμπόρους για την εκπλήρωση των υποχρεώσεών τους δημόσιας υπηρεσίας, η μη υποβολή των χονδρεμπόρων αυτών στον εν λόγω φόρο μπορεί να θεωρηθεί ως αντιπαροχή για </w:t>
      </w:r>
      <w:proofErr w:type="spellStart"/>
      <w:r w:rsidRPr="00296370">
        <w:rPr>
          <w:rFonts w:asciiTheme="majorHAnsi" w:hAnsiTheme="majorHAnsi"/>
        </w:rPr>
        <w:t>πραγματοποιηθείσες</w:t>
      </w:r>
      <w:proofErr w:type="spellEnd"/>
      <w:r w:rsidRPr="00296370">
        <w:rPr>
          <w:rFonts w:asciiTheme="majorHAnsi" w:hAnsiTheme="majorHAnsi"/>
        </w:rPr>
        <w:t xml:space="preserve"> παροχές και, συνεπώς, ως μέτρο που δεν συνιστά κρατική ενίσχυση υπό την έννοια του άρθρου 92 της Συνθήκης. Το Δικαστήριο δέχθηκε ότι, όταν πληρούται αυτή η προϋπόθεση αντιστοιχίας μεταξύ της </w:t>
      </w:r>
      <w:proofErr w:type="spellStart"/>
      <w:r w:rsidRPr="00296370">
        <w:rPr>
          <w:rFonts w:asciiTheme="majorHAnsi" w:hAnsiTheme="majorHAnsi"/>
        </w:rPr>
        <w:t>χορηγηθείσας</w:t>
      </w:r>
      <w:proofErr w:type="spellEnd"/>
      <w:r w:rsidRPr="00296370">
        <w:rPr>
          <w:rFonts w:asciiTheme="majorHAnsi" w:hAnsiTheme="majorHAnsi"/>
        </w:rPr>
        <w:t xml:space="preserve"> απαλλαγής και του επιπλέον κόστους, οι χονδρέμποροι δεν απολαύουν, στην πραγματικότητα, πλεονεκτήματος υπό την έννοια του άρθρου 92, παράγραφος 1, της Συνθήκης, διότι το εν λόγω μέτρο έχει μόνον ως αποτέλεσμα να θέτει τους χονδρεμπόρους και τα φαρμακευτικά εργαστήρια σε παρεμφερείς συνθήκες ανταγωνισμού (προαναφερθείσα απόφαση Ferring, σκέψη 27).</w:t>
      </w:r>
    </w:p>
    <w:p w:rsidR="00296370" w:rsidRPr="00296370" w:rsidRDefault="00296370" w:rsidP="00296370">
      <w:pPr>
        <w:spacing w:line="240" w:lineRule="auto"/>
        <w:rPr>
          <w:rFonts w:asciiTheme="majorHAnsi" w:hAnsiTheme="majorHAnsi"/>
        </w:rPr>
      </w:pPr>
      <w:r w:rsidRPr="00296370">
        <w:rPr>
          <w:rFonts w:asciiTheme="majorHAnsi" w:hAnsiTheme="majorHAnsi"/>
        </w:rPr>
        <w:t xml:space="preserve">87.    Από την ως άνω νομολογία προκύπτει ότι, στον βαθμό που μια κρατική παρέμβαση πρέπει να θεωρηθεί ως αντιστάθμιση αποτελούσα την αντιπαροχή έναντι παρεχομένων εκ μέρους των δικαιούχων επιχειρήσεων υπηρεσιών προς εκπλήρωση υποχρεώσεων δημόσιας υπηρεσίας, έτσι ώστε οι επιχειρήσεις αυτές να μην επωφελούνται στην πραγματικότητα από ένα οικονομικό πλεονέκτημα, με </w:t>
      </w:r>
      <w:r w:rsidRPr="00296370">
        <w:rPr>
          <w:rFonts w:asciiTheme="majorHAnsi" w:hAnsiTheme="majorHAnsi"/>
        </w:rPr>
        <w:lastRenderedPageBreak/>
        <w:t>αποτέλεσμα να μην περιέρχονται λόγω της ως άνω παρεμβάσεως οι επιχειρήσεις αυτές σε ευνοϊκότερη θέση ως προς τον ανταγωνισμό σε σχέση με τις επιχειρήσεις που τις ανταγωνίζονται, η παρέμβαση αυτή δεν εμπίπτει στο πεδίο εφαρμογής του άρθρου 92, παράγραφος 1, της Συνθήκης.</w:t>
      </w:r>
    </w:p>
    <w:p w:rsidR="00296370" w:rsidRPr="00296370" w:rsidRDefault="00296370" w:rsidP="00296370">
      <w:pPr>
        <w:spacing w:line="240" w:lineRule="auto"/>
        <w:rPr>
          <w:rFonts w:asciiTheme="majorHAnsi" w:hAnsiTheme="majorHAnsi"/>
        </w:rPr>
      </w:pPr>
      <w:r w:rsidRPr="00296370">
        <w:rPr>
          <w:rFonts w:asciiTheme="majorHAnsi" w:hAnsiTheme="majorHAnsi"/>
        </w:rPr>
        <w:t>88.    Εντούτοις, για να μην πρέπει να χαρακτηριστεί ως κρατική ενίσχυση μια τέτοια αντιστάθμιση σε συγκεκριμένη περίπτωση, πρέπει να πληρούνται ορισμένες προϋποθέσεις.</w:t>
      </w:r>
    </w:p>
    <w:p w:rsidR="00296370" w:rsidRPr="00296370" w:rsidRDefault="00296370" w:rsidP="00296370">
      <w:pPr>
        <w:spacing w:line="240" w:lineRule="auto"/>
        <w:rPr>
          <w:rFonts w:asciiTheme="majorHAnsi" w:hAnsiTheme="majorHAnsi"/>
        </w:rPr>
      </w:pPr>
      <w:r w:rsidRPr="00296370">
        <w:rPr>
          <w:rFonts w:asciiTheme="majorHAnsi" w:hAnsiTheme="majorHAnsi"/>
        </w:rPr>
        <w:t xml:space="preserve">89.    Πρώτον, η δικαιούχος επιχείρηση πρέπει να είναι πράγματι επιφορτισμένη με την εκπλήρωση υποχρεώσεως παροχής δημόσιας υπηρεσίας, ενώ η υποχρέωση αυτή πρέπει να είναι σαφώς καθορισμένη. Στην υπόθεση της κύριας δίκης, επομένως, το αιτούν δικαστήριο θα πρέπει να εξετάσει αν η υποχρέωση παροχής δημόσιας υπηρεσίας που επιβλήθηκε στην </w:t>
      </w:r>
      <w:proofErr w:type="spellStart"/>
      <w:r w:rsidRPr="00296370">
        <w:rPr>
          <w:rFonts w:asciiTheme="majorHAnsi" w:hAnsiTheme="majorHAnsi"/>
        </w:rPr>
        <w:t>Altmark</w:t>
      </w:r>
      <w:proofErr w:type="spellEnd"/>
      <w:r w:rsidRPr="00296370">
        <w:rPr>
          <w:rFonts w:asciiTheme="majorHAnsi" w:hAnsiTheme="majorHAnsi"/>
        </w:rPr>
        <w:t xml:space="preserve"> </w:t>
      </w:r>
      <w:proofErr w:type="spellStart"/>
      <w:r w:rsidRPr="00296370">
        <w:rPr>
          <w:rFonts w:asciiTheme="majorHAnsi" w:hAnsiTheme="majorHAnsi"/>
        </w:rPr>
        <w:t>Trans</w:t>
      </w:r>
      <w:proofErr w:type="spellEnd"/>
      <w:r w:rsidRPr="00296370">
        <w:rPr>
          <w:rFonts w:asciiTheme="majorHAnsi" w:hAnsiTheme="majorHAnsi"/>
        </w:rPr>
        <w:t xml:space="preserve"> προκύπτει σαφώς από την εθνική νομοθεσία ή/και από τις επίμαχες στην κύρια δίκη άδειες.</w:t>
      </w:r>
    </w:p>
    <w:p w:rsidR="00296370" w:rsidRPr="00296370" w:rsidRDefault="00296370" w:rsidP="00296370">
      <w:pPr>
        <w:spacing w:line="240" w:lineRule="auto"/>
        <w:rPr>
          <w:rFonts w:asciiTheme="majorHAnsi" w:hAnsiTheme="majorHAnsi"/>
        </w:rPr>
      </w:pPr>
      <w:r w:rsidRPr="00296370">
        <w:rPr>
          <w:rFonts w:asciiTheme="majorHAnsi" w:hAnsiTheme="majorHAnsi"/>
        </w:rPr>
        <w:t>90.    Δεύτερον, οι βασικές παράμετροι βάσει των οποίων υπολογίζεται η αντιστάθμιση πρέπει να έχουν προσδιοριστεί προηγουμένως αντικειμενικά και με διαφάνεια, με σκοπό να αποφευχθεί το ενδεχόμενο να περιλαμβάνει η αντιστάθμιση αυτή ένα οικονομικό πλεονέκτημα ικανό να ευνοήσει τη δικαιούχο επιχείρηση έναντι των ανταγωνιστριών της.</w:t>
      </w:r>
    </w:p>
    <w:p w:rsidR="00296370" w:rsidRPr="00296370" w:rsidRDefault="00296370" w:rsidP="00296370">
      <w:pPr>
        <w:spacing w:line="240" w:lineRule="auto"/>
        <w:rPr>
          <w:rFonts w:asciiTheme="majorHAnsi" w:hAnsiTheme="majorHAnsi"/>
        </w:rPr>
      </w:pPr>
      <w:r w:rsidRPr="00296370">
        <w:rPr>
          <w:rFonts w:asciiTheme="majorHAnsi" w:hAnsiTheme="majorHAnsi"/>
        </w:rPr>
        <w:t xml:space="preserve">91.    </w:t>
      </w:r>
      <w:r w:rsidR="00B72F40">
        <w:rPr>
          <w:rFonts w:asciiTheme="majorHAnsi" w:hAnsiTheme="majorHAnsi"/>
        </w:rPr>
        <w:t>Έ</w:t>
      </w:r>
      <w:r w:rsidRPr="00296370">
        <w:rPr>
          <w:rFonts w:asciiTheme="majorHAnsi" w:hAnsiTheme="majorHAnsi"/>
        </w:rPr>
        <w:t>τσι, η εκ μέρους κράτους μέλους αντιστάθμιση των ζημιών επιχειρήσεως χωρίς προηγούμενο καθορισμό των παραμέτρων μιας τέτοιας αντισταθμίσεως, όταν αποδεικνύεται εκ των υστέρων ότι η εκμετάλλευση της παροχής ορισμένων υπηρεσιών στο πλαίσιο της υποχρεωτικής παροχής δημόσιας υπηρεσίας δεν ήταν οικονομικώς βιώσιμη, συνιστά χρηματοδοτική παρέμβαση που καλύπτεται από την έννοια της ενισχύσεως του άρθρου 92, παράγραφος 1, της Συνθήκης.</w:t>
      </w:r>
    </w:p>
    <w:p w:rsidR="00296370" w:rsidRPr="00296370" w:rsidRDefault="00296370" w:rsidP="00296370">
      <w:pPr>
        <w:spacing w:line="240" w:lineRule="auto"/>
        <w:rPr>
          <w:rFonts w:asciiTheme="majorHAnsi" w:hAnsiTheme="majorHAnsi"/>
        </w:rPr>
      </w:pPr>
      <w:r w:rsidRPr="00296370">
        <w:rPr>
          <w:rFonts w:asciiTheme="majorHAnsi" w:hAnsiTheme="majorHAnsi"/>
        </w:rPr>
        <w:t>92.    Τρίτον, η αντιστάθμιση δεν μπορεί να υπερβαίνει το μέτρο του αναγκαίου για την κάλυψη του συνόλου ή μέρους των δαπανών που πραγματοποιούνται για την εκπλήρωση υποχρεώσεως παροχής δημόσιας υπηρεσίας, λαμβανομένων υπόψη των σχετικών εσόδων και ενός ευλόγου κέρδους για την εκπλήρωση των υποχρεώσεων αυτών. Η τήρηση της προϋποθέσεως αυτής είναι απαραίτητη για να εξασφαλιστεί ότι δεν χορηγείται στη δικαιούχο επιχείρηση κανένα πλεονέκτημα που νοθεύει ή απειλεί να νοθεύσει τον ανταγωνισμό, με ενίσχυση της ανταγωνιστικής θέσεως της επιχειρήσεως αυτής.</w:t>
      </w:r>
    </w:p>
    <w:p w:rsidR="00296370" w:rsidRPr="00296370" w:rsidRDefault="00296370" w:rsidP="00296370">
      <w:pPr>
        <w:spacing w:line="240" w:lineRule="auto"/>
        <w:rPr>
          <w:rFonts w:asciiTheme="majorHAnsi" w:hAnsiTheme="majorHAnsi"/>
        </w:rPr>
      </w:pPr>
      <w:r w:rsidRPr="00296370">
        <w:rPr>
          <w:rFonts w:asciiTheme="majorHAnsi" w:hAnsiTheme="majorHAnsi"/>
        </w:rPr>
        <w:t>93.    Τέταρτον, όταν η επιλογή της επιχειρήσεως στην οποία πρόκειται να ανατεθεί η εκπλήρωση υποχρεώσεως παροχής δημόσιας υπηρεσίας σε συγκεκριμένη περίπτωση δεν πραγματοποιείται στο πλαίσιο διαδικασίας συνάψεως δημοσίας συμβάσεως, παρέχουσας τη δυνατότητα επιλογής του υποψηφίου που είναι σε θέση να παράσχει τις σχετικές υπηρεσίες με το μικρότερο, για το κοινωνικό σύνολο κόστος, το επίπεδο της απαραίτητης αντισταθμίσεως πρέπει να καθορίζεται βάσει αναλύσεως των δαπανών στις οποίες θα προέβαινε μια μέση επιχείρηση, με χρηστή διαχείριση και κατάλληλα εξοπλισμένη με μεταφορικά μέσα προς ικανοποίηση των απαιτήσεων σχετικά με την παροχή δημόσιας υπηρεσίας προκειμένου να εκπληρώσει τις ως άνω υποχρεώσεις, λαμβάνοντας υπόψη τα σχετικά έσοδα και ένα εύλογο κέρδος από την εκπλήρωση των υποχρεώσεων αυτών.</w:t>
      </w:r>
    </w:p>
    <w:p w:rsidR="00296370" w:rsidRPr="00296370" w:rsidRDefault="00296370" w:rsidP="00296370">
      <w:pPr>
        <w:spacing w:line="240" w:lineRule="auto"/>
        <w:rPr>
          <w:rFonts w:asciiTheme="majorHAnsi" w:hAnsiTheme="majorHAnsi"/>
        </w:rPr>
      </w:pPr>
      <w:r w:rsidRPr="00296370">
        <w:rPr>
          <w:rFonts w:asciiTheme="majorHAnsi" w:hAnsiTheme="majorHAnsi"/>
        </w:rPr>
        <w:lastRenderedPageBreak/>
        <w:t>94.    Από τις ανωτέρω σκέψεις προκύπτει ότι, καθόσον δημόσιες επιδοτήσεις υπέρ επιχειρήσεων που έχουν ρητά επιφορτιστεί με την εκπλήρωση υποχρεώσεων παροχής δημόσιας υπηρεσίας, χορηγούμενες προς αντιστάθμιση των δαπανών που προκαλούνται από την εκπλήρωση των υποχρεώσεων αυτών, πληρούν τις προϋποθέσεις που εκτίθενται στις σκέψεις 89 έως 93 της παρούσας αποφάσεως, οι επιδοτήσεις αυτές δεν εμπίπτουν στο πεδίο εφαρμογής του άρθρου 92, παράγραφος 1, της Συνθήκης. Αντιστρόφως, η κρατική παρέμβαση που δεν πληροί μία ή περισσότερες από τις ανωτέρω προϋποθέσεις πρέπει να θεωρείται κρατική ενίσχυση υπό την έννοια της διατάξεως αυτής.</w:t>
      </w:r>
    </w:p>
    <w:p w:rsidR="00296370" w:rsidRPr="00296370" w:rsidRDefault="00296370" w:rsidP="00296370">
      <w:pPr>
        <w:spacing w:line="240" w:lineRule="auto"/>
        <w:rPr>
          <w:rFonts w:asciiTheme="majorHAnsi" w:hAnsiTheme="majorHAnsi"/>
        </w:rPr>
      </w:pPr>
      <w:r w:rsidRPr="00296370">
        <w:rPr>
          <w:rFonts w:asciiTheme="majorHAnsi" w:hAnsiTheme="majorHAnsi"/>
        </w:rPr>
        <w:t>95.    Επομένως, στο πρώτο σκέλος του προδικαστικού ερωτήματος πρέπει να δοθεί η απάντηση ότι η προϋπόθεση εφαρμογής του άρθρου 92, παράγραφος 1, της Συνθήκης, κατά την οποία η ενίσχυση πρέπει να είναι ικανή να επηρεάσει το μεταξύ κρατών μελών εμπόριο, δεν εξαρτάται από τον τοπικό ή περιφερειακό χαρακτήρα των παρεχόμενων μεταφορικών υπηρεσιών ή από τη σημασία του σχετικού τομέα δραστηριότητας.</w:t>
      </w:r>
    </w:p>
    <w:p w:rsidR="00296370" w:rsidRPr="00296370" w:rsidRDefault="00296370" w:rsidP="00296370">
      <w:pPr>
        <w:spacing w:line="240" w:lineRule="auto"/>
        <w:rPr>
          <w:rFonts w:asciiTheme="majorHAnsi" w:hAnsiTheme="majorHAnsi"/>
        </w:rPr>
      </w:pPr>
      <w:r w:rsidRPr="00296370">
        <w:rPr>
          <w:rFonts w:asciiTheme="majorHAnsi" w:hAnsiTheme="majorHAnsi"/>
        </w:rPr>
        <w:t>Εντούτοις, δημόσιες επιδοτήσεις που αποσκοπούν να παράσχουν τη δυνατότητα πραγματοποιήσεως της εκμεταλλεύσεως τακτικών συγκοινωνιακών γραμμών αστικών, προαστιακών ή περιφερειακών μεταφορών δεν καλύπτονται από τη διάταξη αυτή αν οι επιδοτήσεις αυτές πρέπει να θεωρηθούν ως αντιστάθμιση αποτελούσα την αντιπαροχή έναντι παροχών εκ μέρους των δικαιούχων επιχειρήσεων προς εκπλήρωση υποχρεώσεων παροχής δημόσιας υπηρεσίας. Προς εφαρμογή του κριτηρίου αυτού, το αιτούν δικαστήριο πρέπει να εξετάσει τη συνδρομή των ακόλουθων προϋποθέσεων:</w:t>
      </w:r>
    </w:p>
    <w:p w:rsidR="00296370" w:rsidRPr="00296370" w:rsidRDefault="00296370" w:rsidP="00296370">
      <w:pPr>
        <w:spacing w:line="240" w:lineRule="auto"/>
        <w:rPr>
          <w:rFonts w:asciiTheme="majorHAnsi" w:hAnsiTheme="majorHAnsi"/>
        </w:rPr>
      </w:pPr>
      <w:r w:rsidRPr="00296370">
        <w:rPr>
          <w:rFonts w:asciiTheme="majorHAnsi" w:hAnsiTheme="majorHAnsi"/>
        </w:rPr>
        <w:t>-    πρώτον, η δικαιούχος επιχείρηση πρέπει να είναι πράγματι επιφορτισμένη με την εκπλήρωση υποχρεώσεως παροχής δημόσιας υπηρεσίας, ενώ η υποχρέωση αυτή πρέπει να είναι σαφώς καθορισμένη·</w:t>
      </w:r>
    </w:p>
    <w:p w:rsidR="00296370" w:rsidRPr="00296370" w:rsidRDefault="00296370" w:rsidP="00296370">
      <w:pPr>
        <w:spacing w:line="240" w:lineRule="auto"/>
        <w:rPr>
          <w:rFonts w:asciiTheme="majorHAnsi" w:hAnsiTheme="majorHAnsi"/>
        </w:rPr>
      </w:pPr>
      <w:r w:rsidRPr="00296370">
        <w:rPr>
          <w:rFonts w:asciiTheme="majorHAnsi" w:hAnsiTheme="majorHAnsi"/>
        </w:rPr>
        <w:t>-    δεύτερον, οι βασικές παράμετροι βάσει των οποίων υπολογίζεται η αντιστάθμιση πρέπει να έχουν προσδιοριστεί προηγουμένως αντικειμενικά και με διαφάνεια·</w:t>
      </w:r>
    </w:p>
    <w:p w:rsidR="00296370" w:rsidRPr="00296370" w:rsidRDefault="00296370" w:rsidP="00296370">
      <w:pPr>
        <w:spacing w:line="240" w:lineRule="auto"/>
        <w:rPr>
          <w:rFonts w:asciiTheme="majorHAnsi" w:hAnsiTheme="majorHAnsi"/>
        </w:rPr>
      </w:pPr>
      <w:r w:rsidRPr="00296370">
        <w:rPr>
          <w:rFonts w:asciiTheme="majorHAnsi" w:hAnsiTheme="majorHAnsi"/>
        </w:rPr>
        <w:t>-    τρίτον, η αντιστάθμιση δεν πρέπει να υπερβαίνει το μέτρο του αναγκαίου για την κάλυψη του συνόλου ή μέρους των δαπανών που πραγματοποιούνται για την εκπλήρωση υποχρεώσεως παροχής δημόσιας υπηρεσίας, λαμβανομένων υπόψη των σχετικών εσόδων και ενός ευλόγου κέρδους σε σχέση με την εκπλήρωση των υποχρεώσεων αυτών·</w:t>
      </w:r>
    </w:p>
    <w:p w:rsidR="00296370" w:rsidRPr="00296370" w:rsidRDefault="00296370" w:rsidP="00296370">
      <w:pPr>
        <w:spacing w:line="240" w:lineRule="auto"/>
        <w:rPr>
          <w:rFonts w:asciiTheme="majorHAnsi" w:hAnsiTheme="majorHAnsi"/>
        </w:rPr>
      </w:pPr>
      <w:r w:rsidRPr="00296370">
        <w:rPr>
          <w:rFonts w:asciiTheme="majorHAnsi" w:hAnsiTheme="majorHAnsi"/>
        </w:rPr>
        <w:t>-    τέταρτον, όταν η επιλογή της επιχειρήσεως στην οποία πρόκειται να ανατεθεί η εκπλήρωση υποχρεώσεως παροχής δημόσιας υπηρεσίας δεν πραγματοποιείται στο πλαίσιο διαδικασίας συνάψεως δημοσίας συμβάσεως, το επίπεδο της απαραίτητης αντισταθμίσεως πρέπει να καθορίζεται βάσει αναλύσεως των δαπανών στις οποίες θα προέβαινε μια μέση επιχείρηση, με χρηστή διαχείριση και κατάλληλα εξοπλισμένη με μεταφορικά μέσα προς ικανοποίηση των απαιτήσεων σχετικά με την παροχή δημόσιας υπηρεσίας προκειμένου να εκπληρώσει τις ως άνω υποχρεώσεις, λαμβάνοντας υπόψη τα σχετικά έσοδα και ένα εύλογο κέρδος από την εκπλήρωση των υποχρεώσεων αυτών.</w:t>
      </w:r>
    </w:p>
    <w:p w:rsidR="00296370" w:rsidRPr="00792167" w:rsidRDefault="00296370" w:rsidP="00296370">
      <w:pPr>
        <w:spacing w:line="240" w:lineRule="auto"/>
        <w:rPr>
          <w:rFonts w:asciiTheme="majorHAnsi" w:hAnsiTheme="majorHAnsi"/>
        </w:rPr>
      </w:pPr>
      <w:r w:rsidRPr="00B72F40">
        <w:rPr>
          <w:rFonts w:asciiTheme="majorHAnsi" w:hAnsiTheme="majorHAnsi"/>
          <w:b/>
        </w:rPr>
        <w:t>Επί του δευτέρου σκέλους του προδικαστικού ερωτήματος</w:t>
      </w:r>
      <w:r w:rsidR="00792167">
        <w:rPr>
          <w:rFonts w:asciiTheme="majorHAnsi" w:hAnsiTheme="majorHAnsi"/>
        </w:rPr>
        <w:t xml:space="preserve"> [...]</w:t>
      </w:r>
    </w:p>
    <w:p w:rsidR="00792167" w:rsidRDefault="00296370" w:rsidP="00296370">
      <w:pPr>
        <w:spacing w:line="240" w:lineRule="auto"/>
        <w:rPr>
          <w:rFonts w:asciiTheme="majorHAnsi" w:hAnsiTheme="majorHAnsi"/>
        </w:rPr>
      </w:pPr>
      <w:r w:rsidRPr="00B72F40">
        <w:rPr>
          <w:rFonts w:asciiTheme="majorHAnsi" w:hAnsiTheme="majorHAnsi"/>
          <w:b/>
        </w:rPr>
        <w:t>Παρατηρήσεις που κατατέθηκαν στο Δικαστήριο</w:t>
      </w:r>
      <w:r w:rsidR="00B72F40">
        <w:rPr>
          <w:rFonts w:asciiTheme="majorHAnsi" w:hAnsiTheme="majorHAnsi"/>
        </w:rPr>
        <w:t xml:space="preserve"> […]</w:t>
      </w:r>
    </w:p>
    <w:p w:rsidR="00296370" w:rsidRPr="00792167" w:rsidRDefault="00296370" w:rsidP="00296370">
      <w:pPr>
        <w:spacing w:line="240" w:lineRule="auto"/>
        <w:rPr>
          <w:rFonts w:asciiTheme="majorHAnsi" w:hAnsiTheme="majorHAnsi"/>
        </w:rPr>
      </w:pPr>
      <w:r w:rsidRPr="00B72F40">
        <w:rPr>
          <w:rFonts w:asciiTheme="majorHAnsi" w:hAnsiTheme="majorHAnsi"/>
          <w:b/>
        </w:rPr>
        <w:lastRenderedPageBreak/>
        <w:t>Η απάντηση του Δικαστηρίου</w:t>
      </w:r>
      <w:r w:rsidR="00792167">
        <w:rPr>
          <w:rFonts w:asciiTheme="majorHAnsi" w:hAnsiTheme="majorHAnsi"/>
        </w:rPr>
        <w:t xml:space="preserve"> [...]</w:t>
      </w:r>
    </w:p>
    <w:p w:rsidR="00296370" w:rsidRPr="00296370" w:rsidRDefault="00296370" w:rsidP="00296370">
      <w:pPr>
        <w:spacing w:line="240" w:lineRule="auto"/>
        <w:rPr>
          <w:rFonts w:asciiTheme="majorHAnsi" w:hAnsiTheme="majorHAnsi"/>
        </w:rPr>
      </w:pPr>
      <w:r w:rsidRPr="00B72F40">
        <w:rPr>
          <w:rFonts w:asciiTheme="majorHAnsi" w:hAnsiTheme="majorHAnsi"/>
          <w:b/>
        </w:rPr>
        <w:t>Επί των δικαστικών εξόδων</w:t>
      </w:r>
      <w:r w:rsidR="00B72F40">
        <w:rPr>
          <w:rFonts w:asciiTheme="majorHAnsi" w:hAnsiTheme="majorHAnsi"/>
        </w:rPr>
        <w:t xml:space="preserve"> […]</w:t>
      </w:r>
    </w:p>
    <w:p w:rsidR="00296370" w:rsidRPr="00296370" w:rsidRDefault="00296370" w:rsidP="00296370">
      <w:pPr>
        <w:spacing w:line="240" w:lineRule="auto"/>
        <w:rPr>
          <w:rFonts w:asciiTheme="majorHAnsi" w:hAnsiTheme="majorHAnsi"/>
        </w:rPr>
      </w:pPr>
      <w:r w:rsidRPr="00296370">
        <w:rPr>
          <w:rFonts w:asciiTheme="majorHAnsi" w:hAnsiTheme="majorHAnsi"/>
        </w:rPr>
        <w:t>Για τους λόγους αυτούς,</w:t>
      </w:r>
    </w:p>
    <w:p w:rsidR="00296370" w:rsidRPr="00296370" w:rsidRDefault="00296370" w:rsidP="00296370">
      <w:pPr>
        <w:spacing w:line="240" w:lineRule="auto"/>
        <w:rPr>
          <w:rFonts w:asciiTheme="majorHAnsi" w:hAnsiTheme="majorHAnsi"/>
        </w:rPr>
      </w:pPr>
      <w:r w:rsidRPr="00296370">
        <w:rPr>
          <w:rFonts w:asciiTheme="majorHAnsi" w:hAnsiTheme="majorHAnsi"/>
        </w:rPr>
        <w:t>ΤΟ ΔΙΚΑΣΤΗΡΙΟ,</w:t>
      </w:r>
    </w:p>
    <w:p w:rsidR="00296370" w:rsidRPr="00296370" w:rsidRDefault="00296370" w:rsidP="00296370">
      <w:pPr>
        <w:spacing w:line="240" w:lineRule="auto"/>
        <w:rPr>
          <w:rFonts w:asciiTheme="majorHAnsi" w:hAnsiTheme="majorHAnsi"/>
        </w:rPr>
      </w:pPr>
      <w:r w:rsidRPr="00296370">
        <w:rPr>
          <w:rFonts w:asciiTheme="majorHAnsi" w:hAnsiTheme="majorHAnsi"/>
        </w:rPr>
        <w:t xml:space="preserve">κρίνοντας επί του ερωτήματος που του υπέβαλε με διάταξη της 6ης Απριλίου 2000, το </w:t>
      </w:r>
      <w:proofErr w:type="spellStart"/>
      <w:r w:rsidRPr="00296370">
        <w:rPr>
          <w:rFonts w:asciiTheme="majorHAnsi" w:hAnsiTheme="majorHAnsi"/>
        </w:rPr>
        <w:t>Bundesverwaltungsgericht</w:t>
      </w:r>
      <w:proofErr w:type="spellEnd"/>
      <w:r w:rsidRPr="00296370">
        <w:rPr>
          <w:rFonts w:asciiTheme="majorHAnsi" w:hAnsiTheme="majorHAnsi"/>
        </w:rPr>
        <w:t>, αποφαίνεται:</w:t>
      </w:r>
      <w:r w:rsidR="00792167">
        <w:rPr>
          <w:rFonts w:asciiTheme="majorHAnsi" w:hAnsiTheme="majorHAnsi"/>
        </w:rPr>
        <w:t xml:space="preserve"> [...]</w:t>
      </w:r>
    </w:p>
    <w:p w:rsidR="00296370" w:rsidRPr="00296370" w:rsidRDefault="00296370" w:rsidP="00296370">
      <w:pPr>
        <w:spacing w:line="240" w:lineRule="auto"/>
        <w:rPr>
          <w:rFonts w:asciiTheme="majorHAnsi" w:hAnsiTheme="majorHAnsi"/>
        </w:rPr>
      </w:pPr>
      <w:r w:rsidRPr="00296370">
        <w:rPr>
          <w:rFonts w:asciiTheme="majorHAnsi" w:hAnsiTheme="majorHAnsi"/>
        </w:rPr>
        <w:t>2)    Η προϋπόθεση εφαρμογής του άρθρου 92, παράγραφος 1, της Συνθήκης, κατά την οποία η ενίσχυση πρέπει να είναι ικανή να επηρεάσει το μεταξύ κρατών μελών εμπόριο, δεν εξαρτάται από τον τοπικό ή περιφερειακό χαρακτήρα των παρεχόμενων μεταφορικών υπηρεσιών ή από τη σημασία του σχετικού τομέα δραστηριότητας.</w:t>
      </w:r>
      <w:r w:rsidR="00B72F40">
        <w:rPr>
          <w:rFonts w:asciiTheme="majorHAnsi" w:hAnsiTheme="majorHAnsi"/>
        </w:rPr>
        <w:t xml:space="preserve"> </w:t>
      </w:r>
      <w:r w:rsidRPr="00296370">
        <w:rPr>
          <w:rFonts w:asciiTheme="majorHAnsi" w:hAnsiTheme="majorHAnsi"/>
        </w:rPr>
        <w:t xml:space="preserve">    Εντούτοις, δημόσιες επιδοτήσεις που αποσκοπούν να παράσχουν τη δυνατότητα πραγματοποιήσεως της εκμεταλλεύσεως τακτικών συγκοινωνιακών γραμμών αστικών, προαστιακών ή περιφερειακών μεταφορών δεν καλύπτονται από τη διάταξη αυτή καθόσον οι επιδοτήσεις αυτές πρέπει να θεωρούνται ως αντιστάθμιση αποτελούσα την αντιπαροχή έναντι παροχών εκ μέρους των δικαιούχων επιχειρήσεων προς εκπλήρωση υποχρεώσεων παροχής δημόσιας υπηρεσίας. Προς εφαρμογή του κριτηρίου αυτού, το αιτούν δικαστήριο πρέπει να εξετάσει τη συνδρομή των ακόλουθων προϋποθέσεων:</w:t>
      </w:r>
      <w:r w:rsidR="00B72F40">
        <w:rPr>
          <w:rFonts w:asciiTheme="majorHAnsi" w:hAnsiTheme="majorHAnsi"/>
        </w:rPr>
        <w:t xml:space="preserve"> </w:t>
      </w:r>
    </w:p>
    <w:p w:rsidR="00296370" w:rsidRPr="00296370" w:rsidRDefault="00296370" w:rsidP="00296370">
      <w:pPr>
        <w:spacing w:line="240" w:lineRule="auto"/>
        <w:rPr>
          <w:rFonts w:asciiTheme="majorHAnsi" w:hAnsiTheme="majorHAnsi"/>
        </w:rPr>
      </w:pPr>
      <w:r w:rsidRPr="00296370">
        <w:rPr>
          <w:rFonts w:asciiTheme="majorHAnsi" w:hAnsiTheme="majorHAnsi"/>
        </w:rPr>
        <w:t xml:space="preserve">    -    πρώτον, η δικαιούχος επιχείρηση πρέπει να είναι πράγματι επιφορτισμένη με την εκπλήρωση υποχρεώσεως παροχής δημόσιας υπηρεσίας, ενώ η υποχρέωση αυτή πρέπει να είναι σαφώς καθορισμένη·</w:t>
      </w:r>
    </w:p>
    <w:p w:rsidR="00296370" w:rsidRPr="00296370" w:rsidRDefault="00296370" w:rsidP="00296370">
      <w:pPr>
        <w:spacing w:line="240" w:lineRule="auto"/>
        <w:rPr>
          <w:rFonts w:asciiTheme="majorHAnsi" w:hAnsiTheme="majorHAnsi"/>
        </w:rPr>
      </w:pPr>
      <w:r w:rsidRPr="00296370">
        <w:rPr>
          <w:rFonts w:asciiTheme="majorHAnsi" w:hAnsiTheme="majorHAnsi"/>
        </w:rPr>
        <w:t xml:space="preserve">    -    δεύτερον, οι βασικές παράμετροι βάσει των οποίων υπολογίζεται η αντιστάθμιση πρέπει να έχουν προσδιοριστεί προηγουμένως αντικειμενικά και με διαφάνεια·</w:t>
      </w:r>
    </w:p>
    <w:p w:rsidR="00296370" w:rsidRPr="00296370" w:rsidRDefault="00296370" w:rsidP="00296370">
      <w:pPr>
        <w:spacing w:line="240" w:lineRule="auto"/>
        <w:rPr>
          <w:rFonts w:asciiTheme="majorHAnsi" w:hAnsiTheme="majorHAnsi"/>
        </w:rPr>
      </w:pPr>
      <w:r w:rsidRPr="00296370">
        <w:rPr>
          <w:rFonts w:asciiTheme="majorHAnsi" w:hAnsiTheme="majorHAnsi"/>
        </w:rPr>
        <w:t xml:space="preserve">    -    τρίτον, η αντιστάθμιση δεν μπορεί να υπερβαίνει το μέτρο του αναγκαίου για την κάλυψη του συνόλου ή μέρους των δαπανών που πραγματοποιούνται για την εκπλήρωση υποχρεώσεως παροχής δημόσιας υπηρεσίας, λαμβανομένων υπόψη των σχετικών εσόδων και ενός ευλόγου κέρδους σε σχέση με την εκπλήρωση των υποχρεώσεων αυτών·</w:t>
      </w:r>
      <w:r w:rsidR="00B72F40">
        <w:rPr>
          <w:rFonts w:asciiTheme="majorHAnsi" w:hAnsiTheme="majorHAnsi"/>
        </w:rPr>
        <w:t xml:space="preserve"> </w:t>
      </w:r>
    </w:p>
    <w:p w:rsidR="00296370" w:rsidRPr="00296370" w:rsidRDefault="00296370" w:rsidP="00296370">
      <w:pPr>
        <w:spacing w:line="240" w:lineRule="auto"/>
        <w:rPr>
          <w:rFonts w:asciiTheme="majorHAnsi" w:hAnsiTheme="majorHAnsi"/>
        </w:rPr>
      </w:pPr>
      <w:r w:rsidRPr="00296370">
        <w:rPr>
          <w:rFonts w:asciiTheme="majorHAnsi" w:hAnsiTheme="majorHAnsi"/>
        </w:rPr>
        <w:t xml:space="preserve">    -    τέταρτον, όταν η επιλογή της επιχειρήσεως στην οποία πρόκειται να ανατεθεί η εκπλήρωση υποχρεώσεως παροχής δημόσιας υπηρεσίας σε συγκεκριμένη περίπτωση δεν πραγματοποιείται στο πλαίσιο διαδικασίας συνάψεως δημοσίας συμβάσεως, παρέχουσας τη δυνατότητα επιλογής του υποψηφίου που είναι σε θέση να παράσχει τις σχετικές υπηρεσίες με το μικρότερο για το κοινωνικό σύνολο κόστος, το επίπεδο της απαραίτητης αντισταθμίσεως πρέπει να καθορίζεται βάσει αναλύσεως των δαπανών στις οποίες θα προέβαινε μια μέση επιχείρηση, με χρηστή διαχείριση και κατάλληλα εξοπλισμένη με μεταφορικά μέσα προς ικανοποίηση των απαιτήσεων σχετικά με την παροχή δημόσιας υπηρεσίας προκειμένου να εκπληρώσει τις ως άνω υποχρεώσεις, λαμβάνοντας υπόψη τα σχετικά έσοδα και ένα εύλογο κέρδος από την εκπλήρωση των υποχρεώσεων αυτών.</w:t>
      </w:r>
      <w:r w:rsidR="00B72F40">
        <w:rPr>
          <w:rFonts w:asciiTheme="majorHAnsi" w:hAnsiTheme="majorHAnsi"/>
        </w:rPr>
        <w:t xml:space="preserve"> </w:t>
      </w:r>
      <w:bookmarkStart w:id="0" w:name="_GoBack"/>
      <w:bookmarkEnd w:id="0"/>
    </w:p>
    <w:sectPr w:rsidR="00296370" w:rsidRPr="002963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70"/>
    <w:rsid w:val="00015EE1"/>
    <w:rsid w:val="000558EC"/>
    <w:rsid w:val="00286A43"/>
    <w:rsid w:val="00287D9B"/>
    <w:rsid w:val="00296370"/>
    <w:rsid w:val="00387A51"/>
    <w:rsid w:val="00463ECF"/>
    <w:rsid w:val="00532E54"/>
    <w:rsid w:val="00792167"/>
    <w:rsid w:val="00AA1649"/>
    <w:rsid w:val="00B72F40"/>
    <w:rsid w:val="00C91F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FEB1"/>
  <w15:chartTrackingRefBased/>
  <w15:docId w15:val="{8A0A3A8A-E69B-4E7E-AA67-48BFF39C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86A43"/>
    <w:pPr>
      <w:spacing w:after="120" w:line="36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3095</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irelena</dc:creator>
  <cp:keywords/>
  <dc:description/>
  <cp:lastModifiedBy>Irilena Alexopoulou</cp:lastModifiedBy>
  <cp:revision>11</cp:revision>
  <dcterms:created xsi:type="dcterms:W3CDTF">2017-03-12T15:09:00Z</dcterms:created>
  <dcterms:modified xsi:type="dcterms:W3CDTF">2017-03-13T14:22:00Z</dcterms:modified>
</cp:coreProperties>
</file>