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6B" w:rsidRPr="00A40D6B" w:rsidRDefault="00A40D6B" w:rsidP="000C43BD">
      <w:pPr>
        <w:jc w:val="center"/>
        <w:rPr>
          <w:rFonts w:asciiTheme="majorHAnsi" w:hAnsiTheme="majorHAnsi" w:cstheme="majorHAnsi"/>
        </w:rPr>
      </w:pPr>
      <w:r w:rsidRPr="00A40D6B">
        <w:rPr>
          <w:rFonts w:asciiTheme="majorHAnsi" w:hAnsiTheme="majorHAnsi" w:cstheme="majorHAnsi"/>
        </w:rPr>
        <w:t>ΑΠΟΦΑΣΗ ΤΟΥ ΔΙΚΑΣΤΗΡΙΟΥ (τμήμα μείζονος συνθέσεως)</w:t>
      </w:r>
    </w:p>
    <w:p w:rsidR="00A40D6B" w:rsidRPr="00A40D6B" w:rsidRDefault="000F5EDA" w:rsidP="00E42B7E">
      <w:pPr>
        <w:jc w:val="center"/>
        <w:rPr>
          <w:rFonts w:asciiTheme="majorHAnsi" w:hAnsiTheme="majorHAnsi" w:cstheme="majorHAnsi"/>
        </w:rPr>
      </w:pPr>
      <w:r>
        <w:rPr>
          <w:rFonts w:asciiTheme="majorHAnsi" w:hAnsiTheme="majorHAnsi" w:cstheme="majorHAnsi"/>
        </w:rPr>
        <w:t>της 16ης Δεκεμβρίου 2008 (απόσπασμα)</w:t>
      </w:r>
      <w:bookmarkStart w:id="0" w:name="_GoBack"/>
      <w:bookmarkEnd w:id="0"/>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«Συμβάσεις δημοσίων έργων – Οδηγία 93/37/ΕΟΚ – Άρθρο 24 – Λόγοι αποκλεισμού από τη συμμετοχή σε διαγωνισμό – Εθνικά μέτρα </w:t>
      </w:r>
      <w:proofErr w:type="spellStart"/>
      <w:r w:rsidRPr="00A40D6B">
        <w:rPr>
          <w:rFonts w:asciiTheme="majorHAnsi" w:hAnsiTheme="majorHAnsi" w:cstheme="majorHAnsi"/>
        </w:rPr>
        <w:t>θεσπίζοντα</w:t>
      </w:r>
      <w:proofErr w:type="spellEnd"/>
      <w:r w:rsidRPr="00A40D6B">
        <w:rPr>
          <w:rFonts w:asciiTheme="majorHAnsi" w:hAnsiTheme="majorHAnsi" w:cstheme="majorHAnsi"/>
        </w:rPr>
        <w:t xml:space="preserve"> ασυμβίβαστο μεταξύ του τομέα των δημοσίων έργων και του τομέα των μέσων ενημέρωσης»</w:t>
      </w:r>
    </w:p>
    <w:p w:rsidR="00A40D6B" w:rsidRPr="00A40D6B" w:rsidRDefault="00A40D6B" w:rsidP="00A40D6B">
      <w:pPr>
        <w:rPr>
          <w:rFonts w:asciiTheme="majorHAnsi" w:hAnsiTheme="majorHAnsi" w:cstheme="majorHAnsi"/>
        </w:rPr>
      </w:pPr>
      <w:r w:rsidRPr="000C43BD">
        <w:rPr>
          <w:rFonts w:asciiTheme="majorHAnsi" w:hAnsiTheme="majorHAnsi" w:cstheme="majorHAnsi"/>
          <w:b/>
        </w:rPr>
        <w:t>Στην υπόθεση C</w:t>
      </w:r>
      <w:r w:rsidRPr="000C43BD">
        <w:rPr>
          <w:rFonts w:ascii="Cambria Math" w:hAnsi="Cambria Math" w:cs="Cambria Math"/>
          <w:b/>
        </w:rPr>
        <w:t>‑</w:t>
      </w:r>
      <w:r w:rsidRPr="000C43BD">
        <w:rPr>
          <w:rFonts w:asciiTheme="majorHAnsi" w:hAnsiTheme="majorHAnsi" w:cstheme="majorHAnsi"/>
          <w:b/>
        </w:rPr>
        <w:t>213/07</w:t>
      </w:r>
      <w:r w:rsidRPr="00A40D6B">
        <w:rPr>
          <w:rFonts w:asciiTheme="majorHAnsi" w:hAnsiTheme="majorHAnsi" w:cstheme="majorHAnsi"/>
        </w:rPr>
        <w:t>,</w:t>
      </w:r>
    </w:p>
    <w:p w:rsidR="00A40D6B" w:rsidRPr="000C43BD" w:rsidRDefault="00A40D6B" w:rsidP="00A40D6B">
      <w:pPr>
        <w:rPr>
          <w:rFonts w:asciiTheme="majorHAnsi" w:hAnsiTheme="majorHAnsi" w:cstheme="majorHAnsi"/>
        </w:rPr>
      </w:pPr>
      <w:r w:rsidRPr="00A40D6B">
        <w:rPr>
          <w:rFonts w:asciiTheme="majorHAnsi" w:hAnsiTheme="majorHAnsi" w:cstheme="majorHAnsi"/>
        </w:rPr>
        <w:t>με αντικείμενο αίτηση εκδόσεως προδικαστικής αποφάσεως δυνάμει του άρθρου 234 ΕΚ, που υπέβαλε το Συμβούλιο της Επικρατείας (Ελλάδα) με απόφαση της 8ης Δεκεμβρίου 2006, η οποία περιήλθε στο Δικαστήριο στις 23 Απριλίου 2007, στο πλαίσιο της δίκης</w:t>
      </w:r>
      <w:r w:rsidR="000C43BD" w:rsidRPr="000C43BD">
        <w:rPr>
          <w:rFonts w:asciiTheme="majorHAnsi" w:hAnsiTheme="majorHAnsi" w:cstheme="majorHAnsi"/>
        </w:rPr>
        <w:t xml:space="preserve"> [...]</w:t>
      </w:r>
    </w:p>
    <w:p w:rsidR="00A40D6B" w:rsidRPr="00A40D6B" w:rsidRDefault="00A40D6B" w:rsidP="00A40D6B">
      <w:pPr>
        <w:rPr>
          <w:rFonts w:asciiTheme="majorHAnsi" w:hAnsiTheme="majorHAnsi" w:cstheme="majorHAnsi"/>
        </w:rPr>
      </w:pPr>
      <w:r w:rsidRPr="00A40D6B">
        <w:rPr>
          <w:rFonts w:asciiTheme="majorHAnsi" w:hAnsiTheme="majorHAnsi" w:cstheme="majorHAnsi"/>
        </w:rPr>
        <w:t>αφού άκουσε τον γενικό εισαγγελέα που ανέπτυξε τις προτάσεις του κατά τη συνεδρίαση της 8ης Οκτωβρίου 2008,</w:t>
      </w:r>
    </w:p>
    <w:p w:rsidR="00A40D6B" w:rsidRPr="00A40D6B" w:rsidRDefault="00A40D6B" w:rsidP="000C43BD">
      <w:pPr>
        <w:jc w:val="center"/>
        <w:rPr>
          <w:rFonts w:asciiTheme="majorHAnsi" w:hAnsiTheme="majorHAnsi" w:cstheme="majorHAnsi"/>
        </w:rPr>
      </w:pPr>
      <w:r w:rsidRPr="00A40D6B">
        <w:rPr>
          <w:rFonts w:asciiTheme="majorHAnsi" w:hAnsiTheme="majorHAnsi" w:cstheme="majorHAnsi"/>
        </w:rPr>
        <w:t>εκδίδει την ακόλουθη</w:t>
      </w:r>
    </w:p>
    <w:p w:rsidR="00A40D6B" w:rsidRPr="00A40D6B" w:rsidRDefault="00A40D6B" w:rsidP="00FF4DA3">
      <w:pPr>
        <w:jc w:val="center"/>
        <w:rPr>
          <w:rFonts w:asciiTheme="majorHAnsi" w:hAnsiTheme="majorHAnsi" w:cstheme="majorHAnsi"/>
        </w:rPr>
      </w:pPr>
      <w:r w:rsidRPr="00A40D6B">
        <w:rPr>
          <w:rFonts w:asciiTheme="majorHAnsi" w:hAnsiTheme="majorHAnsi" w:cstheme="majorHAnsi"/>
        </w:rPr>
        <w:t>Απόφαση</w:t>
      </w:r>
    </w:p>
    <w:p w:rsidR="00A40D6B" w:rsidRPr="00A40D6B" w:rsidRDefault="00A40D6B" w:rsidP="00A40D6B">
      <w:pPr>
        <w:rPr>
          <w:rFonts w:asciiTheme="majorHAnsi" w:hAnsiTheme="majorHAnsi" w:cstheme="majorHAnsi"/>
        </w:rPr>
      </w:pPr>
      <w:r w:rsidRPr="00A40D6B">
        <w:rPr>
          <w:rFonts w:asciiTheme="majorHAnsi" w:hAnsiTheme="majorHAnsi" w:cstheme="majorHAnsi"/>
        </w:rPr>
        <w:t>1        Η αίτηση για την έκδοση προδικαστικής απόφασης αφορά την ερμηνεία της οδηγίας 93/37/ΕΟΚ του Συμβουλίου, της 14ης Ιουνίου 1993, περί συντονισμού των διαδικασιών για τη σύναψη συμβάσεων δημοσίων έργων (ΕΕ L 199, σ. 54), όπως τροποποιήθηκε με την οδηγία 97/52/ΕΚ του Ευρωπαϊκού Κοινοβουλίου και του Συμβουλίου, της 13ης Οκτωβρίου 1997 (ΕΕ L 328, σ. 1, στο εξής: οδηγία 93/37).</w:t>
      </w:r>
    </w:p>
    <w:p w:rsidR="00A40D6B" w:rsidRPr="00A40D6B" w:rsidRDefault="00A40D6B" w:rsidP="00A40D6B">
      <w:pPr>
        <w:rPr>
          <w:rFonts w:asciiTheme="majorHAnsi" w:hAnsiTheme="majorHAnsi" w:cstheme="majorHAnsi"/>
        </w:rPr>
      </w:pPr>
      <w:r w:rsidRPr="00A40D6B">
        <w:rPr>
          <w:rFonts w:asciiTheme="majorHAnsi" w:hAnsiTheme="majorHAnsi" w:cstheme="majorHAnsi"/>
        </w:rPr>
        <w:t>2        Η αίτηση αυτή υποβλήθηκε στο πλαίσιο διαφοράς μεταξύ, αφενός, της Μηχανικής ΑΕ (στο εξής: Μηχανική), εταιρίας ελληνικού δικαίου, και, αφετέρου, του Εθνικού Συμβουλίου Ραδιοτηλεόρασης (στο εξής: ΕΣΡ) και του Υπουργού Επικρατείας, σχετικά με την απόφαση με την οποία το ΕΣΡ χορήγησε στην Παντεχνική ΑΕ (στο εξής: Παντεχνική), επίσης εταιρία ελληνικού δικαίου, πιστοποιητικό περί μη συνδρομής ασυμβίβαστης ιδιότητας στο πλαίσιο διαδικασίας σύναψης σύμβασης δημοσίων έργων.</w:t>
      </w:r>
    </w:p>
    <w:p w:rsidR="00A40D6B" w:rsidRPr="000C43BD" w:rsidRDefault="00A40D6B" w:rsidP="00A40D6B">
      <w:pPr>
        <w:rPr>
          <w:rFonts w:asciiTheme="majorHAnsi" w:hAnsiTheme="majorHAnsi" w:cstheme="majorHAnsi"/>
        </w:rPr>
      </w:pPr>
      <w:r w:rsidRPr="000C43BD">
        <w:rPr>
          <w:rFonts w:asciiTheme="majorHAnsi" w:hAnsiTheme="majorHAnsi" w:cstheme="majorHAnsi"/>
          <w:b/>
        </w:rPr>
        <w:t>Το νομικό πλαίσιο</w:t>
      </w:r>
      <w:r w:rsidR="000C43BD" w:rsidRPr="000C43BD">
        <w:rPr>
          <w:rFonts w:asciiTheme="majorHAnsi" w:hAnsiTheme="majorHAnsi" w:cstheme="majorHAnsi"/>
        </w:rPr>
        <w:t xml:space="preserve"> [...]</w:t>
      </w:r>
    </w:p>
    <w:p w:rsidR="00A40D6B" w:rsidRPr="000C43BD" w:rsidRDefault="00A40D6B" w:rsidP="00A40D6B">
      <w:pPr>
        <w:rPr>
          <w:rFonts w:asciiTheme="majorHAnsi" w:hAnsiTheme="majorHAnsi" w:cstheme="majorHAnsi"/>
        </w:rPr>
      </w:pPr>
      <w:r w:rsidRPr="000C43BD">
        <w:rPr>
          <w:rFonts w:asciiTheme="majorHAnsi" w:hAnsiTheme="majorHAnsi" w:cstheme="majorHAnsi"/>
          <w:b/>
        </w:rPr>
        <w:t>Η κοινοτική νομοθεσία</w:t>
      </w:r>
      <w:r w:rsidR="000C43BD" w:rsidRPr="000C43BD">
        <w:rPr>
          <w:rFonts w:asciiTheme="majorHAnsi" w:hAnsiTheme="majorHAnsi" w:cstheme="majorHAnsi"/>
        </w:rPr>
        <w:t xml:space="preserve"> [...]</w:t>
      </w:r>
    </w:p>
    <w:p w:rsidR="00A40D6B" w:rsidRPr="000F5EDA" w:rsidRDefault="00A40D6B" w:rsidP="00A40D6B">
      <w:pPr>
        <w:rPr>
          <w:rFonts w:asciiTheme="majorHAnsi" w:hAnsiTheme="majorHAnsi" w:cstheme="majorHAnsi"/>
        </w:rPr>
      </w:pPr>
      <w:r w:rsidRPr="000C43BD">
        <w:rPr>
          <w:rFonts w:asciiTheme="majorHAnsi" w:hAnsiTheme="majorHAnsi" w:cstheme="majorHAnsi"/>
          <w:b/>
        </w:rPr>
        <w:t>Η εθνική νομοθεσία</w:t>
      </w:r>
      <w:r w:rsidR="000C43BD" w:rsidRPr="000F5EDA">
        <w:rPr>
          <w:rFonts w:asciiTheme="majorHAnsi" w:hAnsiTheme="majorHAnsi" w:cstheme="majorHAnsi"/>
        </w:rPr>
        <w:t xml:space="preserve"> [...]</w:t>
      </w:r>
    </w:p>
    <w:p w:rsidR="00A40D6B" w:rsidRPr="0096654C" w:rsidRDefault="00A40D6B" w:rsidP="00A40D6B">
      <w:pPr>
        <w:rPr>
          <w:rFonts w:asciiTheme="majorHAnsi" w:hAnsiTheme="majorHAnsi" w:cstheme="majorHAnsi"/>
        </w:rPr>
      </w:pPr>
      <w:r w:rsidRPr="000C43BD">
        <w:rPr>
          <w:rFonts w:asciiTheme="majorHAnsi" w:hAnsiTheme="majorHAnsi" w:cstheme="majorHAnsi"/>
          <w:b/>
        </w:rPr>
        <w:t>Το ιστορικό της διαφοράς της κύριας δίκης και τα προδικαστικά ερωτήματα</w:t>
      </w:r>
      <w:r w:rsidR="0096654C">
        <w:rPr>
          <w:rFonts w:asciiTheme="majorHAnsi" w:hAnsiTheme="majorHAnsi" w:cstheme="majorHAnsi"/>
        </w:rPr>
        <w:t xml:space="preserve"> [...]</w:t>
      </w:r>
    </w:p>
    <w:p w:rsidR="00A40D6B" w:rsidRPr="00A40D6B" w:rsidRDefault="00A40D6B" w:rsidP="00A40D6B">
      <w:pPr>
        <w:rPr>
          <w:rFonts w:asciiTheme="majorHAnsi" w:hAnsiTheme="majorHAnsi" w:cstheme="majorHAnsi"/>
        </w:rPr>
      </w:pPr>
      <w:r w:rsidRPr="00A40D6B">
        <w:rPr>
          <w:rFonts w:asciiTheme="majorHAnsi" w:hAnsiTheme="majorHAnsi" w:cstheme="majorHAnsi"/>
        </w:rPr>
        <w:t>26      Υπό τις συνθήκες αυτές, το Συμβούλιο της Επικρατείας αποφάσισε να αναστείλει τη διαδικασία και να υποβάλει στο Δικαστήριο τα ακόλουθα προδικαστικά ερωτήματα:</w:t>
      </w:r>
    </w:p>
    <w:p w:rsidR="00A40D6B" w:rsidRPr="00A40D6B" w:rsidRDefault="00A40D6B" w:rsidP="00A40D6B">
      <w:pPr>
        <w:rPr>
          <w:rFonts w:asciiTheme="majorHAnsi" w:hAnsiTheme="majorHAnsi" w:cstheme="majorHAnsi"/>
        </w:rPr>
      </w:pPr>
      <w:r w:rsidRPr="00A40D6B">
        <w:rPr>
          <w:rFonts w:asciiTheme="majorHAnsi" w:hAnsiTheme="majorHAnsi" w:cstheme="majorHAnsi"/>
        </w:rPr>
        <w:t>«1)      Η απαρίθμηση των λόγων αποκλεισμού εργοληπτών δημοσίων έργων, οι οποίοι περιέχονται στην διάταξη του άρθρου 24 της οδηγίας 93/37 […] είναι περιοριστική ή όχι;</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2)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w:t>
      </w:r>
      <w:r w:rsidRPr="00A40D6B">
        <w:rPr>
          <w:rFonts w:asciiTheme="majorHAnsi" w:hAnsiTheme="majorHAnsi" w:cstheme="majorHAnsi"/>
        </w:rPr>
        <w:lastRenderedPageBreak/>
        <w:t>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η δε πλήρης αυτή απαγόρευση της αναθέσεως δημοσίων συμβάσεων στις εμπλεκόμενες επιχειρήσεις είναι συμβατή με την κοινοτική αρχή της αναλογικότητας;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3)      Υπό την εκδοχή ότι, κατά την έννοια του άρθρου 24 της οδηγίας 93/37 […], οι λόγοι αποκλεισμού εργοληπτών, που περιέχονται σε αυτήν, απαριθμούνται κατά τρόπο περιοριστικό,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 θέσπιση, ως λόγου αποκλεισμού </w:t>
      </w:r>
      <w:proofErr w:type="spellStart"/>
      <w:r w:rsidRPr="00A40D6B">
        <w:rPr>
          <w:rFonts w:asciiTheme="majorHAnsi" w:hAnsiTheme="majorHAnsi" w:cstheme="majorHAnsi"/>
        </w:rPr>
        <w:t>εργολήπτου</w:t>
      </w:r>
      <w:proofErr w:type="spellEnd"/>
      <w:r w:rsidRPr="00A40D6B">
        <w:rPr>
          <w:rFonts w:asciiTheme="majorHAnsi" w:hAnsiTheme="majorHAnsi" w:cstheme="majorHAnsi"/>
        </w:rPr>
        <w:t xml:space="preserve"> από την διαδικασία αναθέσεως δημοσίων έργων, [της περιπτώσεως] κατά την οποία αυτός ο ίδιος, ή στελέχη 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[ενημέρωσης]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δεύτερο εδάφιο, της Συνθήκης περί της ιδρύσεως της Ευρωπαϊκής Κοινότητας, που θεσπίζει την αρχή της επικουρικότητας;»</w:t>
      </w:r>
    </w:p>
    <w:p w:rsidR="00A40D6B" w:rsidRPr="00A40D6B" w:rsidRDefault="00A40D6B" w:rsidP="00A40D6B">
      <w:pPr>
        <w:rPr>
          <w:rFonts w:asciiTheme="majorHAnsi" w:hAnsiTheme="majorHAnsi" w:cstheme="majorHAnsi"/>
        </w:rPr>
      </w:pPr>
      <w:r w:rsidRPr="000C43BD">
        <w:rPr>
          <w:rFonts w:asciiTheme="majorHAnsi" w:hAnsiTheme="majorHAnsi" w:cstheme="majorHAnsi"/>
          <w:b/>
        </w:rPr>
        <w:t>Επί της αρμοδιότητας του Δικαστηρίου και του παραδεκτού των προδικαστικών ερωτημάτων</w:t>
      </w:r>
      <w:r w:rsidR="000C43BD" w:rsidRPr="000C43BD">
        <w:rPr>
          <w:rFonts w:asciiTheme="majorHAnsi" w:hAnsiTheme="majorHAnsi" w:cstheme="majorHAnsi"/>
        </w:rPr>
        <w:t xml:space="preserve"> [...]</w:t>
      </w:r>
    </w:p>
    <w:p w:rsidR="00A40D6B" w:rsidRPr="00236BEF" w:rsidRDefault="00A40D6B" w:rsidP="00A40D6B">
      <w:pPr>
        <w:rPr>
          <w:rFonts w:asciiTheme="majorHAnsi" w:hAnsiTheme="majorHAnsi" w:cstheme="majorHAnsi"/>
          <w:b/>
        </w:rPr>
      </w:pPr>
      <w:r w:rsidRPr="00236BEF">
        <w:rPr>
          <w:rFonts w:asciiTheme="majorHAnsi" w:hAnsiTheme="majorHAnsi" w:cstheme="majorHAnsi"/>
          <w:b/>
        </w:rPr>
        <w:t>Επί των προδικαστικών ερωτημάτων</w:t>
      </w:r>
    </w:p>
    <w:p w:rsidR="00A40D6B" w:rsidRPr="00A40D6B" w:rsidRDefault="00A40D6B" w:rsidP="00A40D6B">
      <w:pPr>
        <w:rPr>
          <w:rFonts w:asciiTheme="majorHAnsi" w:hAnsiTheme="majorHAnsi" w:cstheme="majorHAnsi"/>
        </w:rPr>
      </w:pPr>
      <w:r w:rsidRPr="00236BEF">
        <w:rPr>
          <w:rFonts w:asciiTheme="majorHAnsi" w:hAnsiTheme="majorHAnsi" w:cstheme="majorHAnsi"/>
          <w:b/>
        </w:rPr>
        <w:t>Επί του πρώτου ερωτήματος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37      Με το πρώτο ερώτημά του, το αιτούν δικαστήριο ερωτά, κατ’ </w:t>
      </w:r>
      <w:proofErr w:type="spellStart"/>
      <w:r w:rsidRPr="00A40D6B">
        <w:rPr>
          <w:rFonts w:asciiTheme="majorHAnsi" w:hAnsiTheme="majorHAnsi" w:cstheme="majorHAnsi"/>
        </w:rPr>
        <w:t>ουσίαν</w:t>
      </w:r>
      <w:proofErr w:type="spellEnd"/>
      <w:r w:rsidRPr="00A40D6B">
        <w:rPr>
          <w:rFonts w:asciiTheme="majorHAnsi" w:hAnsiTheme="majorHAnsi" w:cstheme="majorHAnsi"/>
        </w:rPr>
        <w:t>, αν η απαρίθμηση των λόγων αποκλεισμού από τη συμμετοχή σε διαγωνισμό ανάθεσης σύμβασης δημοσίων έργων, τους οποίους προβλέπει το άρθρο 24, πρώτο εδάφιο, της οδηγίας 93/37, είναι ή όχι περιοριστική.</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38      Ως προς το θέμα αυτό, πρέπει να παρατηρηθεί ότι οι κοινοτικές οδηγίες περί δημοσίων συμβάσεων έχουν ως αντικείμενο τον συντονισμό των συναφών εθνικών διαδικασιών (απόφαση της 9ης Φεβρουαρίου 2006, C-226/04 και C-228/04, </w:t>
      </w:r>
      <w:proofErr w:type="spellStart"/>
      <w:r w:rsidRPr="00A40D6B">
        <w:rPr>
          <w:rFonts w:asciiTheme="majorHAnsi" w:hAnsiTheme="majorHAnsi" w:cstheme="majorHAnsi"/>
        </w:rPr>
        <w:t>La</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Cascina</w:t>
      </w:r>
      <w:proofErr w:type="spellEnd"/>
      <w:r w:rsidRPr="00A40D6B">
        <w:rPr>
          <w:rFonts w:asciiTheme="majorHAnsi" w:hAnsiTheme="majorHAnsi" w:cstheme="majorHAnsi"/>
        </w:rPr>
        <w:t xml:space="preserve"> κ.λπ., Συλλογή 2006, σ. I</w:t>
      </w:r>
      <w:r w:rsidRPr="00A40D6B">
        <w:rPr>
          <w:rFonts w:ascii="Cambria Math" w:hAnsi="Cambria Math" w:cs="Cambria Math"/>
        </w:rPr>
        <w:t>‑</w:t>
      </w:r>
      <w:r w:rsidRPr="00A40D6B">
        <w:rPr>
          <w:rFonts w:asciiTheme="majorHAnsi" w:hAnsiTheme="majorHAnsi" w:cstheme="majorHAnsi"/>
        </w:rPr>
        <w:t xml:space="preserve">1347, </w:t>
      </w:r>
      <w:r w:rsidRPr="00A40D6B">
        <w:rPr>
          <w:rFonts w:ascii="Calibri Light" w:hAnsi="Calibri Light" w:cs="Calibri Light"/>
        </w:rPr>
        <w:t>σκέψη</w:t>
      </w:r>
      <w:r w:rsidRPr="00A40D6B">
        <w:rPr>
          <w:rFonts w:asciiTheme="majorHAnsi" w:hAnsiTheme="majorHAnsi" w:cstheme="majorHAnsi"/>
        </w:rPr>
        <w:t xml:space="preserve"> 20). </w:t>
      </w:r>
      <w:r w:rsidRPr="00A40D6B">
        <w:rPr>
          <w:rFonts w:ascii="Calibri Light" w:hAnsi="Calibri Light" w:cs="Calibri Light"/>
        </w:rPr>
        <w:t>Όσον</w:t>
      </w:r>
      <w:r w:rsidRPr="00A40D6B">
        <w:rPr>
          <w:rFonts w:asciiTheme="majorHAnsi" w:hAnsiTheme="majorHAnsi" w:cstheme="majorHAnsi"/>
        </w:rPr>
        <w:t xml:space="preserve"> </w:t>
      </w:r>
      <w:r w:rsidRPr="00A40D6B">
        <w:rPr>
          <w:rFonts w:ascii="Calibri Light" w:hAnsi="Calibri Light" w:cs="Calibri Light"/>
        </w:rPr>
        <w:t>αφορά</w:t>
      </w:r>
      <w:r w:rsidRPr="00A40D6B">
        <w:rPr>
          <w:rFonts w:asciiTheme="majorHAnsi" w:hAnsiTheme="majorHAnsi" w:cstheme="majorHAnsi"/>
        </w:rPr>
        <w:t xml:space="preserve"> </w:t>
      </w:r>
      <w:r w:rsidRPr="00A40D6B">
        <w:rPr>
          <w:rFonts w:ascii="Calibri Light" w:hAnsi="Calibri Light" w:cs="Calibri Light"/>
        </w:rPr>
        <w:t>τις</w:t>
      </w:r>
      <w:r w:rsidRPr="00A40D6B">
        <w:rPr>
          <w:rFonts w:asciiTheme="majorHAnsi" w:hAnsiTheme="majorHAnsi" w:cstheme="majorHAnsi"/>
        </w:rPr>
        <w:t xml:space="preserve"> </w:t>
      </w:r>
      <w:r w:rsidRPr="00A40D6B">
        <w:rPr>
          <w:rFonts w:ascii="Calibri Light" w:hAnsi="Calibri Light" w:cs="Calibri Light"/>
        </w:rPr>
        <w:t>συμβάσεις</w:t>
      </w:r>
      <w:r w:rsidRPr="00A40D6B">
        <w:rPr>
          <w:rFonts w:asciiTheme="majorHAnsi" w:hAnsiTheme="majorHAnsi" w:cstheme="majorHAnsi"/>
        </w:rPr>
        <w:t xml:space="preserve"> </w:t>
      </w:r>
      <w:r w:rsidRPr="00A40D6B">
        <w:rPr>
          <w:rFonts w:ascii="Calibri Light" w:hAnsi="Calibri Light" w:cs="Calibri Light"/>
        </w:rPr>
        <w:t>δημοσίων</w:t>
      </w:r>
      <w:r w:rsidRPr="00A40D6B">
        <w:rPr>
          <w:rFonts w:asciiTheme="majorHAnsi" w:hAnsiTheme="majorHAnsi" w:cstheme="majorHAnsi"/>
        </w:rPr>
        <w:t xml:space="preserve"> </w:t>
      </w:r>
      <w:r w:rsidRPr="00A40D6B">
        <w:rPr>
          <w:rFonts w:ascii="Calibri Light" w:hAnsi="Calibri Light" w:cs="Calibri Light"/>
        </w:rPr>
        <w:t>έργων</w:t>
      </w:r>
      <w:r w:rsidRPr="00A40D6B">
        <w:rPr>
          <w:rFonts w:asciiTheme="majorHAnsi" w:hAnsiTheme="majorHAnsi" w:cstheme="majorHAnsi"/>
        </w:rPr>
        <w:t xml:space="preserve">, </w:t>
      </w:r>
      <w:r w:rsidRPr="00A40D6B">
        <w:rPr>
          <w:rFonts w:ascii="Calibri Light" w:hAnsi="Calibri Light" w:cs="Calibri Light"/>
        </w:rPr>
        <w:t>η</w:t>
      </w:r>
      <w:r w:rsidRPr="00A40D6B">
        <w:rPr>
          <w:rFonts w:asciiTheme="majorHAnsi" w:hAnsiTheme="majorHAnsi" w:cstheme="majorHAnsi"/>
        </w:rPr>
        <w:t xml:space="preserve"> </w:t>
      </w:r>
      <w:r w:rsidRPr="00A40D6B">
        <w:rPr>
          <w:rFonts w:ascii="Calibri Light" w:hAnsi="Calibri Light" w:cs="Calibri Light"/>
        </w:rPr>
        <w:t>δεύτερη</w:t>
      </w:r>
      <w:r w:rsidRPr="00A40D6B">
        <w:rPr>
          <w:rFonts w:asciiTheme="majorHAnsi" w:hAnsiTheme="majorHAnsi" w:cstheme="majorHAnsi"/>
        </w:rPr>
        <w:t xml:space="preserve"> </w:t>
      </w:r>
      <w:r w:rsidRPr="00A40D6B">
        <w:rPr>
          <w:rFonts w:ascii="Calibri Light" w:hAnsi="Calibri Light" w:cs="Calibri Light"/>
        </w:rPr>
        <w:t>αιτιολογική</w:t>
      </w:r>
      <w:r w:rsidRPr="00A40D6B">
        <w:rPr>
          <w:rFonts w:asciiTheme="majorHAnsi" w:hAnsiTheme="majorHAnsi" w:cstheme="majorHAnsi"/>
        </w:rPr>
        <w:t xml:space="preserve"> </w:t>
      </w:r>
      <w:r w:rsidRPr="00A40D6B">
        <w:rPr>
          <w:rFonts w:ascii="Calibri Light" w:hAnsi="Calibri Light" w:cs="Calibri Light"/>
        </w:rPr>
        <w:t>σκέψη</w:t>
      </w:r>
      <w:r w:rsidRPr="00A40D6B">
        <w:rPr>
          <w:rFonts w:asciiTheme="majorHAnsi" w:hAnsiTheme="majorHAnsi" w:cstheme="majorHAnsi"/>
        </w:rPr>
        <w:t xml:space="preserve"> </w:t>
      </w:r>
      <w:r w:rsidRPr="00A40D6B">
        <w:rPr>
          <w:rFonts w:ascii="Calibri Light" w:hAnsi="Calibri Light" w:cs="Calibri Light"/>
        </w:rPr>
        <w:t>της</w:t>
      </w:r>
      <w:r w:rsidRPr="00A40D6B">
        <w:rPr>
          <w:rFonts w:asciiTheme="majorHAnsi" w:hAnsiTheme="majorHAnsi" w:cstheme="majorHAnsi"/>
        </w:rPr>
        <w:t xml:space="preserve"> </w:t>
      </w:r>
      <w:r w:rsidRPr="00A40D6B">
        <w:rPr>
          <w:rFonts w:ascii="Calibri Light" w:hAnsi="Calibri Light" w:cs="Calibri Light"/>
        </w:rPr>
        <w:t>οδηγίας</w:t>
      </w:r>
      <w:r w:rsidRPr="00A40D6B">
        <w:rPr>
          <w:rFonts w:asciiTheme="majorHAnsi" w:hAnsiTheme="majorHAnsi" w:cstheme="majorHAnsi"/>
        </w:rPr>
        <w:t xml:space="preserve"> 93/37 </w:t>
      </w:r>
      <w:r w:rsidRPr="00A40D6B">
        <w:rPr>
          <w:rFonts w:ascii="Calibri Light" w:hAnsi="Calibri Light" w:cs="Calibri Light"/>
        </w:rPr>
        <w:t>τονίζει</w:t>
      </w:r>
      <w:r w:rsidRPr="00A40D6B">
        <w:rPr>
          <w:rFonts w:asciiTheme="majorHAnsi" w:hAnsiTheme="majorHAnsi" w:cstheme="majorHAnsi"/>
        </w:rPr>
        <w:t xml:space="preserve"> </w:t>
      </w:r>
      <w:r w:rsidRPr="00A40D6B">
        <w:rPr>
          <w:rFonts w:ascii="Calibri Light" w:hAnsi="Calibri Light" w:cs="Calibri Light"/>
        </w:rPr>
        <w:t>ρητώς</w:t>
      </w:r>
      <w:r w:rsidRPr="00A40D6B">
        <w:rPr>
          <w:rFonts w:asciiTheme="majorHAnsi" w:hAnsiTheme="majorHAnsi" w:cstheme="majorHAnsi"/>
        </w:rPr>
        <w:t xml:space="preserve"> </w:t>
      </w:r>
      <w:r w:rsidRPr="00A40D6B">
        <w:rPr>
          <w:rFonts w:ascii="Calibri Light" w:hAnsi="Calibri Light" w:cs="Calibri Light"/>
        </w:rPr>
        <w:t>τον</w:t>
      </w:r>
      <w:r w:rsidRPr="00A40D6B">
        <w:rPr>
          <w:rFonts w:asciiTheme="majorHAnsi" w:hAnsiTheme="majorHAnsi" w:cstheme="majorHAnsi"/>
        </w:rPr>
        <w:t xml:space="preserve"> </w:t>
      </w:r>
      <w:r w:rsidRPr="00A40D6B">
        <w:rPr>
          <w:rFonts w:ascii="Calibri Light" w:hAnsi="Calibri Light" w:cs="Calibri Light"/>
        </w:rPr>
        <w:t>σκοπό</w:t>
      </w:r>
      <w:r w:rsidRPr="00A40D6B">
        <w:rPr>
          <w:rFonts w:asciiTheme="majorHAnsi" w:hAnsiTheme="majorHAnsi" w:cstheme="majorHAnsi"/>
        </w:rPr>
        <w:t xml:space="preserve"> </w:t>
      </w:r>
      <w:r w:rsidRPr="00A40D6B">
        <w:rPr>
          <w:rFonts w:ascii="Calibri Light" w:hAnsi="Calibri Light" w:cs="Calibri Light"/>
        </w:rPr>
        <w:t>αυτό</w:t>
      </w:r>
      <w:r w:rsidRPr="00A40D6B">
        <w:rPr>
          <w:rFonts w:asciiTheme="majorHAnsi" w:hAnsiTheme="majorHAnsi" w:cstheme="majorHAnsi"/>
        </w:rPr>
        <w:t>.</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39      Από τη δεύτερη αυτή αιτιολογική σκέψη και από τη δέκατη αιτιολογική σκέψη της οδηγίας 93/37 προκύπτει ότι ο συντονισμός αυτός αποσκοπεί στην ταυτόχρονη πραγματοποίηση της ελευθερίας εγκατάστασης και της ελεύθερης παροχής υπηρεσιών όσον αφορά τις συμβάσεις δημοσίων έργων, καθώς και στην ανάπτυξη, σε κοινοτική κλίμακα, πραγματικού ανταγωνισμού στον τομέα αυτόν, ευνοώντας την ευρύτερη δυνατή εκδήλωση ενδιαφέροντος από τους εργολήπτες των κρατών μελών (βλ., υπό το πνεύμα αυτό, αποφάσεις της 26ης Σεπτεμβρίου 2000, C-225/98, Επιτροπή κατά Γαλλίας, Συλλογή 2000, σ. I-7445, σκέψη 34· της 12ης Ιουλίου 2001, C-399/98, </w:t>
      </w:r>
      <w:proofErr w:type="spellStart"/>
      <w:r w:rsidRPr="00A40D6B">
        <w:rPr>
          <w:rFonts w:asciiTheme="majorHAnsi" w:hAnsiTheme="majorHAnsi" w:cstheme="majorHAnsi"/>
        </w:rPr>
        <w:t>Ordine</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degli</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Architetti</w:t>
      </w:r>
      <w:proofErr w:type="spellEnd"/>
      <w:r w:rsidRPr="00A40D6B">
        <w:rPr>
          <w:rFonts w:asciiTheme="majorHAnsi" w:hAnsiTheme="majorHAnsi" w:cstheme="majorHAnsi"/>
        </w:rPr>
        <w:t xml:space="preserve"> κ.λπ., Συλλογή 2001, σ. I</w:t>
      </w:r>
      <w:r w:rsidRPr="00A40D6B">
        <w:rPr>
          <w:rFonts w:ascii="Cambria Math" w:hAnsi="Cambria Math" w:cs="Cambria Math"/>
        </w:rPr>
        <w:t>‑</w:t>
      </w:r>
      <w:r w:rsidRPr="00A40D6B">
        <w:rPr>
          <w:rFonts w:asciiTheme="majorHAnsi" w:hAnsiTheme="majorHAnsi" w:cstheme="majorHAnsi"/>
        </w:rPr>
        <w:t xml:space="preserve">5409, </w:t>
      </w:r>
      <w:r w:rsidRPr="00A40D6B">
        <w:rPr>
          <w:rFonts w:ascii="Calibri Light" w:hAnsi="Calibri Light" w:cs="Calibri Light"/>
        </w:rPr>
        <w:t>σκέψη</w:t>
      </w:r>
      <w:r w:rsidRPr="00A40D6B">
        <w:rPr>
          <w:rFonts w:asciiTheme="majorHAnsi" w:hAnsiTheme="majorHAnsi" w:cstheme="majorHAnsi"/>
        </w:rPr>
        <w:t xml:space="preserve"> 52</w:t>
      </w:r>
      <w:r w:rsidRPr="00A40D6B">
        <w:rPr>
          <w:rFonts w:ascii="Calibri Light" w:hAnsi="Calibri Light" w:cs="Calibri Light"/>
        </w:rPr>
        <w:t>·</w:t>
      </w:r>
      <w:r w:rsidRPr="00A40D6B">
        <w:rPr>
          <w:rFonts w:asciiTheme="majorHAnsi" w:hAnsiTheme="majorHAnsi" w:cstheme="majorHAnsi"/>
        </w:rPr>
        <w:t xml:space="preserve"> </w:t>
      </w:r>
      <w:r w:rsidRPr="00A40D6B">
        <w:rPr>
          <w:rFonts w:ascii="Calibri Light" w:hAnsi="Calibri Light" w:cs="Calibri Light"/>
        </w:rPr>
        <w:t>της</w:t>
      </w:r>
      <w:r w:rsidRPr="00A40D6B">
        <w:rPr>
          <w:rFonts w:asciiTheme="majorHAnsi" w:hAnsiTheme="majorHAnsi" w:cstheme="majorHAnsi"/>
        </w:rPr>
        <w:t xml:space="preserve"> 27</w:t>
      </w:r>
      <w:r w:rsidRPr="00A40D6B">
        <w:rPr>
          <w:rFonts w:ascii="Calibri Light" w:hAnsi="Calibri Light" w:cs="Calibri Light"/>
        </w:rPr>
        <w:t>ης</w:t>
      </w:r>
      <w:r w:rsidRPr="00A40D6B">
        <w:rPr>
          <w:rFonts w:asciiTheme="majorHAnsi" w:hAnsiTheme="majorHAnsi" w:cstheme="majorHAnsi"/>
        </w:rPr>
        <w:t xml:space="preserve"> </w:t>
      </w:r>
      <w:r w:rsidRPr="00A40D6B">
        <w:rPr>
          <w:rFonts w:ascii="Calibri Light" w:hAnsi="Calibri Light" w:cs="Calibri Light"/>
        </w:rPr>
        <w:t>Νοεμβρίου</w:t>
      </w:r>
      <w:r w:rsidRPr="00A40D6B">
        <w:rPr>
          <w:rFonts w:asciiTheme="majorHAnsi" w:hAnsiTheme="majorHAnsi" w:cstheme="majorHAnsi"/>
        </w:rPr>
        <w:t xml:space="preserve"> 2001, C</w:t>
      </w:r>
      <w:r w:rsidRPr="00A40D6B">
        <w:rPr>
          <w:rFonts w:ascii="Cambria Math" w:hAnsi="Cambria Math" w:cs="Cambria Math"/>
        </w:rPr>
        <w:t>‑</w:t>
      </w:r>
      <w:r w:rsidRPr="00A40D6B">
        <w:rPr>
          <w:rFonts w:asciiTheme="majorHAnsi" w:hAnsiTheme="majorHAnsi" w:cstheme="majorHAnsi"/>
        </w:rPr>
        <w:t xml:space="preserve">285/99 </w:t>
      </w:r>
      <w:r w:rsidRPr="00A40D6B">
        <w:rPr>
          <w:rFonts w:ascii="Calibri Light" w:hAnsi="Calibri Light" w:cs="Calibri Light"/>
        </w:rPr>
        <w:t>και</w:t>
      </w:r>
      <w:r w:rsidRPr="00A40D6B">
        <w:rPr>
          <w:rFonts w:asciiTheme="majorHAnsi" w:hAnsiTheme="majorHAnsi" w:cstheme="majorHAnsi"/>
        </w:rPr>
        <w:t xml:space="preserve"> C-286/99, </w:t>
      </w:r>
      <w:proofErr w:type="spellStart"/>
      <w:r w:rsidRPr="00A40D6B">
        <w:rPr>
          <w:rFonts w:asciiTheme="majorHAnsi" w:hAnsiTheme="majorHAnsi" w:cstheme="majorHAnsi"/>
        </w:rPr>
        <w:t>Lombardini</w:t>
      </w:r>
      <w:proofErr w:type="spellEnd"/>
      <w:r w:rsidRPr="00A40D6B">
        <w:rPr>
          <w:rFonts w:asciiTheme="majorHAnsi" w:hAnsiTheme="majorHAnsi" w:cstheme="majorHAnsi"/>
        </w:rPr>
        <w:t xml:space="preserve"> </w:t>
      </w:r>
      <w:r w:rsidRPr="00A40D6B">
        <w:rPr>
          <w:rFonts w:ascii="Calibri Light" w:hAnsi="Calibri Light" w:cs="Calibri Light"/>
        </w:rPr>
        <w:t>και</w:t>
      </w:r>
      <w:r w:rsidRPr="00A40D6B">
        <w:rPr>
          <w:rFonts w:asciiTheme="majorHAnsi" w:hAnsiTheme="majorHAnsi" w:cstheme="majorHAnsi"/>
        </w:rPr>
        <w:t xml:space="preserve"> </w:t>
      </w:r>
      <w:proofErr w:type="spellStart"/>
      <w:r w:rsidRPr="00A40D6B">
        <w:rPr>
          <w:rFonts w:asciiTheme="majorHAnsi" w:hAnsiTheme="majorHAnsi" w:cstheme="majorHAnsi"/>
        </w:rPr>
        <w:t>Mantovani</w:t>
      </w:r>
      <w:proofErr w:type="spellEnd"/>
      <w:r w:rsidRPr="00A40D6B">
        <w:rPr>
          <w:rFonts w:asciiTheme="majorHAnsi" w:hAnsiTheme="majorHAnsi" w:cstheme="majorHAnsi"/>
        </w:rPr>
        <w:t xml:space="preserve">, </w:t>
      </w:r>
      <w:r w:rsidRPr="00A40D6B">
        <w:rPr>
          <w:rFonts w:ascii="Calibri Light" w:hAnsi="Calibri Light" w:cs="Calibri Light"/>
        </w:rPr>
        <w:t>Συλλογή</w:t>
      </w:r>
      <w:r w:rsidRPr="00A40D6B">
        <w:rPr>
          <w:rFonts w:asciiTheme="majorHAnsi" w:hAnsiTheme="majorHAnsi" w:cstheme="majorHAnsi"/>
        </w:rPr>
        <w:t xml:space="preserve"> 2001, </w:t>
      </w:r>
      <w:r w:rsidRPr="00A40D6B">
        <w:rPr>
          <w:rFonts w:ascii="Calibri Light" w:hAnsi="Calibri Light" w:cs="Calibri Light"/>
        </w:rPr>
        <w:t>σ</w:t>
      </w:r>
      <w:r w:rsidRPr="00A40D6B">
        <w:rPr>
          <w:rFonts w:asciiTheme="majorHAnsi" w:hAnsiTheme="majorHAnsi" w:cstheme="majorHAnsi"/>
        </w:rPr>
        <w:t xml:space="preserve">. I-9233, </w:t>
      </w:r>
      <w:r w:rsidRPr="00A40D6B">
        <w:rPr>
          <w:rFonts w:ascii="Calibri Light" w:hAnsi="Calibri Light" w:cs="Calibri Light"/>
        </w:rPr>
        <w:lastRenderedPageBreak/>
        <w:t>σκέψη</w:t>
      </w:r>
      <w:r w:rsidRPr="00A40D6B">
        <w:rPr>
          <w:rFonts w:asciiTheme="majorHAnsi" w:hAnsiTheme="majorHAnsi" w:cstheme="majorHAnsi"/>
        </w:rPr>
        <w:t xml:space="preserve"> 34, </w:t>
      </w:r>
      <w:r w:rsidRPr="00A40D6B">
        <w:rPr>
          <w:rFonts w:ascii="Calibri Light" w:hAnsi="Calibri Light" w:cs="Calibri Light"/>
        </w:rPr>
        <w:t>καθώς</w:t>
      </w:r>
      <w:r w:rsidRPr="00A40D6B">
        <w:rPr>
          <w:rFonts w:asciiTheme="majorHAnsi" w:hAnsiTheme="majorHAnsi" w:cstheme="majorHAnsi"/>
        </w:rPr>
        <w:t xml:space="preserve"> </w:t>
      </w:r>
      <w:r w:rsidRPr="00A40D6B">
        <w:rPr>
          <w:rFonts w:ascii="Calibri Light" w:hAnsi="Calibri Light" w:cs="Calibri Light"/>
        </w:rPr>
        <w:t>και</w:t>
      </w:r>
      <w:r w:rsidRPr="00A40D6B">
        <w:rPr>
          <w:rFonts w:asciiTheme="majorHAnsi" w:hAnsiTheme="majorHAnsi" w:cstheme="majorHAnsi"/>
        </w:rPr>
        <w:t xml:space="preserve"> </w:t>
      </w:r>
      <w:r w:rsidRPr="00A40D6B">
        <w:rPr>
          <w:rFonts w:ascii="Calibri Light" w:hAnsi="Calibri Light" w:cs="Calibri Light"/>
        </w:rPr>
        <w:t>της</w:t>
      </w:r>
      <w:r w:rsidRPr="00A40D6B">
        <w:rPr>
          <w:rFonts w:asciiTheme="majorHAnsi" w:hAnsiTheme="majorHAnsi" w:cstheme="majorHAnsi"/>
        </w:rPr>
        <w:t xml:space="preserve"> 12</w:t>
      </w:r>
      <w:r w:rsidRPr="00A40D6B">
        <w:rPr>
          <w:rFonts w:ascii="Calibri Light" w:hAnsi="Calibri Light" w:cs="Calibri Light"/>
        </w:rPr>
        <w:t>ης</w:t>
      </w:r>
      <w:r w:rsidRPr="00A40D6B">
        <w:rPr>
          <w:rFonts w:asciiTheme="majorHAnsi" w:hAnsiTheme="majorHAnsi" w:cstheme="majorHAnsi"/>
        </w:rPr>
        <w:t xml:space="preserve"> </w:t>
      </w:r>
      <w:r w:rsidRPr="00A40D6B">
        <w:rPr>
          <w:rFonts w:ascii="Calibri Light" w:hAnsi="Calibri Light" w:cs="Calibri Light"/>
        </w:rPr>
        <w:t>Δεκεμβρίου</w:t>
      </w:r>
      <w:r w:rsidRPr="00A40D6B">
        <w:rPr>
          <w:rFonts w:asciiTheme="majorHAnsi" w:hAnsiTheme="majorHAnsi" w:cstheme="majorHAnsi"/>
        </w:rPr>
        <w:t xml:space="preserve"> 2002, C-470/99, </w:t>
      </w:r>
      <w:proofErr w:type="spellStart"/>
      <w:r w:rsidRPr="00A40D6B">
        <w:rPr>
          <w:rFonts w:asciiTheme="majorHAnsi" w:hAnsiTheme="majorHAnsi" w:cstheme="majorHAnsi"/>
        </w:rPr>
        <w:t>Universale-Bau</w:t>
      </w:r>
      <w:proofErr w:type="spellEnd"/>
      <w:r w:rsidRPr="00A40D6B">
        <w:rPr>
          <w:rFonts w:asciiTheme="majorHAnsi" w:hAnsiTheme="majorHAnsi" w:cstheme="majorHAnsi"/>
        </w:rPr>
        <w:t xml:space="preserve">, </w:t>
      </w:r>
      <w:r w:rsidRPr="00A40D6B">
        <w:rPr>
          <w:rFonts w:ascii="Calibri Light" w:hAnsi="Calibri Light" w:cs="Calibri Light"/>
        </w:rPr>
        <w:t>Συ</w:t>
      </w:r>
      <w:r w:rsidRPr="00A40D6B">
        <w:rPr>
          <w:rFonts w:asciiTheme="majorHAnsi" w:hAnsiTheme="majorHAnsi" w:cstheme="majorHAnsi"/>
        </w:rPr>
        <w:t>λλογή 2002, σ. I-11617, σκέψη 89).</w:t>
      </w:r>
    </w:p>
    <w:p w:rsidR="00A40D6B" w:rsidRPr="00A40D6B" w:rsidRDefault="00A40D6B" w:rsidP="00A40D6B">
      <w:pPr>
        <w:rPr>
          <w:rFonts w:asciiTheme="majorHAnsi" w:hAnsiTheme="majorHAnsi" w:cstheme="majorHAnsi"/>
        </w:rPr>
      </w:pPr>
      <w:r w:rsidRPr="00A40D6B">
        <w:rPr>
          <w:rFonts w:asciiTheme="majorHAnsi" w:hAnsiTheme="majorHAnsi" w:cstheme="majorHAnsi"/>
        </w:rPr>
        <w:t>40      Στο πλαίσιο αυτό, το άρθρο 24 της οδηγίας 93/37, το οποίο ανήκει στον τίτλο της οδηγίας που είναι αφιερωμένος στους «κοινούς» κανόνες συμμετοχής, εντάσσεται σε ένα σύνολο διατάξεων που αφορούν τις προϋποθέσεις επιλογής των εργοληπτών που έχουν δικαίωμα να υποβάλουν προσφορά και τις προϋποθέσεις ανάθεσης της σύμβασης (βλ., κατ’ αναλογία, απόφαση της 7ης Δεκεμβρίου 2000, C</w:t>
      </w:r>
      <w:r w:rsidRPr="00A40D6B">
        <w:rPr>
          <w:rFonts w:ascii="Cambria Math" w:hAnsi="Cambria Math" w:cs="Cambria Math"/>
        </w:rPr>
        <w:t>‑</w:t>
      </w:r>
      <w:r w:rsidRPr="00A40D6B">
        <w:rPr>
          <w:rFonts w:asciiTheme="majorHAnsi" w:hAnsiTheme="majorHAnsi" w:cstheme="majorHAnsi"/>
        </w:rPr>
        <w:t xml:space="preserve">94/99, ARGE, </w:t>
      </w:r>
      <w:r w:rsidRPr="00A40D6B">
        <w:rPr>
          <w:rFonts w:ascii="Calibri Light" w:hAnsi="Calibri Light" w:cs="Calibri Light"/>
        </w:rPr>
        <w:t>Συλλογή</w:t>
      </w:r>
      <w:r w:rsidRPr="00A40D6B">
        <w:rPr>
          <w:rFonts w:asciiTheme="majorHAnsi" w:hAnsiTheme="majorHAnsi" w:cstheme="majorHAnsi"/>
        </w:rPr>
        <w:t xml:space="preserve"> 2000, </w:t>
      </w:r>
      <w:r w:rsidRPr="00A40D6B">
        <w:rPr>
          <w:rFonts w:ascii="Calibri Light" w:hAnsi="Calibri Light" w:cs="Calibri Light"/>
        </w:rPr>
        <w:t>σ</w:t>
      </w:r>
      <w:r w:rsidRPr="00A40D6B">
        <w:rPr>
          <w:rFonts w:asciiTheme="majorHAnsi" w:hAnsiTheme="majorHAnsi" w:cstheme="majorHAnsi"/>
        </w:rPr>
        <w:t xml:space="preserve">. I-11037, </w:t>
      </w:r>
      <w:r w:rsidRPr="00A40D6B">
        <w:rPr>
          <w:rFonts w:ascii="Calibri Light" w:hAnsi="Calibri Light" w:cs="Calibri Light"/>
        </w:rPr>
        <w:t>σκέψη</w:t>
      </w:r>
      <w:r w:rsidRPr="00A40D6B">
        <w:rPr>
          <w:rFonts w:asciiTheme="majorHAnsi" w:hAnsiTheme="majorHAnsi" w:cstheme="majorHAnsi"/>
        </w:rPr>
        <w:t xml:space="preserve"> 27).</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41      Περιλαμβανόμενο στο κεφάλαιο που αφορά τα κριτήρια «ποιοτικής» επιλογής, το εν λόγω άρθρο 24 απαριθμεί, στο πρώτο εδάφιό του, επτά λόγους αποκλεισμού της συμμετοχής ενός εργολήπτη, που έχουν σχέση με τις επαγγελματικές ιδιότητες του ενδιαφερομένου και, ειδικότερα, με την επαγγελματική του εντιμότητα, τη φερεγγυότητά του καθώς και τη χρηματοδοτική και οικονομική του ικανότητά του (βλ., κατ’ αναλογία, απόφαση της 10ης Φεβρουαρίου 1982, 76/81, </w:t>
      </w:r>
      <w:proofErr w:type="spellStart"/>
      <w:r w:rsidRPr="00A40D6B">
        <w:rPr>
          <w:rFonts w:asciiTheme="majorHAnsi" w:hAnsiTheme="majorHAnsi" w:cstheme="majorHAnsi"/>
        </w:rPr>
        <w:t>Transporoute</w:t>
      </w:r>
      <w:proofErr w:type="spellEnd"/>
      <w:r w:rsidRPr="00A40D6B">
        <w:rPr>
          <w:rFonts w:asciiTheme="majorHAnsi" w:hAnsiTheme="majorHAnsi" w:cstheme="majorHAnsi"/>
        </w:rPr>
        <w:t xml:space="preserve">, Συλλογή 1982, σ. 417, σκέψη 9, και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La</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Cascina</w:t>
      </w:r>
      <w:proofErr w:type="spellEnd"/>
      <w:r w:rsidRPr="00A40D6B">
        <w:rPr>
          <w:rFonts w:asciiTheme="majorHAnsi" w:hAnsiTheme="majorHAnsi" w:cstheme="majorHAnsi"/>
        </w:rPr>
        <w:t xml:space="preserve"> κ.λπ., σκέψη 21).</w:t>
      </w:r>
    </w:p>
    <w:p w:rsidR="00A40D6B" w:rsidRPr="00A40D6B" w:rsidRDefault="00A40D6B" w:rsidP="00A40D6B">
      <w:pPr>
        <w:rPr>
          <w:rFonts w:asciiTheme="majorHAnsi" w:hAnsiTheme="majorHAnsi" w:cstheme="majorHAnsi"/>
        </w:rPr>
      </w:pPr>
      <w:r w:rsidRPr="00A40D6B">
        <w:rPr>
          <w:rFonts w:asciiTheme="majorHAnsi" w:hAnsiTheme="majorHAnsi" w:cstheme="majorHAnsi"/>
        </w:rPr>
        <w:t>42      Συναφώς, πρέπει να τονιστεί ότι, όπως αναφέρει και το Συμβούλιο της Ευρωπαϊκής Ένωσης, η προσέγγιση του κοινοτικού νομοθέτη συνίσταται στην πρόβλεψη λόγων αποκλεισμού που στηρίζονται αποκλειστικά στην αντικειμενική διαπίστωση περιστάσεων ή συμπεριφορών οι οποίες αφορούν συγκεκριμένο εργολήπτη και είναι ικανές να θέσουν υπό αμφισβήτηση την επαγγελματική του εντιμότητα ή την οικονομική ή χρηματοδοτική του ικανότητα να ολοκληρώσει τις εργασίες που καλύπτει η δημόσια σύμβαση στο πλαίσιο της ανάθεσης της οποίας ο εργολήπτης αυτός υποβάλλει προσφορά.</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43      Υπό τις συνθήκες αυτές, πρέπει να θεωρηθεί ότι το άρθρο 24, πρώτο εδάφιο, της οδηγίας 93/37 απαριθμεί κατά τρόπο εξαντλητικό τις αιτίες που μπορούν να δικαιολογήσουν αποκλεισμό ενός εργολήπτη από τη συμμετοχή σε διαγωνισμό για λόγους στηριζόμενους σε αντικειμενικά στοιχεία και απτόμενους των επαγγελματικών του ιδιοτήτων. Κατά συνέπεια, το άρθρο αυτό εμποδίζει τα κράτη μέλη ή τις αναθέτουσες αρχές να συμπληρώνουν τον κατάλογο τον οποίο περιέχει με άλλους λόγους αποκλεισμού στηριζόμενους σε κριτήρια σχετικά με την επαγγελματική ιδιότητα (βλ., κατ’ αναλογία,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La</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Cascina</w:t>
      </w:r>
      <w:proofErr w:type="spellEnd"/>
      <w:r w:rsidRPr="00A40D6B">
        <w:rPr>
          <w:rFonts w:asciiTheme="majorHAnsi" w:hAnsiTheme="majorHAnsi" w:cstheme="majorHAnsi"/>
        </w:rPr>
        <w:t xml:space="preserve"> κ.λπ., σκέψη 22).</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44      Η εξαντλητική απαρίθμηση του άρθρου 24, πρώτο εδάφιο, της οδηγίας 93/37 δεν αποκλείει, ωστόσο, την ευχέρεια των κρατών μελών να διατηρούν σε ισχύ ή να θεσπίζουν ουσιαστικούς κανόνες </w:t>
      </w:r>
      <w:proofErr w:type="spellStart"/>
      <w:r w:rsidRPr="00A40D6B">
        <w:rPr>
          <w:rFonts w:asciiTheme="majorHAnsi" w:hAnsiTheme="majorHAnsi" w:cstheme="majorHAnsi"/>
        </w:rPr>
        <w:t>αποσκοπούντες</w:t>
      </w:r>
      <w:proofErr w:type="spellEnd"/>
      <w:r w:rsidRPr="00A40D6B">
        <w:rPr>
          <w:rFonts w:asciiTheme="majorHAnsi" w:hAnsiTheme="majorHAnsi" w:cstheme="majorHAnsi"/>
        </w:rPr>
        <w:t xml:space="preserve">, μεταξύ άλλων, στη διασφάλιση, στον τομέα των δημοσίων συμβάσεων, της τήρησης της αρχής της ίσης μεταχείρισης, καθώς και της συνακόλουθης αρχής της διαφάνειας, τις οποίες οι αναθέτουσες αρχές υποχρεούνται να τηρούν σε κάθε διαδικασία ανάθεσης μιας τέτοιας σύμβασης (βλ., υπό το πνεύμα αυτό,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ARGE, σκέψη 24, και απόφαση της 16ης Οκτωβρίου 2003, C-421/01, </w:t>
      </w:r>
      <w:proofErr w:type="spellStart"/>
      <w:r w:rsidRPr="00A40D6B">
        <w:rPr>
          <w:rFonts w:asciiTheme="majorHAnsi" w:hAnsiTheme="majorHAnsi" w:cstheme="majorHAnsi"/>
        </w:rPr>
        <w:t>Traunfellner</w:t>
      </w:r>
      <w:proofErr w:type="spellEnd"/>
      <w:r w:rsidRPr="00A40D6B">
        <w:rPr>
          <w:rFonts w:asciiTheme="majorHAnsi" w:hAnsiTheme="majorHAnsi" w:cstheme="majorHAnsi"/>
        </w:rPr>
        <w:t>, Συλλογή 2003, σ. I</w:t>
      </w:r>
      <w:r w:rsidRPr="00A40D6B">
        <w:rPr>
          <w:rFonts w:ascii="Cambria Math" w:hAnsi="Cambria Math" w:cs="Cambria Math"/>
        </w:rPr>
        <w:t>‑</w:t>
      </w:r>
      <w:r w:rsidRPr="00A40D6B">
        <w:rPr>
          <w:rFonts w:asciiTheme="majorHAnsi" w:hAnsiTheme="majorHAnsi" w:cstheme="majorHAnsi"/>
        </w:rPr>
        <w:t>11941, σκέψη 29).</w:t>
      </w:r>
    </w:p>
    <w:p w:rsidR="00A40D6B" w:rsidRPr="00A40D6B" w:rsidRDefault="00A40D6B" w:rsidP="00A40D6B">
      <w:pPr>
        <w:rPr>
          <w:rFonts w:asciiTheme="majorHAnsi" w:hAnsiTheme="majorHAnsi" w:cstheme="majorHAnsi"/>
        </w:rPr>
      </w:pPr>
      <w:r w:rsidRPr="00A40D6B">
        <w:rPr>
          <w:rFonts w:asciiTheme="majorHAnsi" w:hAnsiTheme="majorHAnsi" w:cstheme="majorHAnsi"/>
        </w:rPr>
        <w:t>45      Πράγματι, οι εν λόγω αρχές, οι οποίες σημαίνουν, ιδίως, ότι στους διαγωνιζομένους πρέπει να επιφυλάσσεται ίση μεταχείριση τόσο κατά τον χρόνο που ετοιμάζουν τις προσφορές τους όσο και κατά τον χρόνο που οι προσφορές τους αποτιμώνται από την αναθέτουσα αρχή (βλ., υπό το πνεύμα αυτό, αποφάσεις της 18ης Οκτωβρίου 2001, C-19/00, SIAC Construction, Συλλογή 2001, σ. I</w:t>
      </w:r>
      <w:r w:rsidRPr="00A40D6B">
        <w:rPr>
          <w:rFonts w:ascii="Cambria Math" w:hAnsi="Cambria Math" w:cs="Cambria Math"/>
        </w:rPr>
        <w:t>‑</w:t>
      </w:r>
      <w:r w:rsidRPr="00A40D6B">
        <w:rPr>
          <w:rFonts w:asciiTheme="majorHAnsi" w:hAnsiTheme="majorHAnsi" w:cstheme="majorHAnsi"/>
        </w:rPr>
        <w:t xml:space="preserve">7725, </w:t>
      </w:r>
      <w:r w:rsidRPr="00A40D6B">
        <w:rPr>
          <w:rFonts w:ascii="Calibri Light" w:hAnsi="Calibri Light" w:cs="Calibri Light"/>
        </w:rPr>
        <w:t>σκέψη</w:t>
      </w:r>
      <w:r w:rsidRPr="00A40D6B">
        <w:rPr>
          <w:rFonts w:asciiTheme="majorHAnsi" w:hAnsiTheme="majorHAnsi" w:cstheme="majorHAnsi"/>
        </w:rPr>
        <w:t xml:space="preserve"> 34, </w:t>
      </w:r>
      <w:r w:rsidRPr="00A40D6B">
        <w:rPr>
          <w:rFonts w:ascii="Calibri Light" w:hAnsi="Calibri Light" w:cs="Calibri Light"/>
        </w:rPr>
        <w:t>και</w:t>
      </w:r>
      <w:r w:rsidRPr="00A40D6B">
        <w:rPr>
          <w:rFonts w:asciiTheme="majorHAnsi" w:hAnsiTheme="majorHAnsi" w:cstheme="majorHAnsi"/>
        </w:rPr>
        <w:t xml:space="preserve"> </w:t>
      </w:r>
      <w:r w:rsidRPr="00A40D6B">
        <w:rPr>
          <w:rFonts w:ascii="Calibri Light" w:hAnsi="Calibri Light" w:cs="Calibri Light"/>
        </w:rPr>
        <w:t>της</w:t>
      </w:r>
      <w:r w:rsidRPr="00A40D6B">
        <w:rPr>
          <w:rFonts w:asciiTheme="majorHAnsi" w:hAnsiTheme="majorHAnsi" w:cstheme="majorHAnsi"/>
        </w:rPr>
        <w:t xml:space="preserve"> 4</w:t>
      </w:r>
      <w:r w:rsidRPr="00A40D6B">
        <w:rPr>
          <w:rFonts w:ascii="Calibri Light" w:hAnsi="Calibri Light" w:cs="Calibri Light"/>
        </w:rPr>
        <w:t>ης</w:t>
      </w:r>
      <w:r w:rsidRPr="00A40D6B">
        <w:rPr>
          <w:rFonts w:asciiTheme="majorHAnsi" w:hAnsiTheme="majorHAnsi" w:cstheme="majorHAnsi"/>
        </w:rPr>
        <w:t xml:space="preserve"> </w:t>
      </w:r>
      <w:r w:rsidRPr="00A40D6B">
        <w:rPr>
          <w:rFonts w:ascii="Calibri Light" w:hAnsi="Calibri Light" w:cs="Calibri Light"/>
        </w:rPr>
        <w:t>Δεκεμβρίου</w:t>
      </w:r>
      <w:r w:rsidRPr="00A40D6B">
        <w:rPr>
          <w:rFonts w:asciiTheme="majorHAnsi" w:hAnsiTheme="majorHAnsi" w:cstheme="majorHAnsi"/>
        </w:rPr>
        <w:t xml:space="preserve"> 2003, C-448/01, EVN </w:t>
      </w:r>
      <w:r w:rsidRPr="00A40D6B">
        <w:rPr>
          <w:rFonts w:ascii="Calibri Light" w:hAnsi="Calibri Light" w:cs="Calibri Light"/>
        </w:rPr>
        <w:t>και</w:t>
      </w:r>
      <w:r w:rsidRPr="00A40D6B">
        <w:rPr>
          <w:rFonts w:asciiTheme="majorHAnsi" w:hAnsiTheme="majorHAnsi" w:cstheme="majorHAnsi"/>
        </w:rPr>
        <w:t xml:space="preserve"> </w:t>
      </w:r>
      <w:proofErr w:type="spellStart"/>
      <w:r w:rsidRPr="00A40D6B">
        <w:rPr>
          <w:rFonts w:asciiTheme="majorHAnsi" w:hAnsiTheme="majorHAnsi" w:cstheme="majorHAnsi"/>
        </w:rPr>
        <w:t>Wienstrom</w:t>
      </w:r>
      <w:proofErr w:type="spellEnd"/>
      <w:r w:rsidRPr="00A40D6B">
        <w:rPr>
          <w:rFonts w:asciiTheme="majorHAnsi" w:hAnsiTheme="majorHAnsi" w:cstheme="majorHAnsi"/>
        </w:rPr>
        <w:t xml:space="preserve">, </w:t>
      </w:r>
      <w:r w:rsidRPr="00A40D6B">
        <w:rPr>
          <w:rFonts w:ascii="Calibri Light" w:hAnsi="Calibri Light" w:cs="Calibri Light"/>
        </w:rPr>
        <w:t>Συλλογή</w:t>
      </w:r>
      <w:r w:rsidRPr="00A40D6B">
        <w:rPr>
          <w:rFonts w:asciiTheme="majorHAnsi" w:hAnsiTheme="majorHAnsi" w:cstheme="majorHAnsi"/>
        </w:rPr>
        <w:t xml:space="preserve"> 2003, </w:t>
      </w:r>
      <w:r w:rsidRPr="00A40D6B">
        <w:rPr>
          <w:rFonts w:ascii="Calibri Light" w:hAnsi="Calibri Light" w:cs="Calibri Light"/>
        </w:rPr>
        <w:t>σ</w:t>
      </w:r>
      <w:r w:rsidRPr="00A40D6B">
        <w:rPr>
          <w:rFonts w:asciiTheme="majorHAnsi" w:hAnsiTheme="majorHAnsi" w:cstheme="majorHAnsi"/>
        </w:rPr>
        <w:t xml:space="preserve">. I-14527, </w:t>
      </w:r>
      <w:r w:rsidRPr="00A40D6B">
        <w:rPr>
          <w:rFonts w:ascii="Calibri Light" w:hAnsi="Calibri Light" w:cs="Calibri Light"/>
        </w:rPr>
        <w:lastRenderedPageBreak/>
        <w:t>σκέψη</w:t>
      </w:r>
      <w:r w:rsidRPr="00A40D6B">
        <w:rPr>
          <w:rFonts w:asciiTheme="majorHAnsi" w:hAnsiTheme="majorHAnsi" w:cstheme="majorHAnsi"/>
        </w:rPr>
        <w:t xml:space="preserve"> 47), </w:t>
      </w:r>
      <w:r w:rsidRPr="00A40D6B">
        <w:rPr>
          <w:rFonts w:ascii="Calibri Light" w:hAnsi="Calibri Light" w:cs="Calibri Light"/>
        </w:rPr>
        <w:t>αποτελούν</w:t>
      </w:r>
      <w:r w:rsidRPr="00A40D6B">
        <w:rPr>
          <w:rFonts w:asciiTheme="majorHAnsi" w:hAnsiTheme="majorHAnsi" w:cstheme="majorHAnsi"/>
        </w:rPr>
        <w:t xml:space="preserve"> τη βάση των οδηγιών των σχετικών με τις διαδικασίες σύναψης των δημοσίων συμβάσεων (βλ., μεταξύ άλλων,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Universale-Bau</w:t>
      </w:r>
      <w:proofErr w:type="spellEnd"/>
      <w:r w:rsidRPr="00A40D6B">
        <w:rPr>
          <w:rFonts w:asciiTheme="majorHAnsi" w:hAnsiTheme="majorHAnsi" w:cstheme="majorHAnsi"/>
        </w:rPr>
        <w:t xml:space="preserve"> κ.λπ., σκέψη 91, και απόφαση της 19ης Ιουνίου 2003, C-315/01, GAT, Συλλογή 2003, σ. I-6351, σκέψη 73), το δε καθήκον των αναθετουσών αρχών να τηρούν τις αρχές αυτές αποτελεί την ίδια την ουσία των οδηγιών αυτών (βλ., υπό το πνεύμα αυτό, αποφάσεις της 17ης Σεπτεμβρίου 2002, C-513/99, </w:t>
      </w:r>
      <w:proofErr w:type="spellStart"/>
      <w:r w:rsidRPr="00A40D6B">
        <w:rPr>
          <w:rFonts w:asciiTheme="majorHAnsi" w:hAnsiTheme="majorHAnsi" w:cstheme="majorHAnsi"/>
        </w:rPr>
        <w:t>Concordia</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Bus</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Finland</w:t>
      </w:r>
      <w:proofErr w:type="spellEnd"/>
      <w:r w:rsidRPr="00A40D6B">
        <w:rPr>
          <w:rFonts w:asciiTheme="majorHAnsi" w:hAnsiTheme="majorHAnsi" w:cstheme="majorHAnsi"/>
        </w:rPr>
        <w:t>, Συλλογή 2002, σ. I</w:t>
      </w:r>
      <w:r w:rsidRPr="00A40D6B">
        <w:rPr>
          <w:rFonts w:ascii="Cambria Math" w:hAnsi="Cambria Math" w:cs="Cambria Math"/>
        </w:rPr>
        <w:t>‑</w:t>
      </w:r>
      <w:r w:rsidRPr="00A40D6B">
        <w:rPr>
          <w:rFonts w:asciiTheme="majorHAnsi" w:hAnsiTheme="majorHAnsi" w:cstheme="majorHAnsi"/>
        </w:rPr>
        <w:t xml:space="preserve">7213, </w:t>
      </w:r>
      <w:r w:rsidRPr="00A40D6B">
        <w:rPr>
          <w:rFonts w:ascii="Calibri Light" w:hAnsi="Calibri Light" w:cs="Calibri Light"/>
        </w:rPr>
        <w:t>σκέψη</w:t>
      </w:r>
      <w:r w:rsidRPr="00A40D6B">
        <w:rPr>
          <w:rFonts w:asciiTheme="majorHAnsi" w:hAnsiTheme="majorHAnsi" w:cstheme="majorHAnsi"/>
        </w:rPr>
        <w:t xml:space="preserve"> 81, </w:t>
      </w:r>
      <w:r w:rsidRPr="00A40D6B">
        <w:rPr>
          <w:rFonts w:ascii="Calibri Light" w:hAnsi="Calibri Light" w:cs="Calibri Light"/>
        </w:rPr>
        <w:t>και</w:t>
      </w:r>
      <w:r w:rsidRPr="00A40D6B">
        <w:rPr>
          <w:rFonts w:asciiTheme="majorHAnsi" w:hAnsiTheme="majorHAnsi" w:cstheme="majorHAnsi"/>
        </w:rPr>
        <w:t xml:space="preserve"> </w:t>
      </w:r>
      <w:r w:rsidRPr="00A40D6B">
        <w:rPr>
          <w:rFonts w:ascii="Calibri Light" w:hAnsi="Calibri Light" w:cs="Calibri Light"/>
        </w:rPr>
        <w:t>της</w:t>
      </w:r>
      <w:r w:rsidRPr="00A40D6B">
        <w:rPr>
          <w:rFonts w:asciiTheme="majorHAnsi" w:hAnsiTheme="majorHAnsi" w:cstheme="majorHAnsi"/>
        </w:rPr>
        <w:t xml:space="preserve"> 3</w:t>
      </w:r>
      <w:r w:rsidRPr="00A40D6B">
        <w:rPr>
          <w:rFonts w:ascii="Calibri Light" w:hAnsi="Calibri Light" w:cs="Calibri Light"/>
        </w:rPr>
        <w:t>ης</w:t>
      </w:r>
      <w:r w:rsidRPr="00A40D6B">
        <w:rPr>
          <w:rFonts w:asciiTheme="majorHAnsi" w:hAnsiTheme="majorHAnsi" w:cstheme="majorHAnsi"/>
        </w:rPr>
        <w:t xml:space="preserve"> </w:t>
      </w:r>
      <w:r w:rsidRPr="00A40D6B">
        <w:rPr>
          <w:rFonts w:ascii="Calibri Light" w:hAnsi="Calibri Light" w:cs="Calibri Light"/>
        </w:rPr>
        <w:t>Μαρτίου</w:t>
      </w:r>
      <w:r w:rsidRPr="00A40D6B">
        <w:rPr>
          <w:rFonts w:asciiTheme="majorHAnsi" w:hAnsiTheme="majorHAnsi" w:cstheme="majorHAnsi"/>
        </w:rPr>
        <w:t xml:space="preserve"> 2005, C</w:t>
      </w:r>
      <w:r w:rsidRPr="00A40D6B">
        <w:rPr>
          <w:rFonts w:ascii="Cambria Math" w:hAnsi="Cambria Math" w:cs="Cambria Math"/>
        </w:rPr>
        <w:t>‑</w:t>
      </w:r>
      <w:r w:rsidRPr="00A40D6B">
        <w:rPr>
          <w:rFonts w:asciiTheme="majorHAnsi" w:hAnsiTheme="majorHAnsi" w:cstheme="majorHAnsi"/>
        </w:rPr>
        <w:t>21/03 και C-34/03, Συλλογή 2005, σ. I-1559, σκέψη 26).</w:t>
      </w:r>
    </w:p>
    <w:p w:rsidR="00A40D6B" w:rsidRPr="00A40D6B" w:rsidRDefault="00A40D6B" w:rsidP="00A40D6B">
      <w:pPr>
        <w:rPr>
          <w:rFonts w:asciiTheme="majorHAnsi" w:hAnsiTheme="majorHAnsi" w:cstheme="majorHAnsi"/>
        </w:rPr>
      </w:pPr>
      <w:r w:rsidRPr="00A40D6B">
        <w:rPr>
          <w:rFonts w:asciiTheme="majorHAnsi" w:hAnsiTheme="majorHAnsi" w:cstheme="majorHAnsi"/>
        </w:rPr>
        <w:t>46      Το άρθρο 6, παράγραφος 6, της οδηγίας 93/37 διευκρινίζει, εξάλλου, ότι οι αναθέτουσες αρχές μεριμνούν ώστε να μη δημιουργούνται διακρίσεις μεταξύ των διαφόρων εργοληπτών.</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47      Επομένως, ένα κράτος μέλος έχει δικαίωμα να προβλέψει, επιπλέον των λόγων αποκλεισμού που στηρίζονται σε αντικειμενικές σκέψεις απτόμενες της επαγγελματικής ιδιότητας, οι οποίοι απαριθμούνται </w:t>
      </w:r>
      <w:proofErr w:type="spellStart"/>
      <w:r w:rsidRPr="00A40D6B">
        <w:rPr>
          <w:rFonts w:asciiTheme="majorHAnsi" w:hAnsiTheme="majorHAnsi" w:cstheme="majorHAnsi"/>
        </w:rPr>
        <w:t>περιοριστικώς</w:t>
      </w:r>
      <w:proofErr w:type="spellEnd"/>
      <w:r w:rsidRPr="00A40D6B">
        <w:rPr>
          <w:rFonts w:asciiTheme="majorHAnsi" w:hAnsiTheme="majorHAnsi" w:cstheme="majorHAnsi"/>
        </w:rPr>
        <w:t xml:space="preserve"> στο άρθρο 24, πρώτο εδάφιο, της οδηγίας 93/37, μέτρα αποκλεισμού </w:t>
      </w:r>
      <w:proofErr w:type="spellStart"/>
      <w:r w:rsidRPr="00A40D6B">
        <w:rPr>
          <w:rFonts w:asciiTheme="majorHAnsi" w:hAnsiTheme="majorHAnsi" w:cstheme="majorHAnsi"/>
        </w:rPr>
        <w:t>αποσκοπούντα</w:t>
      </w:r>
      <w:proofErr w:type="spellEnd"/>
      <w:r w:rsidRPr="00A40D6B">
        <w:rPr>
          <w:rFonts w:asciiTheme="majorHAnsi" w:hAnsiTheme="majorHAnsi" w:cstheme="majorHAnsi"/>
        </w:rPr>
        <w:t xml:space="preserve"> στη διασφάλιση της τήρησης της αρχής της ίσης μεταχείρισης όλων των υποβαλλόντων προσφορά, καθώς και της αρχής της διαφάνειας, στο πλαίσιο των διαδικασιών σύναψης των δημοσίων συμβάσεων.</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48      Ωστόσο, σύμφωνα με την αρχή της αναλογικότητας, που αποτελεί γενική αρχή του κοινοτικού δικαίου (βλ., μεταξύ άλλων, απόφαση της 14ης Δεκεμβρίου 2004, C-210/03, </w:t>
      </w:r>
      <w:proofErr w:type="spellStart"/>
      <w:r w:rsidRPr="00A40D6B">
        <w:rPr>
          <w:rFonts w:asciiTheme="majorHAnsi" w:hAnsiTheme="majorHAnsi" w:cstheme="majorHAnsi"/>
        </w:rPr>
        <w:t>Swedish</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Match</w:t>
      </w:r>
      <w:proofErr w:type="spellEnd"/>
      <w:r w:rsidRPr="00A40D6B">
        <w:rPr>
          <w:rFonts w:asciiTheme="majorHAnsi" w:hAnsiTheme="majorHAnsi" w:cstheme="majorHAnsi"/>
        </w:rPr>
        <w:t xml:space="preserve">, Συλλογή 2004, σ. I-11893, σκέψη 47), τα μέτρα αυτά δεν πρέπει να βαίνουν πέραν του αναγκαίου για την επίτευξη του στόχου αυτού μέτρου (βλ., υπό το πνεύμα αυτό,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Fabricom</w:t>
      </w:r>
      <w:proofErr w:type="spellEnd"/>
      <w:r w:rsidRPr="00A40D6B">
        <w:rPr>
          <w:rFonts w:asciiTheme="majorHAnsi" w:hAnsiTheme="majorHAnsi" w:cstheme="majorHAnsi"/>
        </w:rPr>
        <w:t>, σκέψη 34).</w:t>
      </w:r>
    </w:p>
    <w:p w:rsidR="00236BEF" w:rsidRDefault="00A40D6B" w:rsidP="00A40D6B">
      <w:pPr>
        <w:rPr>
          <w:rFonts w:asciiTheme="majorHAnsi" w:hAnsiTheme="majorHAnsi" w:cstheme="majorHAnsi"/>
        </w:rPr>
      </w:pPr>
      <w:r w:rsidRPr="00A40D6B">
        <w:rPr>
          <w:rFonts w:asciiTheme="majorHAnsi" w:hAnsiTheme="majorHAnsi" w:cstheme="majorHAnsi"/>
        </w:rPr>
        <w:t xml:space="preserve">49      Βάσει των ανωτέρω σκέψεων, στο πρώτο ερώτημα προσήκει η απάντηση ότι το άρθρο 24, πρώτο εδάφιο, της οδηγίας 93/37 έχει την έννοια ότι 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rsidRPr="00A40D6B">
        <w:rPr>
          <w:rFonts w:asciiTheme="majorHAnsi" w:hAnsiTheme="majorHAnsi" w:cstheme="majorHAnsi"/>
        </w:rPr>
        <w:t>αποσκοπούντα</w:t>
      </w:r>
      <w:proofErr w:type="spellEnd"/>
      <w:r w:rsidRPr="00A40D6B">
        <w:rPr>
          <w:rFonts w:asciiTheme="majorHAnsi" w:hAnsiTheme="majorHAnsi" w:cstheme="majorHAnsi"/>
        </w:rPr>
        <w:t xml:space="preserve"> στη διασφάλιση της τήρησης των αρχών της ίσης μεταχείρισης των υποβαλλόντων προσφορά και της διαφάνειας, υπό τον </w:t>
      </w:r>
      <w:proofErr w:type="spellStart"/>
      <w:r w:rsidRPr="00A40D6B">
        <w:rPr>
          <w:rFonts w:asciiTheme="majorHAnsi" w:hAnsiTheme="majorHAnsi" w:cstheme="majorHAnsi"/>
        </w:rPr>
        <w:t>όρον</w:t>
      </w:r>
      <w:proofErr w:type="spellEnd"/>
      <w:r w:rsidRPr="00A40D6B">
        <w:rPr>
          <w:rFonts w:asciiTheme="majorHAnsi" w:hAnsiTheme="majorHAnsi" w:cstheme="majorHAnsi"/>
        </w:rPr>
        <w:t xml:space="preserve"> ότι τα μέτρα αυτά δεν βαίνουν πέραν του αναγκαίου για την επίτευξη του στόχου αυτού μέτρου.</w:t>
      </w:r>
    </w:p>
    <w:p w:rsidR="00A40D6B" w:rsidRPr="00A40D6B" w:rsidRDefault="00A40D6B" w:rsidP="00A40D6B">
      <w:pPr>
        <w:rPr>
          <w:rFonts w:asciiTheme="majorHAnsi" w:hAnsiTheme="majorHAnsi" w:cstheme="majorHAnsi"/>
        </w:rPr>
      </w:pPr>
      <w:r w:rsidRPr="00236BEF">
        <w:rPr>
          <w:rFonts w:asciiTheme="majorHAnsi" w:hAnsiTheme="majorHAnsi" w:cstheme="majorHAnsi"/>
          <w:b/>
        </w:rPr>
        <w:t>Επί του δευτέρου ερωτήματος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50      Με το δεύτερο ερώτημά του, το αιτούν δικαστήριο ερωτά, κατ’ </w:t>
      </w:r>
      <w:proofErr w:type="spellStart"/>
      <w:r w:rsidRPr="00A40D6B">
        <w:rPr>
          <w:rFonts w:asciiTheme="majorHAnsi" w:hAnsiTheme="majorHAnsi" w:cstheme="majorHAnsi"/>
        </w:rPr>
        <w:t>ουσίαν</w:t>
      </w:r>
      <w:proofErr w:type="spellEnd"/>
      <w:r w:rsidRPr="00A40D6B">
        <w:rPr>
          <w:rFonts w:asciiTheme="majorHAnsi" w:hAnsiTheme="majorHAnsi" w:cstheme="majorHAnsi"/>
        </w:rPr>
        <w:t>, αν συμβιβάζεται με τις αρχές του κοινοτικού δικαίου μια εθνική διάταξη που καθιερώνει ασυμβίβαστο μεταξύ του τομέα των μέσων ενημέρωσης και του τομέα των δημοσίων συμβάσεων.</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51      Πρέπει ευθύς εξαρχής να </w:t>
      </w:r>
      <w:proofErr w:type="spellStart"/>
      <w:r w:rsidRPr="00A40D6B">
        <w:rPr>
          <w:rFonts w:asciiTheme="majorHAnsi" w:hAnsiTheme="majorHAnsi" w:cstheme="majorHAnsi"/>
        </w:rPr>
        <w:t>υπομνησθεί</w:t>
      </w:r>
      <w:proofErr w:type="spellEnd"/>
      <w:r w:rsidRPr="00A40D6B">
        <w:rPr>
          <w:rFonts w:asciiTheme="majorHAnsi" w:hAnsiTheme="majorHAnsi" w:cstheme="majorHAnsi"/>
        </w:rPr>
        <w:t xml:space="preserve"> ότι το Δικαστήριο δεν είναι αρμόδιο να αποφαίνεται, στο πλαίσιο προδικαστικής παραπομπής, επί της συμβατότητας του εθνικού δικαίου με το κοινοτικό δίκαιο ούτε να ερμηνεύει το εθνικό δίκαιο. Αντιθέτως, το Δικαστήριο είναι αρμόδιο να παράσχει στο εθνικό δικαστήριο όλα τα σχετικά με το κοινοτικό δίκαιο ερμηνευτικά στοιχεία που θα επιτρέψουν στο εν λόγω δικαστήριο να εκτιμήσει τη συμβατότητα αυτή προκειμένου να εκδώσει απόφαση στην υπόθεση της </w:t>
      </w:r>
      <w:r w:rsidRPr="00A40D6B">
        <w:rPr>
          <w:rFonts w:asciiTheme="majorHAnsi" w:hAnsiTheme="majorHAnsi" w:cstheme="majorHAnsi"/>
        </w:rPr>
        <w:lastRenderedPageBreak/>
        <w:t xml:space="preserve">οποίας έχει επιληφθεί (βλ., μεταξύ άλλων, αποφάσεις της 15ης Δεκεμβρίου 1993, C-292/92, </w:t>
      </w:r>
      <w:proofErr w:type="spellStart"/>
      <w:r w:rsidRPr="00A40D6B">
        <w:rPr>
          <w:rFonts w:asciiTheme="majorHAnsi" w:hAnsiTheme="majorHAnsi" w:cstheme="majorHAnsi"/>
        </w:rPr>
        <w:t>Hünermund</w:t>
      </w:r>
      <w:proofErr w:type="spellEnd"/>
      <w:r w:rsidRPr="00A40D6B">
        <w:rPr>
          <w:rFonts w:asciiTheme="majorHAnsi" w:hAnsiTheme="majorHAnsi" w:cstheme="majorHAnsi"/>
        </w:rPr>
        <w:t xml:space="preserve"> κ.λπ., Συλλογή 1993, σ. Ι-6787, σκέψη 8, και της 23ης Μαρτίου 2006, C-237/04, </w:t>
      </w:r>
      <w:proofErr w:type="spellStart"/>
      <w:r w:rsidRPr="00A40D6B">
        <w:rPr>
          <w:rFonts w:asciiTheme="majorHAnsi" w:hAnsiTheme="majorHAnsi" w:cstheme="majorHAnsi"/>
        </w:rPr>
        <w:t>Enirisorse</w:t>
      </w:r>
      <w:proofErr w:type="spellEnd"/>
      <w:r w:rsidRPr="00A40D6B">
        <w:rPr>
          <w:rFonts w:asciiTheme="majorHAnsi" w:hAnsiTheme="majorHAnsi" w:cstheme="majorHAnsi"/>
        </w:rPr>
        <w:t>, Συλλογή 2006, σ. I</w:t>
      </w:r>
      <w:r w:rsidRPr="00A40D6B">
        <w:rPr>
          <w:rFonts w:ascii="Cambria Math" w:hAnsi="Cambria Math" w:cs="Cambria Math"/>
        </w:rPr>
        <w:t>‑</w:t>
      </w:r>
      <w:r w:rsidRPr="00A40D6B">
        <w:rPr>
          <w:rFonts w:asciiTheme="majorHAnsi" w:hAnsiTheme="majorHAnsi" w:cstheme="majorHAnsi"/>
        </w:rPr>
        <w:t xml:space="preserve">2843, </w:t>
      </w:r>
      <w:r w:rsidRPr="00A40D6B">
        <w:rPr>
          <w:rFonts w:ascii="Calibri Light" w:hAnsi="Calibri Light" w:cs="Calibri Light"/>
        </w:rPr>
        <w:t>σκέψη</w:t>
      </w:r>
      <w:r w:rsidRPr="00A40D6B">
        <w:rPr>
          <w:rFonts w:asciiTheme="majorHAnsi" w:hAnsiTheme="majorHAnsi" w:cstheme="majorHAnsi"/>
        </w:rPr>
        <w:t xml:space="preserve"> 24, </w:t>
      </w:r>
      <w:r w:rsidRPr="00A40D6B">
        <w:rPr>
          <w:rFonts w:ascii="Calibri Light" w:hAnsi="Calibri Light" w:cs="Calibri Light"/>
        </w:rPr>
        <w:t>καθώς</w:t>
      </w:r>
      <w:r w:rsidRPr="00A40D6B">
        <w:rPr>
          <w:rFonts w:asciiTheme="majorHAnsi" w:hAnsiTheme="majorHAnsi" w:cstheme="majorHAnsi"/>
        </w:rPr>
        <w:t xml:space="preserve"> </w:t>
      </w:r>
      <w:r w:rsidRPr="00A40D6B">
        <w:rPr>
          <w:rFonts w:ascii="Calibri Light" w:hAnsi="Calibri Light" w:cs="Calibri Light"/>
        </w:rPr>
        <w:t>και</w:t>
      </w:r>
      <w:r w:rsidRPr="00A40D6B">
        <w:rPr>
          <w:rFonts w:asciiTheme="majorHAnsi" w:hAnsiTheme="majorHAnsi" w:cstheme="majorHAnsi"/>
        </w:rPr>
        <w:t xml:space="preserve"> </w:t>
      </w:r>
      <w:proofErr w:type="spellStart"/>
      <w:r w:rsidRPr="00A40D6B">
        <w:rPr>
          <w:rFonts w:ascii="Calibri Light" w:hAnsi="Calibri Light" w:cs="Calibri Light"/>
        </w:rPr>
        <w:t>προμνησθείσα</w:t>
      </w:r>
      <w:proofErr w:type="spellEnd"/>
      <w:r w:rsidRPr="00A40D6B">
        <w:rPr>
          <w:rFonts w:asciiTheme="majorHAnsi" w:hAnsiTheme="majorHAnsi" w:cstheme="majorHAnsi"/>
        </w:rPr>
        <w:t xml:space="preserve"> </w:t>
      </w:r>
      <w:r w:rsidRPr="00A40D6B">
        <w:rPr>
          <w:rFonts w:ascii="Calibri Light" w:hAnsi="Calibri Light" w:cs="Calibri Light"/>
        </w:rPr>
        <w:t>απόφαση</w:t>
      </w:r>
      <w:r w:rsidRPr="00A40D6B">
        <w:rPr>
          <w:rFonts w:asciiTheme="majorHAnsi" w:hAnsiTheme="majorHAnsi" w:cstheme="majorHAnsi"/>
        </w:rPr>
        <w:t xml:space="preserve"> </w:t>
      </w:r>
      <w:proofErr w:type="spellStart"/>
      <w:r w:rsidRPr="00A40D6B">
        <w:rPr>
          <w:rFonts w:asciiTheme="majorHAnsi" w:hAnsiTheme="majorHAnsi" w:cstheme="majorHAnsi"/>
        </w:rPr>
        <w:t>Centro</w:t>
      </w:r>
      <w:proofErr w:type="spellEnd"/>
      <w:r w:rsidRPr="00A40D6B">
        <w:rPr>
          <w:rFonts w:asciiTheme="majorHAnsi" w:hAnsiTheme="majorHAnsi" w:cstheme="majorHAnsi"/>
        </w:rPr>
        <w:t xml:space="preserve"> Europa 7, </w:t>
      </w:r>
      <w:r w:rsidRPr="00A40D6B">
        <w:rPr>
          <w:rFonts w:ascii="Calibri Light" w:hAnsi="Calibri Light" w:cs="Calibri Light"/>
        </w:rPr>
        <w:t>σκέψεις</w:t>
      </w:r>
      <w:r w:rsidRPr="00A40D6B">
        <w:rPr>
          <w:rFonts w:asciiTheme="majorHAnsi" w:hAnsiTheme="majorHAnsi" w:cstheme="majorHAnsi"/>
        </w:rPr>
        <w:t xml:space="preserve"> 49 </w:t>
      </w:r>
      <w:r w:rsidRPr="00A40D6B">
        <w:rPr>
          <w:rFonts w:ascii="Calibri Light" w:hAnsi="Calibri Light" w:cs="Calibri Light"/>
        </w:rPr>
        <w:t>και</w:t>
      </w:r>
      <w:r w:rsidRPr="00A40D6B">
        <w:rPr>
          <w:rFonts w:asciiTheme="majorHAnsi" w:hAnsiTheme="majorHAnsi" w:cstheme="majorHAnsi"/>
        </w:rPr>
        <w:t xml:space="preserve"> 50).</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52      Συνεπώς, στην υπό κρίση υπόθεση, το Δικαστήριο πρέπει να περιορίσει την εξέτασή του παρέχοντας μια ερμηνεία του κοινοτικού δικαίου που θα είναι χρήσιμη στο αιτούν δικαστήριο, στο οποίο εναπόκειται να εκτιμήσει τη συμβατότητα των </w:t>
      </w:r>
      <w:proofErr w:type="spellStart"/>
      <w:r w:rsidRPr="00A40D6B">
        <w:rPr>
          <w:rFonts w:asciiTheme="majorHAnsi" w:hAnsiTheme="majorHAnsi" w:cstheme="majorHAnsi"/>
        </w:rPr>
        <w:t>κρισίμων</w:t>
      </w:r>
      <w:proofErr w:type="spellEnd"/>
      <w:r w:rsidRPr="00A40D6B">
        <w:rPr>
          <w:rFonts w:asciiTheme="majorHAnsi" w:hAnsiTheme="majorHAnsi" w:cstheme="majorHAnsi"/>
        </w:rPr>
        <w:t xml:space="preserve"> στοιχείων του εθνικού δικαίου προς το κοινοτικό δίκαιο, προκειμένου να αποφανθεί επί της διαφοράς που εκκρεμεί </w:t>
      </w:r>
      <w:proofErr w:type="spellStart"/>
      <w:r w:rsidRPr="00A40D6B">
        <w:rPr>
          <w:rFonts w:asciiTheme="majorHAnsi" w:hAnsiTheme="majorHAnsi" w:cstheme="majorHAnsi"/>
        </w:rPr>
        <w:t>ενώπιόν</w:t>
      </w:r>
      <w:proofErr w:type="spellEnd"/>
      <w:r w:rsidRPr="00A40D6B">
        <w:rPr>
          <w:rFonts w:asciiTheme="majorHAnsi" w:hAnsiTheme="majorHAnsi" w:cstheme="majorHAnsi"/>
        </w:rPr>
        <w:t xml:space="preserve"> του.</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53      Συναφώς, όπως </w:t>
      </w:r>
      <w:proofErr w:type="spellStart"/>
      <w:r w:rsidRPr="00A40D6B">
        <w:rPr>
          <w:rFonts w:asciiTheme="majorHAnsi" w:hAnsiTheme="majorHAnsi" w:cstheme="majorHAnsi"/>
        </w:rPr>
        <w:t>υπομνήσθηκε</w:t>
      </w:r>
      <w:proofErr w:type="spellEnd"/>
      <w:r w:rsidRPr="00A40D6B">
        <w:rPr>
          <w:rFonts w:asciiTheme="majorHAnsi" w:hAnsiTheme="majorHAnsi" w:cstheme="majorHAnsi"/>
        </w:rPr>
        <w:t xml:space="preserve"> στη σκέψη 39 της παρούσας απόφασης, πρωταρχικός σκοπός της οδηγίας 93/37 είναι η διασφάλιση του σε κοινοτική κλίμακα ανταγωνισμού στις συμβάσεις δημοσίων έργων. Η οδηγία αυτή αποσκοπεί στον αποκλεισμό της πιθανότητας ευνοιοκρατικής συμπεριφοράς εκ μέρους των δημοσίων αρχών (βλ., υπό το πνεύμα αυτό, </w:t>
      </w:r>
      <w:proofErr w:type="spellStart"/>
      <w:r w:rsidRPr="00A40D6B">
        <w:rPr>
          <w:rFonts w:asciiTheme="majorHAnsi" w:hAnsiTheme="majorHAnsi" w:cstheme="majorHAnsi"/>
        </w:rPr>
        <w:t>προμνησθείσες</w:t>
      </w:r>
      <w:proofErr w:type="spellEnd"/>
      <w:r w:rsidRPr="00A40D6B">
        <w:rPr>
          <w:rFonts w:asciiTheme="majorHAnsi" w:hAnsiTheme="majorHAnsi" w:cstheme="majorHAnsi"/>
        </w:rPr>
        <w:t xml:space="preserve"> αποφάσεις </w:t>
      </w:r>
      <w:proofErr w:type="spellStart"/>
      <w:r w:rsidRPr="00A40D6B">
        <w:rPr>
          <w:rFonts w:asciiTheme="majorHAnsi" w:hAnsiTheme="majorHAnsi" w:cstheme="majorHAnsi"/>
        </w:rPr>
        <w:t>Ordine</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degli</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Architetti</w:t>
      </w:r>
      <w:proofErr w:type="spellEnd"/>
      <w:r w:rsidRPr="00A40D6B">
        <w:rPr>
          <w:rFonts w:asciiTheme="majorHAnsi" w:hAnsiTheme="majorHAnsi" w:cstheme="majorHAnsi"/>
        </w:rPr>
        <w:t xml:space="preserve"> κ.λπ., σκέψη 75, και </w:t>
      </w:r>
      <w:proofErr w:type="spellStart"/>
      <w:r w:rsidRPr="00A40D6B">
        <w:rPr>
          <w:rFonts w:asciiTheme="majorHAnsi" w:hAnsiTheme="majorHAnsi" w:cstheme="majorHAnsi"/>
        </w:rPr>
        <w:t>Lombardini</w:t>
      </w:r>
      <w:proofErr w:type="spellEnd"/>
      <w:r w:rsidRPr="00A40D6B">
        <w:rPr>
          <w:rFonts w:asciiTheme="majorHAnsi" w:hAnsiTheme="majorHAnsi" w:cstheme="majorHAnsi"/>
        </w:rPr>
        <w:t xml:space="preserve"> και </w:t>
      </w:r>
      <w:proofErr w:type="spellStart"/>
      <w:r w:rsidRPr="00A40D6B">
        <w:rPr>
          <w:rFonts w:asciiTheme="majorHAnsi" w:hAnsiTheme="majorHAnsi" w:cstheme="majorHAnsi"/>
        </w:rPr>
        <w:t>Mantovani</w:t>
      </w:r>
      <w:proofErr w:type="spellEnd"/>
      <w:r w:rsidRPr="00A40D6B">
        <w:rPr>
          <w:rFonts w:asciiTheme="majorHAnsi" w:hAnsiTheme="majorHAnsi" w:cstheme="majorHAnsi"/>
        </w:rPr>
        <w:t>, σκέψη 35).</w:t>
      </w:r>
    </w:p>
    <w:p w:rsidR="00A40D6B" w:rsidRPr="00A40D6B" w:rsidRDefault="00A40D6B" w:rsidP="00A40D6B">
      <w:pPr>
        <w:rPr>
          <w:rFonts w:asciiTheme="majorHAnsi" w:hAnsiTheme="majorHAnsi" w:cstheme="majorHAnsi"/>
        </w:rPr>
      </w:pPr>
      <w:r w:rsidRPr="00A40D6B">
        <w:rPr>
          <w:rFonts w:asciiTheme="majorHAnsi" w:hAnsiTheme="majorHAnsi" w:cstheme="majorHAnsi"/>
        </w:rPr>
        <w:t>54      Με τον κοινοτικό συντονισμό των διαδικασιών σύναψης των δημοσίων συμβάσεων επιδιώκεται, μεταξύ άλλων, τόσο η αποσόβηση του κινδύνου να προτιμηθούν οι ημεδαποί υποβάλλοντες προσφορά κατά τη σύναψη μιας σύμβασης όσο και ο αποκλεισμός του ενδεχομένου μια δημόσια αναθέτουσα αρχή να καθορίσει τη στάση της βάσει εκτιμήσεων ξένων προς τη συγκεκριμένη σύμβαση (βλ., υπό το πνεύμα αυτό, αποφάσεις της 3ης Οκτωβρίου 2000, C</w:t>
      </w:r>
      <w:r w:rsidRPr="00A40D6B">
        <w:rPr>
          <w:rFonts w:ascii="Cambria Math" w:hAnsi="Cambria Math" w:cs="Cambria Math"/>
        </w:rPr>
        <w:t>‑</w:t>
      </w:r>
      <w:r w:rsidRPr="00A40D6B">
        <w:rPr>
          <w:rFonts w:asciiTheme="majorHAnsi" w:hAnsiTheme="majorHAnsi" w:cstheme="majorHAnsi"/>
        </w:rPr>
        <w:t xml:space="preserve">380/98, </w:t>
      </w:r>
      <w:proofErr w:type="spellStart"/>
      <w:r w:rsidRPr="00A40D6B">
        <w:rPr>
          <w:rFonts w:asciiTheme="majorHAnsi" w:hAnsiTheme="majorHAnsi" w:cstheme="majorHAnsi"/>
        </w:rPr>
        <w:t>University</w:t>
      </w:r>
      <w:proofErr w:type="spellEnd"/>
      <w:r w:rsidRPr="00A40D6B">
        <w:rPr>
          <w:rFonts w:asciiTheme="majorHAnsi" w:hAnsiTheme="majorHAnsi" w:cstheme="majorHAnsi"/>
        </w:rPr>
        <w:t xml:space="preserve"> of </w:t>
      </w:r>
      <w:proofErr w:type="spellStart"/>
      <w:r w:rsidRPr="00A40D6B">
        <w:rPr>
          <w:rFonts w:asciiTheme="majorHAnsi" w:hAnsiTheme="majorHAnsi" w:cstheme="majorHAnsi"/>
        </w:rPr>
        <w:t>Cambridge</w:t>
      </w:r>
      <w:proofErr w:type="spellEnd"/>
      <w:r w:rsidRPr="00A40D6B">
        <w:rPr>
          <w:rFonts w:asciiTheme="majorHAnsi" w:hAnsiTheme="majorHAnsi" w:cstheme="majorHAnsi"/>
        </w:rPr>
        <w:t xml:space="preserve">, </w:t>
      </w:r>
      <w:r w:rsidRPr="00A40D6B">
        <w:rPr>
          <w:rFonts w:ascii="Calibri Light" w:hAnsi="Calibri Light" w:cs="Calibri Light"/>
        </w:rPr>
        <w:t>Συλλο</w:t>
      </w:r>
      <w:r w:rsidRPr="00A40D6B">
        <w:rPr>
          <w:rFonts w:asciiTheme="majorHAnsi" w:hAnsiTheme="majorHAnsi" w:cstheme="majorHAnsi"/>
        </w:rPr>
        <w:t>γή 2000, σ. I-8035, σκέψη 17, και της 1ης Φεβρουαρίου 2001, C</w:t>
      </w:r>
      <w:r w:rsidRPr="00A40D6B">
        <w:rPr>
          <w:rFonts w:ascii="Cambria Math" w:hAnsi="Cambria Math" w:cs="Cambria Math"/>
        </w:rPr>
        <w:t>‑</w:t>
      </w:r>
      <w:r w:rsidRPr="00A40D6B">
        <w:rPr>
          <w:rFonts w:asciiTheme="majorHAnsi" w:hAnsiTheme="majorHAnsi" w:cstheme="majorHAnsi"/>
        </w:rPr>
        <w:t xml:space="preserve">237/99, </w:t>
      </w:r>
      <w:r w:rsidRPr="00A40D6B">
        <w:rPr>
          <w:rFonts w:ascii="Calibri Light" w:hAnsi="Calibri Light" w:cs="Calibri Light"/>
        </w:rPr>
        <w:t>Επιτροπή</w:t>
      </w:r>
      <w:r w:rsidRPr="00A40D6B">
        <w:rPr>
          <w:rFonts w:asciiTheme="majorHAnsi" w:hAnsiTheme="majorHAnsi" w:cstheme="majorHAnsi"/>
        </w:rPr>
        <w:t xml:space="preserve"> </w:t>
      </w:r>
      <w:r w:rsidRPr="00A40D6B">
        <w:rPr>
          <w:rFonts w:ascii="Calibri Light" w:hAnsi="Calibri Light" w:cs="Calibri Light"/>
        </w:rPr>
        <w:t>κατά</w:t>
      </w:r>
      <w:r w:rsidRPr="00A40D6B">
        <w:rPr>
          <w:rFonts w:asciiTheme="majorHAnsi" w:hAnsiTheme="majorHAnsi" w:cstheme="majorHAnsi"/>
        </w:rPr>
        <w:t xml:space="preserve"> </w:t>
      </w:r>
      <w:r w:rsidRPr="00A40D6B">
        <w:rPr>
          <w:rFonts w:ascii="Calibri Light" w:hAnsi="Calibri Light" w:cs="Calibri Light"/>
        </w:rPr>
        <w:t>Γαλλίας</w:t>
      </w:r>
      <w:r w:rsidRPr="00A40D6B">
        <w:rPr>
          <w:rFonts w:asciiTheme="majorHAnsi" w:hAnsiTheme="majorHAnsi" w:cstheme="majorHAnsi"/>
        </w:rPr>
        <w:t xml:space="preserve">, </w:t>
      </w:r>
      <w:r w:rsidRPr="00A40D6B">
        <w:rPr>
          <w:rFonts w:ascii="Calibri Light" w:hAnsi="Calibri Light" w:cs="Calibri Light"/>
        </w:rPr>
        <w:t>Συλλογή</w:t>
      </w:r>
      <w:r w:rsidRPr="00A40D6B">
        <w:rPr>
          <w:rFonts w:asciiTheme="majorHAnsi" w:hAnsiTheme="majorHAnsi" w:cstheme="majorHAnsi"/>
        </w:rPr>
        <w:t xml:space="preserve"> 2001, </w:t>
      </w:r>
      <w:r w:rsidRPr="00A40D6B">
        <w:rPr>
          <w:rFonts w:ascii="Calibri Light" w:hAnsi="Calibri Light" w:cs="Calibri Light"/>
        </w:rPr>
        <w:t>σ</w:t>
      </w:r>
      <w:r w:rsidRPr="00A40D6B">
        <w:rPr>
          <w:rFonts w:asciiTheme="majorHAnsi" w:hAnsiTheme="majorHAnsi" w:cstheme="majorHAnsi"/>
        </w:rPr>
        <w:t xml:space="preserve">. I-939, </w:t>
      </w:r>
      <w:r w:rsidRPr="00A40D6B">
        <w:rPr>
          <w:rFonts w:ascii="Calibri Light" w:hAnsi="Calibri Light" w:cs="Calibri Light"/>
        </w:rPr>
        <w:t>σκέψη</w:t>
      </w:r>
      <w:r w:rsidRPr="00A40D6B">
        <w:rPr>
          <w:rFonts w:asciiTheme="majorHAnsi" w:hAnsiTheme="majorHAnsi" w:cstheme="majorHAnsi"/>
        </w:rPr>
        <w:t xml:space="preserve"> 42, </w:t>
      </w:r>
      <w:r w:rsidRPr="00A40D6B">
        <w:rPr>
          <w:rFonts w:ascii="Calibri Light" w:hAnsi="Calibri Light" w:cs="Calibri Light"/>
        </w:rPr>
        <w:t>καθώς</w:t>
      </w:r>
      <w:r w:rsidRPr="00A40D6B">
        <w:rPr>
          <w:rFonts w:asciiTheme="majorHAnsi" w:hAnsiTheme="majorHAnsi" w:cstheme="majorHAnsi"/>
        </w:rPr>
        <w:t xml:space="preserve"> </w:t>
      </w:r>
      <w:r w:rsidRPr="00A40D6B">
        <w:rPr>
          <w:rFonts w:ascii="Calibri Light" w:hAnsi="Calibri Light" w:cs="Calibri Light"/>
        </w:rPr>
        <w:t>και</w:t>
      </w:r>
      <w:r w:rsidRPr="00A40D6B">
        <w:rPr>
          <w:rFonts w:asciiTheme="majorHAnsi" w:hAnsiTheme="majorHAnsi" w:cstheme="majorHAnsi"/>
        </w:rPr>
        <w:t xml:space="preserve"> </w:t>
      </w:r>
      <w:proofErr w:type="spellStart"/>
      <w:r w:rsidRPr="00A40D6B">
        <w:rPr>
          <w:rFonts w:ascii="Calibri Light" w:hAnsi="Calibri Light" w:cs="Calibri Light"/>
        </w:rPr>
        <w:t>προμνησθείσα</w:t>
      </w:r>
      <w:proofErr w:type="spellEnd"/>
      <w:r w:rsidRPr="00A40D6B">
        <w:rPr>
          <w:rFonts w:asciiTheme="majorHAnsi" w:hAnsiTheme="majorHAnsi" w:cstheme="majorHAnsi"/>
        </w:rPr>
        <w:t xml:space="preserve"> </w:t>
      </w:r>
      <w:r w:rsidRPr="00A40D6B">
        <w:rPr>
          <w:rFonts w:ascii="Calibri Light" w:hAnsi="Calibri Light" w:cs="Calibri Light"/>
        </w:rPr>
        <w:t>απόφαση</w:t>
      </w:r>
      <w:r w:rsidRPr="00A40D6B">
        <w:rPr>
          <w:rFonts w:asciiTheme="majorHAnsi" w:hAnsiTheme="majorHAnsi" w:cstheme="majorHAnsi"/>
        </w:rPr>
        <w:t xml:space="preserve"> </w:t>
      </w:r>
      <w:proofErr w:type="spellStart"/>
      <w:r w:rsidRPr="00A40D6B">
        <w:rPr>
          <w:rFonts w:asciiTheme="majorHAnsi" w:hAnsiTheme="majorHAnsi" w:cstheme="majorHAnsi"/>
        </w:rPr>
        <w:t>Lombardini</w:t>
      </w:r>
      <w:proofErr w:type="spellEnd"/>
      <w:r w:rsidRPr="00A40D6B">
        <w:rPr>
          <w:rFonts w:asciiTheme="majorHAnsi" w:hAnsiTheme="majorHAnsi" w:cstheme="majorHAnsi"/>
        </w:rPr>
        <w:t xml:space="preserve"> </w:t>
      </w:r>
      <w:r w:rsidRPr="00A40D6B">
        <w:rPr>
          <w:rFonts w:ascii="Calibri Light" w:hAnsi="Calibri Light" w:cs="Calibri Light"/>
        </w:rPr>
        <w:t>και</w:t>
      </w:r>
      <w:r w:rsidRPr="00A40D6B">
        <w:rPr>
          <w:rFonts w:asciiTheme="majorHAnsi" w:hAnsiTheme="majorHAnsi" w:cstheme="majorHAnsi"/>
        </w:rPr>
        <w:t xml:space="preserve"> </w:t>
      </w:r>
      <w:proofErr w:type="spellStart"/>
      <w:r w:rsidRPr="00A40D6B">
        <w:rPr>
          <w:rFonts w:asciiTheme="majorHAnsi" w:hAnsiTheme="majorHAnsi" w:cstheme="majorHAnsi"/>
        </w:rPr>
        <w:t>Mantovani</w:t>
      </w:r>
      <w:proofErr w:type="spellEnd"/>
      <w:r w:rsidRPr="00A40D6B">
        <w:rPr>
          <w:rFonts w:asciiTheme="majorHAnsi" w:hAnsiTheme="majorHAnsi" w:cstheme="majorHAnsi"/>
        </w:rPr>
        <w:t xml:space="preserve">, </w:t>
      </w:r>
      <w:r w:rsidRPr="00A40D6B">
        <w:rPr>
          <w:rFonts w:ascii="Calibri Light" w:hAnsi="Calibri Light" w:cs="Calibri Light"/>
        </w:rPr>
        <w:t>σκέψη</w:t>
      </w:r>
      <w:r w:rsidRPr="00A40D6B">
        <w:rPr>
          <w:rFonts w:asciiTheme="majorHAnsi" w:hAnsiTheme="majorHAnsi" w:cstheme="majorHAnsi"/>
        </w:rPr>
        <w:t xml:space="preserve"> 36).</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55      Στο πλαίσιο αυτό, όπως παρατήρησε ο γενικός εισαγγελέας στο σημείο 30 των προτάσεών του, πρέπει να αναγνωριστεί στα κράτη μέλη κάποια διακριτική ευχέρεια ως προς τη θέσπιση μέτρων προς διασφάλιση της αρχής της ίσης μεταχείρισης των υποβαλλόντων προσφορά και της αρχής της διαφάνειας, οι οποίες, όπως </w:t>
      </w:r>
      <w:proofErr w:type="spellStart"/>
      <w:r w:rsidRPr="00A40D6B">
        <w:rPr>
          <w:rFonts w:asciiTheme="majorHAnsi" w:hAnsiTheme="majorHAnsi" w:cstheme="majorHAnsi"/>
        </w:rPr>
        <w:t>υπομνήσθηκε</w:t>
      </w:r>
      <w:proofErr w:type="spellEnd"/>
      <w:r w:rsidRPr="00A40D6B">
        <w:rPr>
          <w:rFonts w:asciiTheme="majorHAnsi" w:hAnsiTheme="majorHAnsi" w:cstheme="majorHAnsi"/>
        </w:rPr>
        <w:t xml:space="preserve"> στη σκέψη 45 της παρούσας απόφασης, αποτελούν τη βάση των κοινοτικών οδηγιών των σχετικών με τις διαδικασίες σύναψης των δημοσίων συμβάσεων.</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56      Πράγματι, κάθε κράτος μέλος είναι το πλέον αρμόδιο να εντοπίσει, βάσει των δικών του ιστορικών, νομικών, οικονομικών ή κοινωνικών συνθηκών (βλ., υπό το πνεύμα αυτό,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La</w:t>
      </w:r>
      <w:proofErr w:type="spellEnd"/>
      <w:r w:rsidRPr="00A40D6B">
        <w:rPr>
          <w:rFonts w:asciiTheme="majorHAnsi" w:hAnsiTheme="majorHAnsi" w:cstheme="majorHAnsi"/>
        </w:rPr>
        <w:t xml:space="preserve"> </w:t>
      </w:r>
      <w:proofErr w:type="spellStart"/>
      <w:r w:rsidRPr="00A40D6B">
        <w:rPr>
          <w:rFonts w:asciiTheme="majorHAnsi" w:hAnsiTheme="majorHAnsi" w:cstheme="majorHAnsi"/>
        </w:rPr>
        <w:t>Cascina</w:t>
      </w:r>
      <w:proofErr w:type="spellEnd"/>
      <w:r w:rsidRPr="00A40D6B">
        <w:rPr>
          <w:rFonts w:asciiTheme="majorHAnsi" w:hAnsiTheme="majorHAnsi" w:cstheme="majorHAnsi"/>
        </w:rPr>
        <w:t xml:space="preserve"> κ.λπ., σκέψη 23), τις καταστάσεις που ευνοούν την εμφάνιση συμπεριφορών ικανών να προκαλέσουν παραβιάσεις των αρχών αυτών.</w:t>
      </w:r>
    </w:p>
    <w:p w:rsidR="00A40D6B" w:rsidRPr="00A40D6B" w:rsidRDefault="00A40D6B" w:rsidP="00A40D6B">
      <w:pPr>
        <w:rPr>
          <w:rFonts w:asciiTheme="majorHAnsi" w:hAnsiTheme="majorHAnsi" w:cstheme="majorHAnsi"/>
        </w:rPr>
      </w:pPr>
      <w:r w:rsidRPr="00A40D6B">
        <w:rPr>
          <w:rFonts w:asciiTheme="majorHAnsi" w:hAnsiTheme="majorHAnsi" w:cstheme="majorHAnsi"/>
        </w:rPr>
        <w:t>57      Κατά συνέπεια, το κοινοτικό δίκαιο δεν μπορεί να θέσει υπό αμφισβήτηση την εκ μέρους κράτους μέλους εκτίμηση, βάσει των συνθηκών που επικρατούν στο κράτος αυτό, του ιδιαιτέρου κινδύνου εμφάνισης τέτοιων συμπεριφορών σε περίπτωση που, μεταξύ των υποβαλλόντων προσφορά σε διαγωνισμό για την ανάθεση σύμβασης δημοσίων έργων, περιλαμβάνεται και επιχείρηση η οποία ασκεί δραστηριότητα στον τομέα των μέσων ενημέρωσης ή διατηρεί δεσμούς με πρόσωπα εμπλεκόμενα στον τομέα αυτόν, καθώς και της ανάγκης λήψης μέτρων για την αποτροπή του κινδύνου αυτού.</w:t>
      </w:r>
    </w:p>
    <w:p w:rsidR="00A40D6B" w:rsidRPr="00A40D6B" w:rsidRDefault="00A40D6B" w:rsidP="00A40D6B">
      <w:pPr>
        <w:rPr>
          <w:rFonts w:asciiTheme="majorHAnsi" w:hAnsiTheme="majorHAnsi" w:cstheme="majorHAnsi"/>
        </w:rPr>
      </w:pPr>
      <w:r w:rsidRPr="00A40D6B">
        <w:rPr>
          <w:rFonts w:asciiTheme="majorHAnsi" w:hAnsiTheme="majorHAnsi" w:cstheme="majorHAnsi"/>
        </w:rPr>
        <w:lastRenderedPageBreak/>
        <w:t>58      Εν προκειμένω, το συγκεκριμένο κράτος μέλος έκρινε ότι δεν μπορούσε να αποκλειστεί το ενδεχόμενο μια επιχείρηση μέσων ενημέρωσης ή ένας εργολήπτης δημοσίων έργων συνδεόμενος με τέτοια επιχείρηση ή με τους ιδιοκτήτες ή διευθύνοντες την επιχείρηση αυτή να χρησιμοποιήσουν, στο πλαίσιο της συμμετοχής τους σε διαδικασία σύναψης σύμβασης δημοσίων έργων, έναντι της αναθέτουσας αρχής τη δυνατότητα άσκησης επιρροής την οποία τους παρέχουν η θέση τους ή οι δυνατότητες επικοινωνίας που τους προσφέρει ο τομέας των μέσων ενημέρωσης, για να επιδιώξουν να κατευθύνουν παρανόμως τη σχετική με την ανάθεση της σύμβασης αυτής απόφαση, προβάλλοντας ως απειλή την προοπτική ανάληψης μαζικής ενημερωτικής δράσης ευνοϊκής ή, αντιθέτως, επικριτικής, αναλόγως του περιεχομένου της απόφασης αυτής.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59      Η βούληση ενός κράτους μέλους να αποτρέψει τους κινδύνους επηρεασμού των διαδικασιών σύναψης των δημοσίων συμβάσεων από την εξουσία των μέσων ενημέρωσης συνάδει προς τον σκοπό γενικού συμφέροντος που συνίσταται στη διατήρηση της πολυφωνίας και της ανεξαρτησίας των μέσων ενημέρωσης (βλ., συναφώς, αποφάσεις της 26ης Ιουνίου 1997, C-368/95, </w:t>
      </w:r>
      <w:proofErr w:type="spellStart"/>
      <w:r w:rsidRPr="00A40D6B">
        <w:rPr>
          <w:rFonts w:asciiTheme="majorHAnsi" w:hAnsiTheme="majorHAnsi" w:cstheme="majorHAnsi"/>
        </w:rPr>
        <w:t>Familiapress</w:t>
      </w:r>
      <w:proofErr w:type="spellEnd"/>
      <w:r w:rsidRPr="00A40D6B">
        <w:rPr>
          <w:rFonts w:asciiTheme="majorHAnsi" w:hAnsiTheme="majorHAnsi" w:cstheme="majorHAnsi"/>
        </w:rPr>
        <w:t xml:space="preserve">, Συλλογή 1997, σ. I-3689, σκέψη 18, και της 13ης Δεκεμβρίου 2007, C-250/06, United </w:t>
      </w:r>
      <w:proofErr w:type="spellStart"/>
      <w:r w:rsidRPr="00A40D6B">
        <w:rPr>
          <w:rFonts w:asciiTheme="majorHAnsi" w:hAnsiTheme="majorHAnsi" w:cstheme="majorHAnsi"/>
        </w:rPr>
        <w:t>Pan</w:t>
      </w:r>
      <w:proofErr w:type="spellEnd"/>
      <w:r w:rsidRPr="00A40D6B">
        <w:rPr>
          <w:rFonts w:asciiTheme="majorHAnsi" w:hAnsiTheme="majorHAnsi" w:cstheme="majorHAnsi"/>
        </w:rPr>
        <w:t xml:space="preserve">-Europe Communications </w:t>
      </w:r>
      <w:proofErr w:type="spellStart"/>
      <w:r w:rsidRPr="00A40D6B">
        <w:rPr>
          <w:rFonts w:asciiTheme="majorHAnsi" w:hAnsiTheme="majorHAnsi" w:cstheme="majorHAnsi"/>
        </w:rPr>
        <w:t>Belgium</w:t>
      </w:r>
      <w:proofErr w:type="spellEnd"/>
      <w:r w:rsidRPr="00A40D6B">
        <w:rPr>
          <w:rFonts w:asciiTheme="majorHAnsi" w:hAnsiTheme="majorHAnsi" w:cstheme="majorHAnsi"/>
        </w:rPr>
        <w:t xml:space="preserve"> κ.λπ., Συλλογή 2007, σ. I-11135, σκέψεις 41 και 42). Εξάλλου, εξυπηρετεί όλως ιδιαιτέρως έναν άλλο σκοπό της ίδιας φύσης, δηλαδή τον σκοπό της καταπολέμησης της απάτης και της διαφθοράς (βλ., συναφώς, αποφάσεις της 24ης Μαρτίου 1994, C-275/92, </w:t>
      </w:r>
      <w:proofErr w:type="spellStart"/>
      <w:r w:rsidRPr="00A40D6B">
        <w:rPr>
          <w:rFonts w:asciiTheme="majorHAnsi" w:hAnsiTheme="majorHAnsi" w:cstheme="majorHAnsi"/>
        </w:rPr>
        <w:t>Schindler</w:t>
      </w:r>
      <w:proofErr w:type="spellEnd"/>
      <w:r w:rsidRPr="00A40D6B">
        <w:rPr>
          <w:rFonts w:asciiTheme="majorHAnsi" w:hAnsiTheme="majorHAnsi" w:cstheme="majorHAnsi"/>
        </w:rPr>
        <w:t>, Συλλογή 1994, σ. I-1039, σκέψεις 57 έως 60, και της 6ης Μαρτίου 2007, C-338/04, C</w:t>
      </w:r>
      <w:r w:rsidRPr="00A40D6B">
        <w:rPr>
          <w:rFonts w:ascii="Cambria Math" w:hAnsi="Cambria Math" w:cs="Cambria Math"/>
        </w:rPr>
        <w:t>‑</w:t>
      </w:r>
      <w:r w:rsidRPr="00A40D6B">
        <w:rPr>
          <w:rFonts w:asciiTheme="majorHAnsi" w:hAnsiTheme="majorHAnsi" w:cstheme="majorHAnsi"/>
        </w:rPr>
        <w:t xml:space="preserve">359/04 </w:t>
      </w:r>
      <w:r w:rsidRPr="00A40D6B">
        <w:rPr>
          <w:rFonts w:ascii="Calibri Light" w:hAnsi="Calibri Light" w:cs="Calibri Light"/>
        </w:rPr>
        <w:t>και</w:t>
      </w:r>
      <w:r w:rsidRPr="00A40D6B">
        <w:rPr>
          <w:rFonts w:asciiTheme="majorHAnsi" w:hAnsiTheme="majorHAnsi" w:cstheme="majorHAnsi"/>
        </w:rPr>
        <w:t xml:space="preserve"> C-360/04, </w:t>
      </w:r>
      <w:proofErr w:type="spellStart"/>
      <w:r w:rsidRPr="00A40D6B">
        <w:rPr>
          <w:rFonts w:asciiTheme="majorHAnsi" w:hAnsiTheme="majorHAnsi" w:cstheme="majorHAnsi"/>
        </w:rPr>
        <w:t>Placanica</w:t>
      </w:r>
      <w:proofErr w:type="spellEnd"/>
      <w:r w:rsidRPr="00A40D6B">
        <w:rPr>
          <w:rFonts w:asciiTheme="majorHAnsi" w:hAnsiTheme="majorHAnsi" w:cstheme="majorHAnsi"/>
        </w:rPr>
        <w:t xml:space="preserve"> </w:t>
      </w:r>
      <w:r w:rsidRPr="00A40D6B">
        <w:rPr>
          <w:rFonts w:ascii="Calibri Light" w:hAnsi="Calibri Light" w:cs="Calibri Light"/>
        </w:rPr>
        <w:t>κ</w:t>
      </w:r>
      <w:r w:rsidRPr="00A40D6B">
        <w:rPr>
          <w:rFonts w:asciiTheme="majorHAnsi" w:hAnsiTheme="majorHAnsi" w:cstheme="majorHAnsi"/>
        </w:rPr>
        <w:t>.</w:t>
      </w:r>
      <w:r w:rsidRPr="00A40D6B">
        <w:rPr>
          <w:rFonts w:ascii="Calibri Light" w:hAnsi="Calibri Light" w:cs="Calibri Light"/>
        </w:rPr>
        <w:t>λπ</w:t>
      </w:r>
      <w:r w:rsidRPr="00A40D6B">
        <w:rPr>
          <w:rFonts w:asciiTheme="majorHAnsi" w:hAnsiTheme="majorHAnsi" w:cstheme="majorHAnsi"/>
        </w:rPr>
        <w:t xml:space="preserve">., </w:t>
      </w:r>
      <w:r w:rsidRPr="00A40D6B">
        <w:rPr>
          <w:rFonts w:ascii="Calibri Light" w:hAnsi="Calibri Light" w:cs="Calibri Light"/>
        </w:rPr>
        <w:t>Συλλογή</w:t>
      </w:r>
      <w:r w:rsidRPr="00A40D6B">
        <w:rPr>
          <w:rFonts w:asciiTheme="majorHAnsi" w:hAnsiTheme="majorHAnsi" w:cstheme="majorHAnsi"/>
        </w:rPr>
        <w:t xml:space="preserve"> 2007, </w:t>
      </w:r>
      <w:r w:rsidRPr="00A40D6B">
        <w:rPr>
          <w:rFonts w:ascii="Calibri Light" w:hAnsi="Calibri Light" w:cs="Calibri Light"/>
        </w:rPr>
        <w:t>σ</w:t>
      </w:r>
      <w:r w:rsidRPr="00A40D6B">
        <w:rPr>
          <w:rFonts w:asciiTheme="majorHAnsi" w:hAnsiTheme="majorHAnsi" w:cstheme="majorHAnsi"/>
        </w:rPr>
        <w:t xml:space="preserve">. I-1891, </w:t>
      </w:r>
      <w:r w:rsidRPr="00A40D6B">
        <w:rPr>
          <w:rFonts w:ascii="Calibri Light" w:hAnsi="Calibri Light" w:cs="Calibri Light"/>
        </w:rPr>
        <w:t>σκέψη</w:t>
      </w:r>
      <w:r w:rsidRPr="00A40D6B">
        <w:rPr>
          <w:rFonts w:asciiTheme="majorHAnsi" w:hAnsiTheme="majorHAnsi" w:cstheme="majorHAnsi"/>
        </w:rPr>
        <w:t xml:space="preserve"> 46).</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60      Επομένως, το κοινοτικό δίκαιο δεν εμποδίζει τη θέσπιση εθνικών μέτρων </w:t>
      </w:r>
      <w:proofErr w:type="spellStart"/>
      <w:r w:rsidRPr="00A40D6B">
        <w:rPr>
          <w:rFonts w:asciiTheme="majorHAnsi" w:hAnsiTheme="majorHAnsi" w:cstheme="majorHAnsi"/>
        </w:rPr>
        <w:t>αποσκοπούντων</w:t>
      </w:r>
      <w:proofErr w:type="spellEnd"/>
      <w:r w:rsidRPr="00A40D6B">
        <w:rPr>
          <w:rFonts w:asciiTheme="majorHAnsi" w:hAnsiTheme="majorHAnsi" w:cstheme="majorHAnsi"/>
        </w:rPr>
        <w:t xml:space="preserve"> στην αποτροπή, στις διαδικασίες ανάθεσης των συμβάσεων δημοσίων έργων, του κινδύνου εμφάνισης πρακτικών ικανών να απειλήσουν τη διαφάνεια και να νοθεύσουν τον ανταγωνισμό, οι οποίες θα μπορούσαν να προκληθούν από την παρουσία, μεταξύ των υποβαλλόντων προσφορά, εργολήπτη ο οποίος ασκεί δραστηριότητα στον τομέα των μέσων ενημέρωσης ή διατηρεί δεσμούς με πρόσωπο εμπλεκόμενο στον τομέα αυτόν, καθώς και στην πρόληψη ή στην καταστολή της απάτης και της διαφθοράς.</w:t>
      </w:r>
    </w:p>
    <w:p w:rsidR="00A40D6B" w:rsidRPr="00A40D6B" w:rsidRDefault="00A40D6B" w:rsidP="00A40D6B">
      <w:pPr>
        <w:rPr>
          <w:rFonts w:asciiTheme="majorHAnsi" w:hAnsiTheme="majorHAnsi" w:cstheme="majorHAnsi"/>
        </w:rPr>
      </w:pPr>
      <w:r w:rsidRPr="00A40D6B">
        <w:rPr>
          <w:rFonts w:asciiTheme="majorHAnsi" w:hAnsiTheme="majorHAnsi" w:cstheme="majorHAnsi"/>
        </w:rPr>
        <w:t>61      Όπως τονίστηκε στη σκέψη 48 της παρούσας απόφασης, τα μέτρα αυτά θα πρέπει, επιπλέον, να είναι σύμφωνα με την αρχή της αναλογικότητας.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62      Εθνική διάταξη όπως αυτή της υπόθεσης της κύριας δίκης, η οποία καθιερώνει γενικό ασυμβίβαστο μεταξύ του τομέα των δημοσίων έργων και του τομέα των μέσων ενημέρωσης, έχει, ωστόσο, ως συνέπεια να αποκλείει από την ανάθεση δημοσίων συμβάσεων εργολήπτες δημοσίων έργων που εμπλέκονται και στον τομέα των μέσων ενημέρωσης λόγω της </w:t>
      </w:r>
      <w:proofErr w:type="spellStart"/>
      <w:r w:rsidRPr="00A40D6B">
        <w:rPr>
          <w:rFonts w:asciiTheme="majorHAnsi" w:hAnsiTheme="majorHAnsi" w:cstheme="majorHAnsi"/>
        </w:rPr>
        <w:t>ιδιότητάς</w:t>
      </w:r>
      <w:proofErr w:type="spellEnd"/>
      <w:r w:rsidRPr="00A40D6B">
        <w:rPr>
          <w:rFonts w:asciiTheme="majorHAnsi" w:hAnsiTheme="majorHAnsi" w:cstheme="majorHAnsi"/>
        </w:rPr>
        <w:t xml:space="preserve"> τους ως ιδιοκτητών, βασικών μετόχων, εταίρων ή διευθυνόντων, χωρίς να τους παρέχει καμία δυνατότητα να αποδείξουν, προς αντίκρουση τυχόν στοιχείων προβαλλομένων, π.χ., από ανταγωνιστή τους, ότι, στην περίπτωσή τους, δεν υφίσταται πραγματικός κίνδυνος του είδους που περιγράφεται στη σκέψη 60 της παρούσας απόφασης (βλ., κατ’ αναλογία, </w:t>
      </w:r>
      <w:proofErr w:type="spellStart"/>
      <w:r w:rsidRPr="00A40D6B">
        <w:rPr>
          <w:rFonts w:asciiTheme="majorHAnsi" w:hAnsiTheme="majorHAnsi" w:cstheme="majorHAnsi"/>
        </w:rPr>
        <w:t>προμνησθείσα</w:t>
      </w:r>
      <w:proofErr w:type="spellEnd"/>
      <w:r w:rsidRPr="00A40D6B">
        <w:rPr>
          <w:rFonts w:asciiTheme="majorHAnsi" w:hAnsiTheme="majorHAnsi" w:cstheme="majorHAnsi"/>
        </w:rPr>
        <w:t xml:space="preserve"> απόφαση </w:t>
      </w:r>
      <w:proofErr w:type="spellStart"/>
      <w:r w:rsidRPr="00A40D6B">
        <w:rPr>
          <w:rFonts w:asciiTheme="majorHAnsi" w:hAnsiTheme="majorHAnsi" w:cstheme="majorHAnsi"/>
        </w:rPr>
        <w:t>Fabricom</w:t>
      </w:r>
      <w:proofErr w:type="spellEnd"/>
      <w:r w:rsidRPr="00A40D6B">
        <w:rPr>
          <w:rFonts w:asciiTheme="majorHAnsi" w:hAnsiTheme="majorHAnsi" w:cstheme="majorHAnsi"/>
        </w:rPr>
        <w:t>, σκέψεις 33 και 35).</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63      Όπως υποστήριξαν η Επιτροπή των Ευρωπαϊκών Κοινοτήτων και το Συμβούλιο, καθώς και, κατά την επ’ ακροατηρίου συζήτηση, η Ελληνική Τεχνοδομική Τεχνική </w:t>
      </w:r>
      <w:r w:rsidRPr="00A40D6B">
        <w:rPr>
          <w:rFonts w:asciiTheme="majorHAnsi" w:hAnsiTheme="majorHAnsi" w:cstheme="majorHAnsi"/>
        </w:rPr>
        <w:lastRenderedPageBreak/>
        <w:t>Επενδυτική Βιομηχανική ΑΕ, μια τέτοια διάταξη βαίνει πέραν του αναγκαίου μέτρου για την επίτευξη των προβαλλομένων στόχων της διαφάνειας και της ίσης μεταχείρισης, αποκλείοντας μια ολόκληρη κατηγορία εργοληπτών δημοσίων έργων βάσει του αμάχητου τεκμηρίου σύμφωνα με το οποίο η παρουσία, μεταξύ των υποβαλλόντων προσφορά, εργολήπτη που εμπλέκεται και στον τομέα των μέσων ενημέρωσης είναι αναπόφευκτα ικανή να αλλοιώσει τον ανταγωνισμό προς βλάβη των λοιπών υποβαλλόντων προσφορά.</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64      Η Ελληνική Κυβέρνηση υπογράμμισε τη δυνατότητα, η οποία απορρέει από την επίδικη στην κύρια δίκη συνταγματική διάταξη, να εξαιρεθεί από το μέτρο αποκλεισμού το παρένθετο πρόσωπο, υπό την ιδιότητά του ως συζύγου, συγγενούς, οικονομικώς εξαρτωμένου ατόμου ή εταιρίας, μιας επιχείρησης μέσων ενημέρωσης ή υπευθύνου τέτοιας επιχείρησης, εφόσον αποδεικνύεται ότι η συμμετοχή ενός τέτοιου </w:t>
      </w:r>
      <w:proofErr w:type="spellStart"/>
      <w:r w:rsidRPr="00A40D6B">
        <w:rPr>
          <w:rFonts w:asciiTheme="majorHAnsi" w:hAnsiTheme="majorHAnsi" w:cstheme="majorHAnsi"/>
        </w:rPr>
        <w:t>παρενθέτου</w:t>
      </w:r>
      <w:proofErr w:type="spellEnd"/>
      <w:r w:rsidRPr="00A40D6B">
        <w:rPr>
          <w:rFonts w:asciiTheme="majorHAnsi" w:hAnsiTheme="majorHAnsi" w:cstheme="majorHAnsi"/>
        </w:rPr>
        <w:t xml:space="preserve"> προσώπου σε διαδικασία σύναψης δημόσιας σύμβασης οφείλεται σε αυτόνομη απόφαση </w:t>
      </w:r>
      <w:proofErr w:type="spellStart"/>
      <w:r w:rsidRPr="00A40D6B">
        <w:rPr>
          <w:rFonts w:asciiTheme="majorHAnsi" w:hAnsiTheme="majorHAnsi" w:cstheme="majorHAnsi"/>
        </w:rPr>
        <w:t>υπαγορευθείσα</w:t>
      </w:r>
      <w:proofErr w:type="spellEnd"/>
      <w:r w:rsidRPr="00A40D6B">
        <w:rPr>
          <w:rFonts w:asciiTheme="majorHAnsi" w:hAnsiTheme="majorHAnsi" w:cstheme="majorHAnsi"/>
        </w:rPr>
        <w:t xml:space="preserve"> αποκλειστικώς και μόνον από το δικό του συμφέρον.</w:t>
      </w:r>
    </w:p>
    <w:p w:rsidR="00A40D6B" w:rsidRPr="00A40D6B" w:rsidRDefault="00A40D6B" w:rsidP="00A40D6B">
      <w:pPr>
        <w:rPr>
          <w:rFonts w:asciiTheme="majorHAnsi" w:hAnsiTheme="majorHAnsi" w:cstheme="majorHAnsi"/>
        </w:rPr>
      </w:pPr>
      <w:r w:rsidRPr="00A40D6B">
        <w:rPr>
          <w:rFonts w:asciiTheme="majorHAnsi" w:hAnsiTheme="majorHAnsi" w:cstheme="majorHAnsi"/>
        </w:rPr>
        <w:t>65      Ωστόσο, η δυνατότητα αυτή δεν είναι ικανή να καταστήσει την επίδικη στην κύρια δίκη εθνική διάταξη σύμφωνη με την αρχή της αναλογικότητας.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66      Πράγματι, η δυνατότητα αυτή δεν μεταβάλλει τον αυτόματο και απόλυτο χαρακτήρα της απαγόρευσης που πλήττει κάθε εργολήπτη δημοσίων έργων που ασκεί δραστηριότητα και στον τομέα των μέσων ενημέρωσης ή συνδέεται με φυσικά ή νομικά πρόσωπα που εμπλέκονται στον τομέα αυτόν και τον οποίο δεν αφορά αυτός ο μετριασμός του μέτρου αποκλεισμού ο οποίος έχει προβλεφθεί υπέρ των </w:t>
      </w:r>
      <w:proofErr w:type="spellStart"/>
      <w:r w:rsidRPr="00A40D6B">
        <w:rPr>
          <w:rFonts w:asciiTheme="majorHAnsi" w:hAnsiTheme="majorHAnsi" w:cstheme="majorHAnsi"/>
        </w:rPr>
        <w:t>παρενθέτων</w:t>
      </w:r>
      <w:proofErr w:type="spellEnd"/>
      <w:r w:rsidRPr="00A40D6B">
        <w:rPr>
          <w:rFonts w:asciiTheme="majorHAnsi" w:hAnsiTheme="majorHAnsi" w:cstheme="majorHAnsi"/>
        </w:rPr>
        <w:t xml:space="preserve"> προσώπων.</w:t>
      </w:r>
    </w:p>
    <w:p w:rsidR="00A40D6B" w:rsidRPr="00A40D6B" w:rsidRDefault="00A40D6B" w:rsidP="00A40D6B">
      <w:pPr>
        <w:rPr>
          <w:rFonts w:asciiTheme="majorHAnsi" w:hAnsiTheme="majorHAnsi" w:cstheme="majorHAnsi"/>
        </w:rPr>
      </w:pPr>
      <w:r w:rsidRPr="00A40D6B">
        <w:rPr>
          <w:rFonts w:asciiTheme="majorHAnsi" w:hAnsiTheme="majorHAnsi" w:cstheme="majorHAnsi"/>
        </w:rPr>
        <w:t>67      Εξάλλου, ο εργολήπτης δημοσίων έργων που ενεργεί ως παρένθετο πρόσωπο επιχείρησης μέσων ενημέρωσης ή προσώπου κατέχοντος ή διευθύνοντος τέτοια επιχείρηση αποκλείεται από την ανάθεση μιας σύμβασης χωρίς να του παρέχεται η δυνατότητα να αποδείξει, σε περίπτωση που είναι δεδομένο ότι παρεμβαίνει για λογαριασμό της επιχείρησης αυτής ή του προσώπου αυτού, ότι η παρέμβαση αυτή δεν είναι ικανή να επηρεάσει τον ανταγωνισμό μεταξύ των υποβαλλόντων προσφορά.</w:t>
      </w:r>
    </w:p>
    <w:p w:rsidR="00A40D6B" w:rsidRPr="00A40D6B" w:rsidRDefault="00A40D6B" w:rsidP="00A40D6B">
      <w:pPr>
        <w:rPr>
          <w:rFonts w:asciiTheme="majorHAnsi" w:hAnsiTheme="majorHAnsi" w:cstheme="majorHAnsi"/>
        </w:rPr>
      </w:pPr>
      <w:r w:rsidRPr="00A40D6B">
        <w:rPr>
          <w:rFonts w:asciiTheme="majorHAnsi" w:hAnsiTheme="majorHAnsi" w:cstheme="majorHAnsi"/>
        </w:rPr>
        <w:t>68      Τέλος, η ευρύτατη, στο πλαίσιο της επίδικης στην κύρια δίκη εθνικής διάταξης, έννοια των όρων «βασικός μέτοχος» και «παρένθετα πρόσωπα», όπως προκύπτει από τη σκέψη 8 της παρούσας απόφασης, επιτείνει τον δυσανάλογο χαρακτήρα αυτής της διάταξης.</w:t>
      </w:r>
    </w:p>
    <w:p w:rsidR="0096654C" w:rsidRDefault="00A40D6B" w:rsidP="00A40D6B">
      <w:pPr>
        <w:rPr>
          <w:rFonts w:asciiTheme="majorHAnsi" w:hAnsiTheme="majorHAnsi" w:cstheme="majorHAnsi"/>
        </w:rPr>
      </w:pPr>
      <w:r w:rsidRPr="00A40D6B">
        <w:rPr>
          <w:rFonts w:asciiTheme="majorHAnsi" w:hAnsiTheme="majorHAnsi" w:cstheme="majorHAnsi"/>
        </w:rPr>
        <w:t>69      Βάσει των ανωτέρω σκέψεων, στο δεύτερο ερώτημα προσήκει η απάντηση ότι το κοινοτικό δίκαιο πρέπει να ερμηνεύεται υπό την έννοια ότι δεν επιτρέπει 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p>
    <w:p w:rsidR="00A40D6B" w:rsidRPr="00A40D6B" w:rsidRDefault="00A40D6B" w:rsidP="00A40D6B">
      <w:pPr>
        <w:rPr>
          <w:rFonts w:asciiTheme="majorHAnsi" w:hAnsiTheme="majorHAnsi" w:cstheme="majorHAnsi"/>
        </w:rPr>
      </w:pPr>
      <w:r w:rsidRPr="00236BEF">
        <w:rPr>
          <w:rFonts w:asciiTheme="majorHAnsi" w:hAnsiTheme="majorHAnsi" w:cstheme="majorHAnsi"/>
          <w:b/>
        </w:rPr>
        <w:lastRenderedPageBreak/>
        <w:t>Επί του τρίτου ερωτήματος</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70      Λαμβανομένων υπόψη των απαντήσεων που δόθηκαν στα δύο πρώτα ερωτήματα, </w:t>
      </w:r>
      <w:proofErr w:type="spellStart"/>
      <w:r w:rsidRPr="00A40D6B">
        <w:rPr>
          <w:rFonts w:asciiTheme="majorHAnsi" w:hAnsiTheme="majorHAnsi" w:cstheme="majorHAnsi"/>
        </w:rPr>
        <w:t>παρέλκει</w:t>
      </w:r>
      <w:proofErr w:type="spellEnd"/>
      <w:r w:rsidRPr="00A40D6B">
        <w:rPr>
          <w:rFonts w:asciiTheme="majorHAnsi" w:hAnsiTheme="majorHAnsi" w:cstheme="majorHAnsi"/>
        </w:rPr>
        <w:t xml:space="preserve"> η απάντηση στο τρίτο ερώτημα.</w:t>
      </w:r>
    </w:p>
    <w:p w:rsidR="00A40D6B" w:rsidRPr="00A40D6B" w:rsidRDefault="00A40D6B" w:rsidP="00A40D6B">
      <w:pPr>
        <w:rPr>
          <w:rFonts w:asciiTheme="majorHAnsi" w:hAnsiTheme="majorHAnsi" w:cstheme="majorHAnsi"/>
        </w:rPr>
      </w:pPr>
      <w:r w:rsidRPr="00236BEF">
        <w:rPr>
          <w:rFonts w:asciiTheme="majorHAnsi" w:hAnsiTheme="majorHAnsi" w:cstheme="majorHAnsi"/>
          <w:b/>
        </w:rPr>
        <w:t>Επί των δικαστικών εξόδων</w:t>
      </w:r>
      <w:r w:rsidR="00236BEF">
        <w:rPr>
          <w:rFonts w:asciiTheme="majorHAnsi" w:hAnsiTheme="majorHAnsi" w:cstheme="majorHAnsi"/>
        </w:rPr>
        <w:t xml:space="preserve"> [...]</w:t>
      </w:r>
    </w:p>
    <w:p w:rsidR="00A40D6B" w:rsidRPr="00A40D6B" w:rsidRDefault="00A40D6B" w:rsidP="00A40D6B">
      <w:pPr>
        <w:rPr>
          <w:rFonts w:asciiTheme="majorHAnsi" w:hAnsiTheme="majorHAnsi" w:cstheme="majorHAnsi"/>
        </w:rPr>
      </w:pPr>
      <w:r w:rsidRPr="00A40D6B">
        <w:rPr>
          <w:rFonts w:asciiTheme="majorHAnsi" w:hAnsiTheme="majorHAnsi" w:cstheme="majorHAnsi"/>
        </w:rPr>
        <w:t>Για τους λόγους αυτούς, το Δικαστήριο (τμήμα μείζονος συνθέσεως) αποφαίνεται:</w:t>
      </w:r>
    </w:p>
    <w:p w:rsidR="00A40D6B" w:rsidRPr="00A40D6B" w:rsidRDefault="00A40D6B" w:rsidP="00A40D6B">
      <w:pPr>
        <w:rPr>
          <w:rFonts w:asciiTheme="majorHAnsi" w:hAnsiTheme="majorHAnsi" w:cstheme="majorHAnsi"/>
        </w:rPr>
      </w:pPr>
      <w:r w:rsidRPr="00A40D6B">
        <w:rPr>
          <w:rFonts w:asciiTheme="majorHAnsi" w:hAnsiTheme="majorHAnsi" w:cstheme="majorHAnsi"/>
        </w:rPr>
        <w:t xml:space="preserve">1)      Το άρθρο 24, πρώτο εδάφιο, της οδηγίας 93/37/ΕΟΚ του Συμβουλίου, της 14ης Ιουνίου 1993, περί συντονισμού των διαδικασιών για τη σύναψη συμβάσεων δημοσίων έργων, όπως τροποποιήθηκε με την οδηγία 97/52/ΕΚ του Ευρωπαϊκού Κοινοβουλίου και του Συμβουλίου, της 13ης Οκτωβρίου 1997, έχει την έννοια ότι 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rsidRPr="00A40D6B">
        <w:rPr>
          <w:rFonts w:asciiTheme="majorHAnsi" w:hAnsiTheme="majorHAnsi" w:cstheme="majorHAnsi"/>
        </w:rPr>
        <w:t>αποσκοπούντα</w:t>
      </w:r>
      <w:proofErr w:type="spellEnd"/>
      <w:r w:rsidRPr="00A40D6B">
        <w:rPr>
          <w:rFonts w:asciiTheme="majorHAnsi" w:hAnsiTheme="majorHAnsi" w:cstheme="majorHAnsi"/>
        </w:rPr>
        <w:t xml:space="preserve"> στη διασφάλιση της τήρησης των αρχών της ίσης μεταχείρισης των υποβαλλόντων προσφορά και της διαφάνειας, υπό τον </w:t>
      </w:r>
      <w:proofErr w:type="spellStart"/>
      <w:r w:rsidRPr="00A40D6B">
        <w:rPr>
          <w:rFonts w:asciiTheme="majorHAnsi" w:hAnsiTheme="majorHAnsi" w:cstheme="majorHAnsi"/>
        </w:rPr>
        <w:t>όρον</w:t>
      </w:r>
      <w:proofErr w:type="spellEnd"/>
      <w:r w:rsidRPr="00A40D6B">
        <w:rPr>
          <w:rFonts w:asciiTheme="majorHAnsi" w:hAnsiTheme="majorHAnsi" w:cstheme="majorHAnsi"/>
        </w:rPr>
        <w:t xml:space="preserve"> ότι τα μέτρα αυτά δεν βαίνουν πέραν του αναγκαίου για την επίτευξη του στόχου αυτού μέτρου.</w:t>
      </w:r>
    </w:p>
    <w:p w:rsidR="00A40D6B" w:rsidRPr="00A40D6B" w:rsidRDefault="00A40D6B" w:rsidP="00A40D6B">
      <w:pPr>
        <w:rPr>
          <w:rFonts w:asciiTheme="majorHAnsi" w:hAnsiTheme="majorHAnsi" w:cstheme="majorHAnsi"/>
        </w:rPr>
      </w:pPr>
      <w:r w:rsidRPr="00A40D6B">
        <w:rPr>
          <w:rFonts w:asciiTheme="majorHAnsi" w:hAnsiTheme="majorHAnsi" w:cstheme="majorHAnsi"/>
        </w:rPr>
        <w:t>2)      Το κοινοτικό δίκαιο πρέπει να ερμηνεύεται υπό την έννοια ότι δεν επιτρέπει 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w:t>
      </w:r>
    </w:p>
    <w:sectPr w:rsidR="00A40D6B" w:rsidRPr="00A40D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6B"/>
    <w:rsid w:val="000C43BD"/>
    <w:rsid w:val="000F5EDA"/>
    <w:rsid w:val="001C61D8"/>
    <w:rsid w:val="002001C2"/>
    <w:rsid w:val="00236BEF"/>
    <w:rsid w:val="0025360A"/>
    <w:rsid w:val="003456CE"/>
    <w:rsid w:val="00580A63"/>
    <w:rsid w:val="0096654C"/>
    <w:rsid w:val="009E25D2"/>
    <w:rsid w:val="00A40D6B"/>
    <w:rsid w:val="00BC43E9"/>
    <w:rsid w:val="00D87969"/>
    <w:rsid w:val="00DB3EDA"/>
    <w:rsid w:val="00E42B7E"/>
    <w:rsid w:val="00F11779"/>
    <w:rsid w:val="00FC1DB9"/>
    <w:rsid w:val="00FC751B"/>
    <w:rsid w:val="00FF4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AF46E-5AA3-48D4-8FEF-492D0FBC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3661</Words>
  <Characters>19773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12</cp:revision>
  <dcterms:created xsi:type="dcterms:W3CDTF">2017-03-10T14:57:00Z</dcterms:created>
  <dcterms:modified xsi:type="dcterms:W3CDTF">2017-03-13T14:26:00Z</dcterms:modified>
</cp:coreProperties>
</file>