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CF8" w:rsidRPr="00B76CF8" w:rsidRDefault="00B76CF8" w:rsidP="00B76CF8">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sidRPr="00B76CF8">
        <w:rPr>
          <w:rFonts w:ascii="Arial" w:eastAsia="Times New Roman" w:hAnsi="Arial" w:cs="Arial"/>
          <w:b/>
          <w:bCs/>
          <w:color w:val="8D1D3F"/>
          <w:sz w:val="36"/>
          <w:szCs w:val="36"/>
          <w:lang w:val="en-US" w:eastAsia="el-GR"/>
        </w:rPr>
        <w:t>United Arab Emirates</w:t>
      </w:r>
      <w:r w:rsidRPr="00B76CF8">
        <w:rPr>
          <w:rFonts w:ascii="Arial" w:eastAsia="Times New Roman" w:hAnsi="Arial" w:cs="Arial"/>
          <w:b/>
          <w:bCs/>
          <w:color w:val="333333"/>
          <w:sz w:val="36"/>
          <w:szCs w:val="36"/>
          <w:lang w:val="en-US" w:eastAsia="el-GR"/>
        </w:rPr>
        <w:t>: UAE Penal Code, Article 257: Arbitrators may now face temporary imprisonment for acting contrary to the duty of fairness and impar</w:t>
      </w:r>
      <w:bookmarkStart w:id="0" w:name="_GoBack"/>
      <w:bookmarkEnd w:id="0"/>
      <w:r w:rsidRPr="00B76CF8">
        <w:rPr>
          <w:rFonts w:ascii="Arial" w:eastAsia="Times New Roman" w:hAnsi="Arial" w:cs="Arial"/>
          <w:b/>
          <w:bCs/>
          <w:color w:val="333333"/>
          <w:sz w:val="36"/>
          <w:szCs w:val="36"/>
          <w:lang w:val="en-US" w:eastAsia="el-GR"/>
        </w:rPr>
        <w:t>tiality</w:t>
      </w:r>
    </w:p>
    <w:p w:rsidR="00B76CF8" w:rsidRPr="00B76CF8" w:rsidRDefault="00B76CF8" w:rsidP="00B76CF8">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sidRPr="00B76CF8">
        <w:rPr>
          <w:rFonts w:ascii="Arial" w:eastAsia="Times New Roman" w:hAnsi="Arial" w:cs="Arial"/>
          <w:color w:val="333333"/>
          <w:sz w:val="24"/>
          <w:szCs w:val="24"/>
          <w:lang w:val="en-US" w:eastAsia="el-GR"/>
        </w:rPr>
        <w:t>Last Updated: 5 December 2016</w:t>
      </w:r>
    </w:p>
    <w:p w:rsidR="00B76CF8" w:rsidRPr="00B76CF8" w:rsidRDefault="00B76CF8" w:rsidP="00B76CF8">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sidRPr="00B76CF8">
        <w:rPr>
          <w:rFonts w:ascii="Arial" w:eastAsia="Times New Roman" w:hAnsi="Arial" w:cs="Arial"/>
          <w:color w:val="333333"/>
          <w:sz w:val="24"/>
          <w:szCs w:val="24"/>
          <w:lang w:val="en-US" w:eastAsia="el-GR"/>
        </w:rPr>
        <w:t>Article by </w:t>
      </w:r>
      <w:hyperlink r:id="rId6" w:tgtFrame="_blank" w:tooltip="View this authors biography on their website" w:history="1">
        <w:r w:rsidRPr="00B76CF8">
          <w:rPr>
            <w:rFonts w:ascii="Arial" w:eastAsia="Times New Roman" w:hAnsi="Arial" w:cs="Arial"/>
            <w:b/>
            <w:bCs/>
            <w:color w:val="243B92"/>
            <w:sz w:val="24"/>
            <w:szCs w:val="24"/>
            <w:lang w:val="en-US" w:eastAsia="el-GR"/>
          </w:rPr>
          <w:t xml:space="preserve">Andrew </w:t>
        </w:r>
        <w:proofErr w:type="spellStart"/>
        <w:r w:rsidRPr="00B76CF8">
          <w:rPr>
            <w:rFonts w:ascii="Arial" w:eastAsia="Times New Roman" w:hAnsi="Arial" w:cs="Arial"/>
            <w:b/>
            <w:bCs/>
            <w:color w:val="243B92"/>
            <w:sz w:val="24"/>
            <w:szCs w:val="24"/>
            <w:lang w:val="en-US" w:eastAsia="el-GR"/>
          </w:rPr>
          <w:t>MacCuish</w:t>
        </w:r>
        <w:proofErr w:type="spellEnd"/>
      </w:hyperlink>
      <w:r w:rsidRPr="00B76CF8">
        <w:rPr>
          <w:rFonts w:ascii="Arial" w:eastAsia="Times New Roman" w:hAnsi="Arial" w:cs="Arial"/>
          <w:color w:val="333333"/>
          <w:sz w:val="24"/>
          <w:szCs w:val="24"/>
          <w:lang w:val="en-US" w:eastAsia="el-GR"/>
        </w:rPr>
        <w:t> and </w:t>
      </w:r>
      <w:hyperlink r:id="rId7" w:tgtFrame="_blank" w:tooltip="View this authors profile" w:history="1">
        <w:r w:rsidRPr="00B76CF8">
          <w:rPr>
            <w:rFonts w:ascii="Arial" w:eastAsia="Times New Roman" w:hAnsi="Arial" w:cs="Arial"/>
            <w:b/>
            <w:bCs/>
            <w:color w:val="243B92"/>
            <w:sz w:val="24"/>
            <w:szCs w:val="24"/>
            <w:lang w:val="en-US" w:eastAsia="el-GR"/>
          </w:rPr>
          <w:t xml:space="preserve">Nicole </w:t>
        </w:r>
        <w:proofErr w:type="spellStart"/>
        <w:r w:rsidRPr="00B76CF8">
          <w:rPr>
            <w:rFonts w:ascii="Arial" w:eastAsia="Times New Roman" w:hAnsi="Arial" w:cs="Arial"/>
            <w:b/>
            <w:bCs/>
            <w:color w:val="243B92"/>
            <w:sz w:val="24"/>
            <w:szCs w:val="24"/>
            <w:lang w:val="en-US" w:eastAsia="el-GR"/>
          </w:rPr>
          <w:t>Newdigate</w:t>
        </w:r>
        <w:proofErr w:type="spellEnd"/>
      </w:hyperlink>
    </w:p>
    <w:p w:rsidR="00B76CF8" w:rsidRPr="00B76CF8" w:rsidRDefault="00B76CF8" w:rsidP="00B76CF8">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hyperlink r:id="rId8" w:tgtFrame="_blank" w:tooltip="View Kennedys Profile" w:history="1">
        <w:r w:rsidRPr="00B76CF8">
          <w:rPr>
            <w:rFonts w:ascii="Arial" w:eastAsia="Times New Roman" w:hAnsi="Arial" w:cs="Arial"/>
            <w:b/>
            <w:bCs/>
            <w:color w:val="7F7F7F"/>
            <w:sz w:val="24"/>
            <w:szCs w:val="24"/>
            <w:lang w:val="en-US" w:eastAsia="el-GR"/>
          </w:rPr>
          <w:t>Kennedys</w:t>
        </w:r>
      </w:hyperlink>
    </w:p>
    <w:p w:rsidR="00B76CF8" w:rsidRPr="00B76CF8" w:rsidRDefault="00B76CF8" w:rsidP="00B76CF8">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sidRPr="00B76CF8">
        <w:rPr>
          <w:rFonts w:ascii="Arial" w:eastAsia="Times New Roman" w:hAnsi="Arial" w:cs="Arial"/>
          <w:color w:val="333333"/>
          <w:sz w:val="24"/>
          <w:szCs w:val="24"/>
          <w:lang w:val="en-US" w:eastAsia="el-GR"/>
        </w:rPr>
        <w:t> </w:t>
      </w:r>
    </w:p>
    <w:p w:rsidR="00B76CF8" w:rsidRPr="00B76CF8" w:rsidRDefault="00B76CF8" w:rsidP="00B76CF8">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sidRPr="00B76CF8">
        <w:rPr>
          <w:rFonts w:ascii="Arial" w:eastAsia="Times New Roman" w:hAnsi="Arial" w:cs="Arial"/>
          <w:b/>
          <w:bCs/>
          <w:color w:val="333333"/>
          <w:sz w:val="25"/>
          <w:szCs w:val="25"/>
          <w:lang w:val="en-US" w:eastAsia="el-GR"/>
        </w:rPr>
        <w:t>Introduction</w:t>
      </w:r>
    </w:p>
    <w:p w:rsidR="00B76CF8" w:rsidRDefault="00B76CF8" w:rsidP="00B76CF8">
      <w:pPr>
        <w:shd w:val="clear" w:color="auto" w:fill="FFFFFF"/>
        <w:spacing w:after="0" w:line="240" w:lineRule="auto"/>
        <w:jc w:val="both"/>
        <w:rPr>
          <w:rFonts w:ascii="Arial" w:eastAsia="Times New Roman" w:hAnsi="Arial" w:cs="Arial"/>
          <w:color w:val="333333"/>
          <w:sz w:val="24"/>
          <w:szCs w:val="24"/>
          <w:lang w:val="en-US" w:eastAsia="el-GR"/>
        </w:rPr>
      </w:pPr>
      <w:r w:rsidRPr="00B76CF8">
        <w:rPr>
          <w:rFonts w:ascii="Arial" w:eastAsia="Times New Roman" w:hAnsi="Arial" w:cs="Arial"/>
          <w:color w:val="333333"/>
          <w:sz w:val="24"/>
          <w:szCs w:val="24"/>
          <w:lang w:val="en-US" w:eastAsia="el-GR"/>
        </w:rPr>
        <w:t>A fundamental principle of arbitration is that the arbitral tribunal acts fairly and impartially in arriving at its award. But should this mean that an arbitrator should be at risk of criminal prosecution and imprisonment? That is the (possible) consequence of a recent change to the UAE Penal Code, a situation we address in this article.</w:t>
      </w:r>
    </w:p>
    <w:p w:rsidR="00B76CF8" w:rsidRPr="00B76CF8" w:rsidRDefault="00B76CF8" w:rsidP="00B76CF8">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p>
    <w:p w:rsidR="00B76CF8" w:rsidRPr="00B76CF8" w:rsidRDefault="00B76CF8" w:rsidP="00B76CF8">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sidRPr="00B76CF8">
        <w:rPr>
          <w:rFonts w:ascii="Arial" w:eastAsia="Times New Roman" w:hAnsi="Arial" w:cs="Arial"/>
          <w:b/>
          <w:bCs/>
          <w:color w:val="333333"/>
          <w:sz w:val="25"/>
          <w:szCs w:val="25"/>
          <w:lang w:val="en-US" w:eastAsia="el-GR"/>
        </w:rPr>
        <w:t>The duty of fairness and impartiality</w:t>
      </w:r>
    </w:p>
    <w:p w:rsidR="00B76CF8" w:rsidRPr="00B76CF8" w:rsidRDefault="00B76CF8" w:rsidP="00B76CF8">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sidRPr="00B76CF8">
        <w:rPr>
          <w:rFonts w:ascii="Arial" w:eastAsia="Times New Roman" w:hAnsi="Arial" w:cs="Arial"/>
          <w:color w:val="333333"/>
          <w:sz w:val="24"/>
          <w:szCs w:val="24"/>
          <w:lang w:val="en-US" w:eastAsia="el-GR"/>
        </w:rPr>
        <w:t xml:space="preserve">The fundamental principle has become widely </w:t>
      </w:r>
      <w:proofErr w:type="spellStart"/>
      <w:r w:rsidRPr="00B76CF8">
        <w:rPr>
          <w:rFonts w:ascii="Arial" w:eastAsia="Times New Roman" w:hAnsi="Arial" w:cs="Arial"/>
          <w:color w:val="333333"/>
          <w:sz w:val="24"/>
          <w:szCs w:val="24"/>
          <w:lang w:val="en-US" w:eastAsia="el-GR"/>
        </w:rPr>
        <w:t>recognised</w:t>
      </w:r>
      <w:proofErr w:type="spellEnd"/>
      <w:r w:rsidRPr="00B76CF8">
        <w:rPr>
          <w:rFonts w:ascii="Arial" w:eastAsia="Times New Roman" w:hAnsi="Arial" w:cs="Arial"/>
          <w:color w:val="333333"/>
          <w:sz w:val="24"/>
          <w:szCs w:val="24"/>
          <w:lang w:val="en-US" w:eastAsia="el-GR"/>
        </w:rPr>
        <w:t xml:space="preserve"> and entrenched in legislation and in many institutional arbitration rules. Not only is fairness and impartiality expressly required, but just as importantly a mechanism is provided to identify issues and also address breaches of the fundamental principle. For example:</w:t>
      </w:r>
    </w:p>
    <w:p w:rsidR="00B76CF8" w:rsidRPr="00B76CF8" w:rsidRDefault="00B76CF8" w:rsidP="00B76CF8">
      <w:pPr>
        <w:numPr>
          <w:ilvl w:val="0"/>
          <w:numId w:val="1"/>
        </w:numPr>
        <w:shd w:val="clear" w:color="auto" w:fill="FFFFFF"/>
        <w:spacing w:after="0" w:line="255" w:lineRule="atLeast"/>
        <w:ind w:left="240"/>
        <w:jc w:val="both"/>
        <w:rPr>
          <w:rFonts w:ascii="Times New Roman" w:eastAsia="Times New Roman" w:hAnsi="Times New Roman" w:cs="Times New Roman"/>
          <w:color w:val="333333"/>
          <w:sz w:val="24"/>
          <w:szCs w:val="24"/>
          <w:lang w:val="en-US" w:eastAsia="el-GR"/>
        </w:rPr>
      </w:pPr>
      <w:r w:rsidRPr="00B76CF8">
        <w:rPr>
          <w:rFonts w:ascii="Arial" w:eastAsia="Times New Roman" w:hAnsi="Arial" w:cs="Arial"/>
          <w:color w:val="333333"/>
          <w:sz w:val="24"/>
          <w:szCs w:val="24"/>
          <w:lang w:val="en-US" w:eastAsia="el-GR"/>
        </w:rPr>
        <w:t>The Dubai International Financial Centre's Arbitration Law of 2008 provides in Article 18(1) that a person approached to be an arbitrator must disclose any circumstances likely to give rise to justifiable doubts as to their impartiality or independence (this is a continuing obligation). Article 19 sets out the challenge procedure.</w:t>
      </w:r>
    </w:p>
    <w:p w:rsidR="00B76CF8" w:rsidRPr="00B76CF8" w:rsidRDefault="00B76CF8" w:rsidP="00B76CF8">
      <w:pPr>
        <w:numPr>
          <w:ilvl w:val="0"/>
          <w:numId w:val="1"/>
        </w:numPr>
        <w:shd w:val="clear" w:color="auto" w:fill="FFFFFF"/>
        <w:spacing w:after="0" w:line="255" w:lineRule="atLeast"/>
        <w:ind w:left="240"/>
        <w:jc w:val="both"/>
        <w:rPr>
          <w:rFonts w:ascii="Times New Roman" w:eastAsia="Times New Roman" w:hAnsi="Times New Roman" w:cs="Times New Roman"/>
          <w:color w:val="333333"/>
          <w:sz w:val="24"/>
          <w:szCs w:val="24"/>
          <w:lang w:val="en-US" w:eastAsia="el-GR"/>
        </w:rPr>
      </w:pPr>
      <w:r w:rsidRPr="00B76CF8">
        <w:rPr>
          <w:rFonts w:ascii="Arial" w:eastAsia="Times New Roman" w:hAnsi="Arial" w:cs="Arial"/>
          <w:color w:val="333333"/>
          <w:sz w:val="24"/>
          <w:szCs w:val="24"/>
          <w:lang w:val="en-US" w:eastAsia="el-GR"/>
        </w:rPr>
        <w:t>The DIFC-LCIA arbitration rules (effective on and after 1 October 2016), provide in Article 5.3 that all arbitrators shall be and remain at all times impartial and independent of the parties, and none shall act as an advocate for or represent any party. Those rules go on to say that potential arbitrators must provide certain information and a written declaration directed at confirming their independence and impartiality (Article 5.4). Article 10 addresses the removal of an arbitrator for, amongst other things, failing to act fairly and impartially.</w:t>
      </w:r>
    </w:p>
    <w:p w:rsidR="00B76CF8" w:rsidRPr="00B76CF8" w:rsidRDefault="00B76CF8" w:rsidP="00B76CF8">
      <w:pPr>
        <w:numPr>
          <w:ilvl w:val="0"/>
          <w:numId w:val="1"/>
        </w:numPr>
        <w:shd w:val="clear" w:color="auto" w:fill="FFFFFF"/>
        <w:spacing w:after="0" w:line="255" w:lineRule="atLeast"/>
        <w:ind w:left="240"/>
        <w:jc w:val="both"/>
        <w:rPr>
          <w:rFonts w:ascii="Times New Roman" w:eastAsia="Times New Roman" w:hAnsi="Times New Roman" w:cs="Times New Roman"/>
          <w:color w:val="333333"/>
          <w:sz w:val="24"/>
          <w:szCs w:val="24"/>
          <w:lang w:val="en-US" w:eastAsia="el-GR"/>
        </w:rPr>
      </w:pPr>
      <w:r w:rsidRPr="00B76CF8">
        <w:rPr>
          <w:rFonts w:ascii="Arial" w:eastAsia="Times New Roman" w:hAnsi="Arial" w:cs="Arial"/>
          <w:color w:val="333333"/>
          <w:sz w:val="24"/>
          <w:szCs w:val="24"/>
          <w:lang w:val="en-US" w:eastAsia="el-GR"/>
        </w:rPr>
        <w:t xml:space="preserve">The UNCITRAL arbitration rules (as revised 2010), provide in Article 11 that a person approached to be an arbitrator shall disclose any circumstances likely to give rise to justifiable doubts as to his or her impartiality or independence. Article 12 provides for a challenge to an arbitrator if circumstances </w:t>
      </w:r>
      <w:proofErr w:type="gramStart"/>
      <w:r w:rsidRPr="00B76CF8">
        <w:rPr>
          <w:rFonts w:ascii="Arial" w:eastAsia="Times New Roman" w:hAnsi="Arial" w:cs="Arial"/>
          <w:color w:val="333333"/>
          <w:sz w:val="24"/>
          <w:szCs w:val="24"/>
          <w:lang w:val="en-US" w:eastAsia="el-GR"/>
        </w:rPr>
        <w:t>exist</w:t>
      </w:r>
      <w:proofErr w:type="gramEnd"/>
      <w:r w:rsidRPr="00B76CF8">
        <w:rPr>
          <w:rFonts w:ascii="Arial" w:eastAsia="Times New Roman" w:hAnsi="Arial" w:cs="Arial"/>
          <w:color w:val="333333"/>
          <w:sz w:val="24"/>
          <w:szCs w:val="24"/>
          <w:lang w:val="en-US" w:eastAsia="el-GR"/>
        </w:rPr>
        <w:t xml:space="preserve"> that give rise to justifiable doubts as to impartiality or independence.</w:t>
      </w:r>
    </w:p>
    <w:p w:rsidR="00B76CF8" w:rsidRPr="00B76CF8" w:rsidRDefault="00B76CF8" w:rsidP="00B76CF8">
      <w:pPr>
        <w:numPr>
          <w:ilvl w:val="0"/>
          <w:numId w:val="1"/>
        </w:numPr>
        <w:shd w:val="clear" w:color="auto" w:fill="FFFFFF"/>
        <w:spacing w:after="0" w:line="255" w:lineRule="atLeast"/>
        <w:ind w:left="240"/>
        <w:jc w:val="both"/>
        <w:rPr>
          <w:rFonts w:ascii="Times New Roman" w:eastAsia="Times New Roman" w:hAnsi="Times New Roman" w:cs="Times New Roman"/>
          <w:color w:val="333333"/>
          <w:sz w:val="24"/>
          <w:szCs w:val="24"/>
          <w:lang w:val="en-US" w:eastAsia="el-GR"/>
        </w:rPr>
      </w:pPr>
      <w:r w:rsidRPr="00B76CF8">
        <w:rPr>
          <w:rFonts w:ascii="Arial" w:eastAsia="Times New Roman" w:hAnsi="Arial" w:cs="Arial"/>
          <w:color w:val="333333"/>
          <w:sz w:val="24"/>
          <w:szCs w:val="24"/>
          <w:lang w:val="en-US" w:eastAsia="el-GR"/>
        </w:rPr>
        <w:t>In England &amp; Wales, section 1 of the Arbitration Act 1996 specifically states that the aim of arbitration is the fair resolution of disputes by an impartial tribunal. Section 33(1</w:t>
      </w:r>
      <w:proofErr w:type="gramStart"/>
      <w:r w:rsidRPr="00B76CF8">
        <w:rPr>
          <w:rFonts w:ascii="Arial" w:eastAsia="Times New Roman" w:hAnsi="Arial" w:cs="Arial"/>
          <w:color w:val="333333"/>
          <w:sz w:val="24"/>
          <w:szCs w:val="24"/>
          <w:lang w:val="en-US" w:eastAsia="el-GR"/>
        </w:rPr>
        <w:t>)(</w:t>
      </w:r>
      <w:proofErr w:type="gramEnd"/>
      <w:r w:rsidRPr="00B76CF8">
        <w:rPr>
          <w:rFonts w:ascii="Arial" w:eastAsia="Times New Roman" w:hAnsi="Arial" w:cs="Arial"/>
          <w:color w:val="333333"/>
          <w:sz w:val="24"/>
          <w:szCs w:val="24"/>
          <w:lang w:val="en-US" w:eastAsia="el-GR"/>
        </w:rPr>
        <w:t xml:space="preserve">a) of that Act provides that the tribunal shall act fairly and impartially between the parties. A breach of section 33 is a serious irregularity and grounds for challenging an award under section 68. Added to the mix is section 24, which permits a court to remove an arbitrator if circumstances </w:t>
      </w:r>
      <w:proofErr w:type="gramStart"/>
      <w:r w:rsidRPr="00B76CF8">
        <w:rPr>
          <w:rFonts w:ascii="Arial" w:eastAsia="Times New Roman" w:hAnsi="Arial" w:cs="Arial"/>
          <w:color w:val="333333"/>
          <w:sz w:val="24"/>
          <w:szCs w:val="24"/>
          <w:lang w:val="en-US" w:eastAsia="el-GR"/>
        </w:rPr>
        <w:t>exist</w:t>
      </w:r>
      <w:proofErr w:type="gramEnd"/>
      <w:r w:rsidRPr="00B76CF8">
        <w:rPr>
          <w:rFonts w:ascii="Arial" w:eastAsia="Times New Roman" w:hAnsi="Arial" w:cs="Arial"/>
          <w:color w:val="333333"/>
          <w:sz w:val="24"/>
          <w:szCs w:val="24"/>
          <w:lang w:val="en-US" w:eastAsia="el-GR"/>
        </w:rPr>
        <w:t xml:space="preserve"> that give rise to justifiable doubts as to an arbitrator's impartiality.</w:t>
      </w:r>
    </w:p>
    <w:p w:rsidR="00B76CF8" w:rsidRPr="00B76CF8" w:rsidRDefault="00B76CF8" w:rsidP="00B76CF8">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sidRPr="00B76CF8">
        <w:rPr>
          <w:rFonts w:ascii="Arial" w:eastAsia="Times New Roman" w:hAnsi="Arial" w:cs="Arial"/>
          <w:color w:val="333333"/>
          <w:sz w:val="24"/>
          <w:szCs w:val="24"/>
          <w:lang w:val="en-US" w:eastAsia="el-GR"/>
        </w:rPr>
        <w:lastRenderedPageBreak/>
        <w:t>Pausing here, and showing that such issues of bias do arise even in jurisdictions with sophisticated arbitration laws, the High Court of England &amp; Wales recently considered section 24 of the Arbitration Act 1996 in </w:t>
      </w:r>
      <w:r w:rsidRPr="00B76CF8">
        <w:rPr>
          <w:rFonts w:ascii="Arial" w:eastAsia="Times New Roman" w:hAnsi="Arial" w:cs="Arial"/>
          <w:b/>
          <w:bCs/>
          <w:color w:val="333333"/>
          <w:sz w:val="24"/>
          <w:szCs w:val="24"/>
          <w:lang w:val="en-US" w:eastAsia="el-GR"/>
        </w:rPr>
        <w:t>Cofely Ltd v. Anthony Bingham and Knowles Limited</w:t>
      </w:r>
      <w:r w:rsidRPr="00B76CF8">
        <w:rPr>
          <w:rFonts w:ascii="Arial" w:eastAsia="Times New Roman" w:hAnsi="Arial" w:cs="Arial"/>
          <w:color w:val="333333"/>
          <w:sz w:val="24"/>
          <w:szCs w:val="24"/>
          <w:vertAlign w:val="superscript"/>
          <w:lang w:val="en-US" w:eastAsia="el-GR"/>
        </w:rPr>
        <w:t>1</w:t>
      </w:r>
      <w:r w:rsidRPr="00B76CF8">
        <w:rPr>
          <w:rFonts w:ascii="Arial" w:eastAsia="Times New Roman" w:hAnsi="Arial" w:cs="Arial"/>
          <w:b/>
          <w:bCs/>
          <w:color w:val="333333"/>
          <w:sz w:val="24"/>
          <w:szCs w:val="24"/>
          <w:lang w:val="en-US" w:eastAsia="el-GR"/>
        </w:rPr>
        <w:t>.</w:t>
      </w:r>
      <w:r w:rsidRPr="00B76CF8">
        <w:rPr>
          <w:rFonts w:ascii="Arial" w:eastAsia="Times New Roman" w:hAnsi="Arial" w:cs="Arial"/>
          <w:color w:val="333333"/>
          <w:sz w:val="24"/>
          <w:szCs w:val="24"/>
          <w:lang w:val="en-US" w:eastAsia="el-GR"/>
        </w:rPr>
        <w:t xml:space="preserve"> In that case, </w:t>
      </w:r>
      <w:proofErr w:type="spellStart"/>
      <w:r w:rsidRPr="00B76CF8">
        <w:rPr>
          <w:rFonts w:ascii="Arial" w:eastAsia="Times New Roman" w:hAnsi="Arial" w:cs="Arial"/>
          <w:color w:val="333333"/>
          <w:sz w:val="24"/>
          <w:szCs w:val="24"/>
          <w:lang w:val="en-US" w:eastAsia="el-GR"/>
        </w:rPr>
        <w:t>Mr</w:t>
      </w:r>
      <w:proofErr w:type="spellEnd"/>
      <w:r w:rsidRPr="00B76CF8">
        <w:rPr>
          <w:rFonts w:ascii="Arial" w:eastAsia="Times New Roman" w:hAnsi="Arial" w:cs="Arial"/>
          <w:color w:val="333333"/>
          <w:sz w:val="24"/>
          <w:szCs w:val="24"/>
          <w:lang w:val="en-US" w:eastAsia="el-GR"/>
        </w:rPr>
        <w:t xml:space="preserve"> Justice Hamblen (as he then was) decided that the facts raised the real possibility of apparent bias by the arbitrator; further, that where there is actual or apparent bias, there is also substantial injustice. The arbitrator, </w:t>
      </w:r>
      <w:proofErr w:type="spellStart"/>
      <w:r w:rsidRPr="00B76CF8">
        <w:rPr>
          <w:rFonts w:ascii="Arial" w:eastAsia="Times New Roman" w:hAnsi="Arial" w:cs="Arial"/>
          <w:color w:val="333333"/>
          <w:sz w:val="24"/>
          <w:szCs w:val="24"/>
          <w:lang w:val="en-US" w:eastAsia="el-GR"/>
        </w:rPr>
        <w:t>Mr</w:t>
      </w:r>
      <w:proofErr w:type="spellEnd"/>
      <w:r w:rsidRPr="00B76CF8">
        <w:rPr>
          <w:rFonts w:ascii="Arial" w:eastAsia="Times New Roman" w:hAnsi="Arial" w:cs="Arial"/>
          <w:color w:val="333333"/>
          <w:sz w:val="24"/>
          <w:szCs w:val="24"/>
          <w:lang w:val="en-US" w:eastAsia="el-GR"/>
        </w:rPr>
        <w:t xml:space="preserve"> Tony Bingham, therefore resigned.</w:t>
      </w:r>
    </w:p>
    <w:p w:rsidR="00B76CF8" w:rsidRPr="00B76CF8" w:rsidRDefault="00B76CF8" w:rsidP="00B76CF8">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sidRPr="00B76CF8">
        <w:rPr>
          <w:rFonts w:ascii="Arial" w:eastAsia="Times New Roman" w:hAnsi="Arial" w:cs="Arial"/>
          <w:color w:val="333333"/>
          <w:sz w:val="24"/>
          <w:szCs w:val="24"/>
          <w:lang w:val="en-US" w:eastAsia="el-GR"/>
        </w:rPr>
        <w:t>In return for undertaking the socially and commercially important task of acting as an arbitrator, an arbitrator is said to enjoy (qualified) immunity from claims against him or her in a personal capacity. However, any breach of the fundamental principle of fairness and impartiality would expose the arbitrator to the risk of losing that immunity.</w:t>
      </w:r>
    </w:p>
    <w:p w:rsidR="00B76CF8" w:rsidRPr="00B76CF8" w:rsidRDefault="00B76CF8" w:rsidP="00B76CF8">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sidRPr="00B76CF8">
        <w:rPr>
          <w:rFonts w:ascii="Arial" w:eastAsia="Times New Roman" w:hAnsi="Arial" w:cs="Arial"/>
          <w:color w:val="333333"/>
          <w:sz w:val="24"/>
          <w:szCs w:val="24"/>
          <w:lang w:val="en-US" w:eastAsia="el-GR"/>
        </w:rPr>
        <w:t>This immunity has more recently been provided by legislation (e.g., section 29 of the Arbitration Act 1996, and Article 22 of the DIFC Arbitration Law), and institutional rules (e.g., Article 31 of the DIFC-LCIA arbitration rules, and Article 16 of the UNCITRAL arbitration rules). However, in the UAE, as in a number of other countries, there is no statutory immunity, and it is not unknown for an aggrieved party to bring proceedings against an arbitrator in the arbitrator's personal capacity.</w:t>
      </w:r>
    </w:p>
    <w:p w:rsidR="00B76CF8" w:rsidRPr="00B76CF8" w:rsidRDefault="00B76CF8" w:rsidP="00B76CF8">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sidRPr="00B76CF8">
        <w:rPr>
          <w:rFonts w:ascii="Arial" w:eastAsia="Times New Roman" w:hAnsi="Arial" w:cs="Arial"/>
          <w:color w:val="333333"/>
          <w:sz w:val="24"/>
          <w:szCs w:val="24"/>
          <w:lang w:val="en-US" w:eastAsia="el-GR"/>
        </w:rPr>
        <w:t>The UAE does not have a modern statute on arbitration; it is known that one is in draft, and enactment is eagerly awaited by the arbitration community. The present legislation, contained principally in Articles 203 to 218 of the UAE Civil Procedure Code, does not expressly address issues of impartiality and fairness. Legislative support for the arbitration process, and in particular legislative measures to support the integrity of the arbitration process, is to be encouraged.</w:t>
      </w:r>
    </w:p>
    <w:p w:rsidR="00B76CF8" w:rsidRPr="00B76CF8" w:rsidRDefault="00B76CF8" w:rsidP="00B76CF8">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sidRPr="00B76CF8">
        <w:rPr>
          <w:rFonts w:ascii="Arial" w:eastAsia="Times New Roman" w:hAnsi="Arial" w:cs="Arial"/>
          <w:color w:val="333333"/>
          <w:sz w:val="24"/>
          <w:szCs w:val="24"/>
          <w:lang w:val="en-US" w:eastAsia="el-GR"/>
        </w:rPr>
        <w:t>Our experience is that arbitrators in the UAE seek to apply themselves diligently and properly to the task they have accepted. Credible allegations of a lack of fairness or impartiality are rare. The arbitration bodies in the UAE are now firmly established and their reputations are becoming more widely acknowledged. Their arbitration rules, and those of international institutions that are used in the UAE, address the fundamental principle.</w:t>
      </w:r>
    </w:p>
    <w:p w:rsidR="00B76CF8" w:rsidRPr="00B76CF8" w:rsidRDefault="00B76CF8" w:rsidP="00B76CF8">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sidRPr="00B76CF8">
        <w:rPr>
          <w:rFonts w:ascii="Arial" w:eastAsia="Times New Roman" w:hAnsi="Arial" w:cs="Arial"/>
          <w:color w:val="333333"/>
          <w:sz w:val="24"/>
          <w:szCs w:val="24"/>
          <w:lang w:val="en-US" w:eastAsia="el-GR"/>
        </w:rPr>
        <w:t>For our part, we are not aware of a particular concern that arbitrators in the UAE are not acting fairly and impartially, or a concern that the commonly used institutional rules, or the DIFC Arbitration Law, are failing on this issue. We are not aware of a failure to act with fairness and impartiality attracting criminal sanctions in any of the leading arbitration jurisdictions.</w:t>
      </w:r>
    </w:p>
    <w:p w:rsidR="00B76CF8" w:rsidRDefault="00B76CF8" w:rsidP="00B76CF8">
      <w:pPr>
        <w:shd w:val="clear" w:color="auto" w:fill="FFFFFF"/>
        <w:spacing w:after="0" w:line="240" w:lineRule="auto"/>
        <w:jc w:val="both"/>
        <w:rPr>
          <w:rFonts w:ascii="Arial" w:eastAsia="Times New Roman" w:hAnsi="Arial" w:cs="Arial"/>
          <w:b/>
          <w:bCs/>
          <w:color w:val="333333"/>
          <w:sz w:val="25"/>
          <w:szCs w:val="25"/>
          <w:lang w:val="en-US" w:eastAsia="el-GR"/>
        </w:rPr>
      </w:pPr>
    </w:p>
    <w:p w:rsidR="00B76CF8" w:rsidRPr="00B76CF8" w:rsidRDefault="00B76CF8" w:rsidP="00B76CF8">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sidRPr="00B76CF8">
        <w:rPr>
          <w:rFonts w:ascii="Arial" w:eastAsia="Times New Roman" w:hAnsi="Arial" w:cs="Arial"/>
          <w:b/>
          <w:bCs/>
          <w:color w:val="333333"/>
          <w:sz w:val="25"/>
          <w:szCs w:val="25"/>
          <w:lang w:val="en-US" w:eastAsia="el-GR"/>
        </w:rPr>
        <w:t>The amendment of UAE Penal Code, Article 257</w:t>
      </w:r>
    </w:p>
    <w:p w:rsidR="00B76CF8" w:rsidRPr="00B76CF8" w:rsidRDefault="00B76CF8" w:rsidP="00B76CF8">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sidRPr="00B76CF8">
        <w:rPr>
          <w:rFonts w:ascii="Arial" w:eastAsia="Times New Roman" w:hAnsi="Arial" w:cs="Arial"/>
          <w:color w:val="333333"/>
          <w:sz w:val="24"/>
          <w:szCs w:val="24"/>
          <w:lang w:val="en-US" w:eastAsia="el-GR"/>
        </w:rPr>
        <w:t>Against that background, the UAE has recently enacted legislation to enforce an arbitrator's obligations of fairness and impartiality, but not in a manner that was expected. The chosen method is by an amendment</w:t>
      </w:r>
      <w:r w:rsidRPr="00B76CF8">
        <w:rPr>
          <w:rFonts w:ascii="Arial" w:eastAsia="Times New Roman" w:hAnsi="Arial" w:cs="Arial"/>
          <w:color w:val="333333"/>
          <w:sz w:val="24"/>
          <w:szCs w:val="24"/>
          <w:vertAlign w:val="superscript"/>
          <w:lang w:val="en-US" w:eastAsia="el-GR"/>
        </w:rPr>
        <w:t>2</w:t>
      </w:r>
      <w:r w:rsidRPr="00B76CF8">
        <w:rPr>
          <w:rFonts w:ascii="Arial" w:eastAsia="Times New Roman" w:hAnsi="Arial" w:cs="Arial"/>
          <w:color w:val="333333"/>
          <w:sz w:val="24"/>
          <w:szCs w:val="24"/>
          <w:lang w:val="en-US" w:eastAsia="el-GR"/>
        </w:rPr>
        <w:t> to Article 257 of the UAE's Federal Law No. 3 of 1987 (</w:t>
      </w:r>
      <w:r w:rsidRPr="00B76CF8">
        <w:rPr>
          <w:rFonts w:ascii="Arial" w:eastAsia="Times New Roman" w:hAnsi="Arial" w:cs="Arial"/>
          <w:b/>
          <w:bCs/>
          <w:color w:val="333333"/>
          <w:sz w:val="24"/>
          <w:szCs w:val="24"/>
          <w:lang w:val="en-US" w:eastAsia="el-GR"/>
        </w:rPr>
        <w:t>Penal Code</w:t>
      </w:r>
      <w:r w:rsidRPr="00B76CF8">
        <w:rPr>
          <w:rFonts w:ascii="Arial" w:eastAsia="Times New Roman" w:hAnsi="Arial" w:cs="Arial"/>
          <w:color w:val="333333"/>
          <w:sz w:val="24"/>
          <w:szCs w:val="24"/>
          <w:lang w:val="en-US" w:eastAsia="el-GR"/>
        </w:rPr>
        <w:t>).</w:t>
      </w:r>
    </w:p>
    <w:p w:rsidR="00B76CF8" w:rsidRPr="00B76CF8" w:rsidRDefault="00B76CF8" w:rsidP="00B76CF8">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sidRPr="00B76CF8">
        <w:rPr>
          <w:rFonts w:ascii="Arial" w:eastAsia="Times New Roman" w:hAnsi="Arial" w:cs="Arial"/>
          <w:color w:val="333333"/>
          <w:sz w:val="24"/>
          <w:szCs w:val="24"/>
          <w:lang w:val="en-US" w:eastAsia="el-GR"/>
        </w:rPr>
        <w:t>Previously, Article 257 was directed only at court-appointed experts and translators, but its ambit has been extended to include arbitrators (as well as 'investigators'). As amended, one translation from the authoritative Arabic text reads:</w:t>
      </w:r>
    </w:p>
    <w:p w:rsidR="00B76CF8" w:rsidRPr="00B76CF8" w:rsidRDefault="00B76CF8" w:rsidP="00B76CF8">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sidRPr="00B76CF8">
        <w:rPr>
          <w:rFonts w:ascii="Arial" w:eastAsia="Times New Roman" w:hAnsi="Arial" w:cs="Arial"/>
          <w:color w:val="333333"/>
          <w:sz w:val="24"/>
          <w:szCs w:val="24"/>
          <w:lang w:val="en-US" w:eastAsia="el-GR"/>
        </w:rPr>
        <w:t>"An expert, </w:t>
      </w:r>
      <w:r w:rsidRPr="00B76CF8">
        <w:rPr>
          <w:rFonts w:ascii="Arial" w:eastAsia="Times New Roman" w:hAnsi="Arial" w:cs="Arial"/>
          <w:b/>
          <w:bCs/>
          <w:color w:val="333333"/>
          <w:sz w:val="24"/>
          <w:szCs w:val="24"/>
          <w:lang w:val="en-US" w:eastAsia="el-GR"/>
        </w:rPr>
        <w:t>arbitrator</w:t>
      </w:r>
      <w:r w:rsidRPr="00B76CF8">
        <w:rPr>
          <w:rFonts w:ascii="Arial" w:eastAsia="Times New Roman" w:hAnsi="Arial" w:cs="Arial"/>
          <w:color w:val="333333"/>
          <w:sz w:val="24"/>
          <w:szCs w:val="24"/>
          <w:lang w:val="en-US" w:eastAsia="el-GR"/>
        </w:rPr>
        <w:t> or translator or investigator who is appointed by a judicial or an </w:t>
      </w:r>
      <w:r w:rsidRPr="00B76CF8">
        <w:rPr>
          <w:rFonts w:ascii="Arial" w:eastAsia="Times New Roman" w:hAnsi="Arial" w:cs="Arial"/>
          <w:b/>
          <w:bCs/>
          <w:color w:val="333333"/>
          <w:sz w:val="24"/>
          <w:szCs w:val="24"/>
          <w:lang w:val="en-US" w:eastAsia="el-GR"/>
        </w:rPr>
        <w:t>administrative authority</w:t>
      </w:r>
      <w:r w:rsidRPr="00B76CF8">
        <w:rPr>
          <w:rFonts w:ascii="Arial" w:eastAsia="Times New Roman" w:hAnsi="Arial" w:cs="Arial"/>
          <w:color w:val="333333"/>
          <w:sz w:val="24"/>
          <w:szCs w:val="24"/>
          <w:lang w:val="en-US" w:eastAsia="el-GR"/>
        </w:rPr>
        <w:t> or </w:t>
      </w:r>
      <w:r w:rsidRPr="00B76CF8">
        <w:rPr>
          <w:rFonts w:ascii="Arial" w:eastAsia="Times New Roman" w:hAnsi="Arial" w:cs="Arial"/>
          <w:b/>
          <w:bCs/>
          <w:color w:val="333333"/>
          <w:sz w:val="24"/>
          <w:szCs w:val="24"/>
          <w:lang w:val="en-US" w:eastAsia="el-GR"/>
        </w:rPr>
        <w:t>elected by the parties</w:t>
      </w:r>
      <w:r w:rsidRPr="00B76CF8">
        <w:rPr>
          <w:rFonts w:ascii="Arial" w:eastAsia="Times New Roman" w:hAnsi="Arial" w:cs="Arial"/>
          <w:color w:val="333333"/>
          <w:sz w:val="24"/>
          <w:szCs w:val="24"/>
          <w:lang w:val="en-US" w:eastAsia="el-GR"/>
        </w:rPr>
        <w:t xml:space="preserve">, and who </w:t>
      </w:r>
      <w:r w:rsidRPr="00B76CF8">
        <w:rPr>
          <w:rFonts w:ascii="Arial" w:eastAsia="Times New Roman" w:hAnsi="Arial" w:cs="Arial"/>
          <w:color w:val="333333"/>
          <w:sz w:val="24"/>
          <w:szCs w:val="24"/>
          <w:lang w:val="en-US" w:eastAsia="el-GR"/>
        </w:rPr>
        <w:lastRenderedPageBreak/>
        <w:t xml:space="preserve">knowingly issue a decision or expresses an opinion or submits a report or presents a cause or proves an incident, in </w:t>
      </w:r>
      <w:proofErr w:type="spellStart"/>
      <w:r w:rsidRPr="00B76CF8">
        <w:rPr>
          <w:rFonts w:ascii="Arial" w:eastAsia="Times New Roman" w:hAnsi="Arial" w:cs="Arial"/>
          <w:color w:val="333333"/>
          <w:sz w:val="24"/>
          <w:szCs w:val="24"/>
          <w:lang w:val="en-US" w:eastAsia="el-GR"/>
        </w:rPr>
        <w:t>favour</w:t>
      </w:r>
      <w:proofErr w:type="spellEnd"/>
      <w:r w:rsidRPr="00B76CF8">
        <w:rPr>
          <w:rFonts w:ascii="Arial" w:eastAsia="Times New Roman" w:hAnsi="Arial" w:cs="Arial"/>
          <w:color w:val="333333"/>
          <w:sz w:val="24"/>
          <w:szCs w:val="24"/>
          <w:lang w:val="en-US" w:eastAsia="el-GR"/>
        </w:rPr>
        <w:t xml:space="preserve"> of a person or against him, </w:t>
      </w:r>
      <w:r w:rsidRPr="00B76CF8">
        <w:rPr>
          <w:rFonts w:ascii="Arial" w:eastAsia="Times New Roman" w:hAnsi="Arial" w:cs="Arial"/>
          <w:b/>
          <w:bCs/>
          <w:color w:val="333333"/>
          <w:sz w:val="24"/>
          <w:szCs w:val="24"/>
          <w:lang w:val="en-US" w:eastAsia="el-GR"/>
        </w:rPr>
        <w:t>contrary to the duty of fairness and unbiasedness</w:t>
      </w:r>
      <w:r w:rsidRPr="00B76CF8">
        <w:rPr>
          <w:rFonts w:ascii="Arial" w:eastAsia="Times New Roman" w:hAnsi="Arial" w:cs="Arial"/>
          <w:color w:val="333333"/>
          <w:sz w:val="24"/>
          <w:szCs w:val="24"/>
          <w:lang w:val="en-US" w:eastAsia="el-GR"/>
        </w:rPr>
        <w:t>, shall be punished by temporary imprisonment</w:t>
      </w:r>
      <w:r w:rsidRPr="00B76CF8">
        <w:rPr>
          <w:rFonts w:ascii="Arial" w:eastAsia="Times New Roman" w:hAnsi="Arial" w:cs="Arial"/>
          <w:color w:val="333333"/>
          <w:sz w:val="24"/>
          <w:szCs w:val="24"/>
          <w:vertAlign w:val="superscript"/>
          <w:lang w:val="en-US" w:eastAsia="el-GR"/>
        </w:rPr>
        <w:t>3</w:t>
      </w:r>
      <w:r w:rsidRPr="00B76CF8">
        <w:rPr>
          <w:rFonts w:ascii="Arial" w:eastAsia="Times New Roman" w:hAnsi="Arial" w:cs="Arial"/>
          <w:color w:val="333333"/>
          <w:sz w:val="24"/>
          <w:szCs w:val="24"/>
          <w:lang w:val="en-US" w:eastAsia="el-GR"/>
        </w:rPr>
        <w:t>. The aforementioned categories shall be precluded from performing the duties they were charged with in the future.</w:t>
      </w:r>
    </w:p>
    <w:p w:rsidR="00B76CF8" w:rsidRPr="00B76CF8" w:rsidRDefault="00B76CF8" w:rsidP="00B76CF8">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sidRPr="00B76CF8">
        <w:rPr>
          <w:rFonts w:ascii="Arial" w:eastAsia="Times New Roman" w:hAnsi="Arial" w:cs="Arial"/>
          <w:color w:val="333333"/>
          <w:sz w:val="24"/>
          <w:szCs w:val="24"/>
          <w:lang w:val="en-US" w:eastAsia="el-GR"/>
        </w:rPr>
        <w:t>Provisions of Article (255) of this Law</w:t>
      </w:r>
      <w:r w:rsidRPr="00B76CF8">
        <w:rPr>
          <w:rFonts w:ascii="Arial" w:eastAsia="Times New Roman" w:hAnsi="Arial" w:cs="Arial"/>
          <w:color w:val="333333"/>
          <w:sz w:val="24"/>
          <w:szCs w:val="24"/>
          <w:vertAlign w:val="superscript"/>
          <w:lang w:val="en-US" w:eastAsia="el-GR"/>
        </w:rPr>
        <w:t>4</w:t>
      </w:r>
      <w:r w:rsidRPr="00B76CF8">
        <w:rPr>
          <w:rFonts w:ascii="Arial" w:eastAsia="Times New Roman" w:hAnsi="Arial" w:cs="Arial"/>
          <w:color w:val="333333"/>
          <w:sz w:val="24"/>
          <w:szCs w:val="24"/>
          <w:lang w:val="en-US" w:eastAsia="el-GR"/>
        </w:rPr>
        <w:t> shall apply thereto." [</w:t>
      </w:r>
      <w:proofErr w:type="gramStart"/>
      <w:r w:rsidRPr="00B76CF8">
        <w:rPr>
          <w:rFonts w:ascii="Arial" w:eastAsia="Times New Roman" w:hAnsi="Arial" w:cs="Arial"/>
          <w:color w:val="333333"/>
          <w:sz w:val="24"/>
          <w:szCs w:val="24"/>
          <w:lang w:val="en-US" w:eastAsia="el-GR"/>
        </w:rPr>
        <w:t>emphasis</w:t>
      </w:r>
      <w:proofErr w:type="gramEnd"/>
      <w:r w:rsidRPr="00B76CF8">
        <w:rPr>
          <w:rFonts w:ascii="Arial" w:eastAsia="Times New Roman" w:hAnsi="Arial" w:cs="Arial"/>
          <w:color w:val="333333"/>
          <w:sz w:val="24"/>
          <w:szCs w:val="24"/>
          <w:lang w:val="en-US" w:eastAsia="el-GR"/>
        </w:rPr>
        <w:t xml:space="preserve"> added]</w:t>
      </w:r>
    </w:p>
    <w:p w:rsidR="00B76CF8" w:rsidRPr="00B76CF8" w:rsidRDefault="00B76CF8" w:rsidP="00B76CF8">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sidRPr="00B76CF8">
        <w:rPr>
          <w:rFonts w:ascii="Arial" w:eastAsia="Times New Roman" w:hAnsi="Arial" w:cs="Arial"/>
          <w:color w:val="333333"/>
          <w:sz w:val="24"/>
          <w:szCs w:val="24"/>
          <w:lang w:val="en-US" w:eastAsia="el-GR"/>
        </w:rPr>
        <w:t xml:space="preserve">Article 257 thus now extends to an </w:t>
      </w:r>
      <w:proofErr w:type="gramStart"/>
      <w:r w:rsidRPr="00B76CF8">
        <w:rPr>
          <w:rFonts w:ascii="Arial" w:eastAsia="Times New Roman" w:hAnsi="Arial" w:cs="Arial"/>
          <w:color w:val="333333"/>
          <w:sz w:val="24"/>
          <w:szCs w:val="24"/>
          <w:lang w:val="en-US" w:eastAsia="el-GR"/>
        </w:rPr>
        <w:t>arbitrator,</w:t>
      </w:r>
      <w:proofErr w:type="gramEnd"/>
      <w:r w:rsidRPr="00B76CF8">
        <w:rPr>
          <w:rFonts w:ascii="Arial" w:eastAsia="Times New Roman" w:hAnsi="Arial" w:cs="Arial"/>
          <w:color w:val="333333"/>
          <w:sz w:val="24"/>
          <w:szCs w:val="24"/>
          <w:lang w:val="en-US" w:eastAsia="el-GR"/>
        </w:rPr>
        <w:t xml:space="preserve"> and in particular to an arbitrator:</w:t>
      </w:r>
    </w:p>
    <w:p w:rsidR="00B76CF8" w:rsidRPr="00B76CF8" w:rsidRDefault="00B76CF8" w:rsidP="00B76CF8">
      <w:pPr>
        <w:numPr>
          <w:ilvl w:val="0"/>
          <w:numId w:val="2"/>
        </w:numPr>
        <w:shd w:val="clear" w:color="auto" w:fill="FFFFFF"/>
        <w:spacing w:after="0" w:line="255" w:lineRule="atLeast"/>
        <w:ind w:left="240"/>
        <w:jc w:val="both"/>
        <w:rPr>
          <w:rFonts w:ascii="Times New Roman" w:eastAsia="Times New Roman" w:hAnsi="Times New Roman" w:cs="Times New Roman"/>
          <w:color w:val="333333"/>
          <w:sz w:val="24"/>
          <w:szCs w:val="24"/>
          <w:lang w:val="en-US" w:eastAsia="el-GR"/>
        </w:rPr>
      </w:pPr>
      <w:r w:rsidRPr="00B76CF8">
        <w:rPr>
          <w:rFonts w:ascii="Arial" w:eastAsia="Times New Roman" w:hAnsi="Arial" w:cs="Arial"/>
          <w:color w:val="333333"/>
          <w:sz w:val="24"/>
          <w:szCs w:val="24"/>
          <w:lang w:val="en-US" w:eastAsia="el-GR"/>
        </w:rPr>
        <w:t>appointed by the court;</w:t>
      </w:r>
    </w:p>
    <w:p w:rsidR="00B76CF8" w:rsidRPr="00B76CF8" w:rsidRDefault="00B76CF8" w:rsidP="00B76CF8">
      <w:pPr>
        <w:numPr>
          <w:ilvl w:val="0"/>
          <w:numId w:val="2"/>
        </w:numPr>
        <w:shd w:val="clear" w:color="auto" w:fill="FFFFFF"/>
        <w:spacing w:after="0" w:line="255" w:lineRule="atLeast"/>
        <w:ind w:left="240"/>
        <w:jc w:val="both"/>
        <w:rPr>
          <w:rFonts w:ascii="Times New Roman" w:eastAsia="Times New Roman" w:hAnsi="Times New Roman" w:cs="Times New Roman"/>
          <w:color w:val="333333"/>
          <w:sz w:val="24"/>
          <w:szCs w:val="24"/>
          <w:lang w:val="en-US" w:eastAsia="el-GR"/>
        </w:rPr>
      </w:pPr>
      <w:proofErr w:type="gramStart"/>
      <w:r w:rsidRPr="00B76CF8">
        <w:rPr>
          <w:rFonts w:ascii="Arial" w:eastAsia="Times New Roman" w:hAnsi="Arial" w:cs="Arial"/>
          <w:color w:val="333333"/>
          <w:sz w:val="24"/>
          <w:szCs w:val="24"/>
          <w:lang w:val="en-US" w:eastAsia="el-GR"/>
        </w:rPr>
        <w:t>appointed</w:t>
      </w:r>
      <w:proofErr w:type="gramEnd"/>
      <w:r w:rsidRPr="00B76CF8">
        <w:rPr>
          <w:rFonts w:ascii="Arial" w:eastAsia="Times New Roman" w:hAnsi="Arial" w:cs="Arial"/>
          <w:color w:val="333333"/>
          <w:sz w:val="24"/>
          <w:szCs w:val="24"/>
          <w:lang w:val="en-US" w:eastAsia="el-GR"/>
        </w:rPr>
        <w:t xml:space="preserve"> by an "administrative authority". Does that include, for example, the DIFC-LCIA or DIAC? In our view, it is quite likely to do so; and</w:t>
      </w:r>
    </w:p>
    <w:p w:rsidR="00B76CF8" w:rsidRPr="00B76CF8" w:rsidRDefault="00B76CF8" w:rsidP="00B76CF8">
      <w:pPr>
        <w:numPr>
          <w:ilvl w:val="0"/>
          <w:numId w:val="2"/>
        </w:numPr>
        <w:shd w:val="clear" w:color="auto" w:fill="FFFFFF"/>
        <w:spacing w:after="0" w:line="255" w:lineRule="atLeast"/>
        <w:ind w:left="240"/>
        <w:jc w:val="both"/>
        <w:rPr>
          <w:rFonts w:ascii="Times New Roman" w:eastAsia="Times New Roman" w:hAnsi="Times New Roman" w:cs="Times New Roman"/>
          <w:color w:val="333333"/>
          <w:sz w:val="24"/>
          <w:szCs w:val="24"/>
          <w:lang w:val="en-US" w:eastAsia="el-GR"/>
        </w:rPr>
      </w:pPr>
      <w:r w:rsidRPr="00B76CF8">
        <w:rPr>
          <w:rFonts w:ascii="Arial" w:eastAsia="Times New Roman" w:hAnsi="Arial" w:cs="Arial"/>
          <w:color w:val="333333"/>
          <w:sz w:val="24"/>
          <w:szCs w:val="24"/>
          <w:lang w:val="en-US" w:eastAsia="el-GR"/>
        </w:rPr>
        <w:t>"</w:t>
      </w:r>
      <w:proofErr w:type="gramStart"/>
      <w:r w:rsidRPr="00B76CF8">
        <w:rPr>
          <w:rFonts w:ascii="Arial" w:eastAsia="Times New Roman" w:hAnsi="Arial" w:cs="Arial"/>
          <w:color w:val="333333"/>
          <w:sz w:val="24"/>
          <w:szCs w:val="24"/>
          <w:lang w:val="en-US" w:eastAsia="el-GR"/>
        </w:rPr>
        <w:t>elected</w:t>
      </w:r>
      <w:proofErr w:type="gramEnd"/>
      <w:r w:rsidRPr="00B76CF8">
        <w:rPr>
          <w:rFonts w:ascii="Arial" w:eastAsia="Times New Roman" w:hAnsi="Arial" w:cs="Arial"/>
          <w:color w:val="333333"/>
          <w:sz w:val="24"/>
          <w:szCs w:val="24"/>
          <w:lang w:val="en-US" w:eastAsia="el-GR"/>
        </w:rPr>
        <w:t xml:space="preserve"> by the parties". We assume this means those appointed by the parties or a third party acting on behalf of the parties.</w:t>
      </w:r>
    </w:p>
    <w:p w:rsidR="00B76CF8" w:rsidRPr="00B76CF8" w:rsidRDefault="00B76CF8" w:rsidP="00B76CF8">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sidRPr="00B76CF8">
        <w:rPr>
          <w:rFonts w:ascii="Arial" w:eastAsia="Times New Roman" w:hAnsi="Arial" w:cs="Arial"/>
          <w:color w:val="333333"/>
          <w:sz w:val="24"/>
          <w:szCs w:val="24"/>
          <w:lang w:val="en-US" w:eastAsia="el-GR"/>
        </w:rPr>
        <w:t>Article 257 relies upon the existence of a duty of fairness and impartiality. However, it does not state the source of that duty. This gives rise to a number of questions - does Article 257 itself create such a duty? Does such a duty arise as a general principle of the law of the UAE? Or does it only arise if the arbitration rules set out such a duty or, say, the DIFC Arbitration Law applies? And will the criminal court be called upon to review and examine the merits of the procedure adopted in an arbitration or the arbitration award itself?</w:t>
      </w:r>
    </w:p>
    <w:p w:rsidR="00B76CF8" w:rsidRPr="00B76CF8" w:rsidRDefault="00B76CF8" w:rsidP="00B76CF8">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sidRPr="00B76CF8">
        <w:rPr>
          <w:rFonts w:ascii="Arial" w:eastAsia="Times New Roman" w:hAnsi="Arial" w:cs="Arial"/>
          <w:color w:val="333333"/>
          <w:sz w:val="24"/>
          <w:szCs w:val="24"/>
          <w:lang w:val="en-US" w:eastAsia="el-GR"/>
        </w:rPr>
        <w:t>The attitude of the police in the seven Emirates comprising the UAE, or the various prosecuting authorities, or the courts, to allegations of an offence against the amended Article 257, is not yet known.</w:t>
      </w:r>
    </w:p>
    <w:p w:rsidR="00B76CF8" w:rsidRPr="00B76CF8" w:rsidRDefault="00B76CF8" w:rsidP="00B76CF8">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sidRPr="00B76CF8">
        <w:rPr>
          <w:rFonts w:ascii="Arial" w:eastAsia="Times New Roman" w:hAnsi="Arial" w:cs="Arial"/>
          <w:color w:val="333333"/>
          <w:sz w:val="24"/>
          <w:szCs w:val="24"/>
          <w:lang w:val="en-US" w:eastAsia="el-GR"/>
        </w:rPr>
        <w:t>The definitive judicial interpretation of Article 257 by the courts in the UAE will be keenly awaited, but that court process, as with court processes in most jurisdictions, will take time to map out the contours of the new Article 257, not the least given that the UAE is a civil jurisdiction, with a number of separate court systems in various Emirates.</w:t>
      </w:r>
    </w:p>
    <w:p w:rsidR="00B76CF8" w:rsidRPr="00B76CF8" w:rsidRDefault="00B76CF8" w:rsidP="00B76CF8">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sidRPr="00B76CF8">
        <w:rPr>
          <w:rFonts w:ascii="Arial" w:eastAsia="Times New Roman" w:hAnsi="Arial" w:cs="Arial"/>
          <w:color w:val="333333"/>
          <w:sz w:val="24"/>
          <w:szCs w:val="24"/>
          <w:lang w:val="en-US" w:eastAsia="el-GR"/>
        </w:rPr>
        <w:t xml:space="preserve">As in most jurisdictions, parties cannot contract out of criminal liability, and so the immunity clauses in legislation and arbitration rules will not protect an arbitrator accused of a crime. In any event, an immunity provision would be most unlikely to provide a </w:t>
      </w:r>
      <w:proofErr w:type="spellStart"/>
      <w:r w:rsidRPr="00B76CF8">
        <w:rPr>
          <w:rFonts w:ascii="Arial" w:eastAsia="Times New Roman" w:hAnsi="Arial" w:cs="Arial"/>
          <w:color w:val="333333"/>
          <w:sz w:val="24"/>
          <w:szCs w:val="24"/>
          <w:lang w:val="en-US" w:eastAsia="el-GR"/>
        </w:rPr>
        <w:t>defence</w:t>
      </w:r>
      <w:proofErr w:type="spellEnd"/>
      <w:r w:rsidRPr="00B76CF8">
        <w:rPr>
          <w:rFonts w:ascii="Arial" w:eastAsia="Times New Roman" w:hAnsi="Arial" w:cs="Arial"/>
          <w:color w:val="333333"/>
          <w:sz w:val="24"/>
          <w:szCs w:val="24"/>
          <w:lang w:val="en-US" w:eastAsia="el-GR"/>
        </w:rPr>
        <w:t xml:space="preserve"> where the arbitrator has knowingly acted unfairly or has been biased</w:t>
      </w:r>
      <w:r w:rsidRPr="00B76CF8">
        <w:rPr>
          <w:rFonts w:ascii="Arial" w:eastAsia="Times New Roman" w:hAnsi="Arial" w:cs="Arial"/>
          <w:color w:val="333333"/>
          <w:sz w:val="24"/>
          <w:szCs w:val="24"/>
          <w:vertAlign w:val="superscript"/>
          <w:lang w:val="en-US" w:eastAsia="el-GR"/>
        </w:rPr>
        <w:t>5</w:t>
      </w:r>
      <w:r w:rsidRPr="00B76CF8">
        <w:rPr>
          <w:rFonts w:ascii="Arial" w:eastAsia="Times New Roman" w:hAnsi="Arial" w:cs="Arial"/>
          <w:color w:val="333333"/>
          <w:sz w:val="24"/>
          <w:szCs w:val="24"/>
          <w:lang w:val="en-US" w:eastAsia="el-GR"/>
        </w:rPr>
        <w:t>. But what if the arbitrator was unwittingly guilty of acting unfairly or of bias?</w:t>
      </w:r>
    </w:p>
    <w:p w:rsidR="00B76CF8" w:rsidRPr="00B76CF8" w:rsidRDefault="00B76CF8" w:rsidP="00B76CF8">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sidRPr="00B76CF8">
        <w:rPr>
          <w:rFonts w:ascii="Arial" w:eastAsia="Times New Roman" w:hAnsi="Arial" w:cs="Arial"/>
          <w:color w:val="333333"/>
          <w:sz w:val="24"/>
          <w:szCs w:val="24"/>
          <w:lang w:val="en-US" w:eastAsia="el-GR"/>
        </w:rPr>
        <w:t>It also remains to be seen how (potential) arbitrators will react to this legislative move, which will be important for the future of arbitration in the UAE. There is already some anecdotal evidence that some arbitrators are now more reluctant to accept, or even continue with, an appointment as an arbitrator in the UAE. Arbitrators will also be concerned that their professional indemnity insurance may not respond to a claim where the insured arbitrator is prosecuted for an alleged "crime".</w:t>
      </w:r>
    </w:p>
    <w:p w:rsidR="00B76CF8" w:rsidRDefault="00B76CF8" w:rsidP="00B76CF8">
      <w:pPr>
        <w:shd w:val="clear" w:color="auto" w:fill="FFFFFF"/>
        <w:spacing w:after="0" w:line="240" w:lineRule="auto"/>
        <w:jc w:val="both"/>
        <w:rPr>
          <w:rFonts w:ascii="Arial" w:eastAsia="Times New Roman" w:hAnsi="Arial" w:cs="Arial"/>
          <w:b/>
          <w:bCs/>
          <w:color w:val="333333"/>
          <w:sz w:val="25"/>
          <w:szCs w:val="25"/>
          <w:lang w:val="en-US" w:eastAsia="el-GR"/>
        </w:rPr>
      </w:pPr>
    </w:p>
    <w:p w:rsidR="00B76CF8" w:rsidRPr="00B76CF8" w:rsidRDefault="00B76CF8" w:rsidP="00B76CF8">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sidRPr="00B76CF8">
        <w:rPr>
          <w:rFonts w:ascii="Arial" w:eastAsia="Times New Roman" w:hAnsi="Arial" w:cs="Arial"/>
          <w:b/>
          <w:bCs/>
          <w:color w:val="333333"/>
          <w:sz w:val="25"/>
          <w:szCs w:val="25"/>
          <w:lang w:val="en-US" w:eastAsia="el-GR"/>
        </w:rPr>
        <w:t>Conclusion</w:t>
      </w:r>
    </w:p>
    <w:p w:rsidR="00B76CF8" w:rsidRPr="00B76CF8" w:rsidRDefault="00B76CF8" w:rsidP="00B76CF8">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sidRPr="00B76CF8">
        <w:rPr>
          <w:rFonts w:ascii="Arial" w:eastAsia="Times New Roman" w:hAnsi="Arial" w:cs="Arial"/>
          <w:color w:val="333333"/>
          <w:sz w:val="24"/>
          <w:szCs w:val="24"/>
          <w:lang w:val="en-US" w:eastAsia="el-GR"/>
        </w:rPr>
        <w:t>As a general principle, it is right that an arbitrator who acts unfairly or who is biased should not be an arbitrator. Such action can cause immense and unwarranted harm to an innocent party and damage the reputation of arbitration as a means for resolving disputes.</w:t>
      </w:r>
    </w:p>
    <w:p w:rsidR="00B76CF8" w:rsidRPr="00B76CF8" w:rsidRDefault="00B76CF8" w:rsidP="00B76CF8">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sidRPr="00B76CF8">
        <w:rPr>
          <w:rFonts w:ascii="Arial" w:eastAsia="Times New Roman" w:hAnsi="Arial" w:cs="Arial"/>
          <w:color w:val="333333"/>
          <w:sz w:val="24"/>
          <w:szCs w:val="24"/>
          <w:lang w:val="en-US" w:eastAsia="el-GR"/>
        </w:rPr>
        <w:t xml:space="preserve">Further, such a person should not be allowed to profit from their misconduct; there should be adverse consequences for it. In most cases the removal of the arbitrator will be the appropriate penalty, as will removal from panels of potential arbitrators held by institutions. A term of temporary imprisonment, </w:t>
      </w:r>
      <w:r w:rsidRPr="00B76CF8">
        <w:rPr>
          <w:rFonts w:ascii="Arial" w:eastAsia="Times New Roman" w:hAnsi="Arial" w:cs="Arial"/>
          <w:color w:val="333333"/>
          <w:sz w:val="24"/>
          <w:szCs w:val="24"/>
          <w:lang w:val="en-US" w:eastAsia="el-GR"/>
        </w:rPr>
        <w:lastRenderedPageBreak/>
        <w:t>following a public prosecution, should (to put it no higher) be an exceedingly rare response.</w:t>
      </w:r>
    </w:p>
    <w:p w:rsidR="00B76CF8" w:rsidRPr="00B76CF8" w:rsidRDefault="00B76CF8" w:rsidP="00B76CF8">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sidRPr="00B76CF8">
        <w:rPr>
          <w:rFonts w:ascii="Arial" w:eastAsia="Times New Roman" w:hAnsi="Arial" w:cs="Arial"/>
          <w:color w:val="333333"/>
          <w:sz w:val="24"/>
          <w:szCs w:val="24"/>
          <w:lang w:val="en-US" w:eastAsia="el-GR"/>
        </w:rPr>
        <w:t>Given that it is not unknown for a (disgruntled) party to bring civil proceedings against an arbitrator, we would hope that the concerned authorities will be vigilant so as to prevent Article 257 from being used as a weapon to intimidate arbitrators, or re-litigate the dispute. We would hope that prosecutions, if any, are very rare, and only then in extreme cases.</w:t>
      </w:r>
    </w:p>
    <w:p w:rsidR="00B76CF8" w:rsidRPr="00B76CF8" w:rsidRDefault="00B76CF8" w:rsidP="00B76CF8">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sidRPr="00B76CF8">
        <w:rPr>
          <w:rFonts w:ascii="Arial" w:eastAsia="Times New Roman" w:hAnsi="Arial" w:cs="Arial"/>
          <w:color w:val="333333"/>
          <w:sz w:val="24"/>
          <w:szCs w:val="24"/>
          <w:lang w:val="en-US" w:eastAsia="el-GR"/>
        </w:rPr>
        <w:t>We welcome legislative support for the arbitral process that reflects international practice; the introduction of an updated general UAE law on arbitration would be much welcomed and, with that, if not sooner, the application of Article 257 of the Penal Code looked at afresh.</w:t>
      </w:r>
    </w:p>
    <w:p w:rsidR="00B76CF8" w:rsidRDefault="00B76CF8" w:rsidP="00B76CF8">
      <w:pPr>
        <w:shd w:val="clear" w:color="auto" w:fill="FFFFFF"/>
        <w:spacing w:after="0" w:line="240" w:lineRule="auto"/>
        <w:jc w:val="both"/>
        <w:rPr>
          <w:rFonts w:ascii="Arial" w:eastAsia="Times New Roman" w:hAnsi="Arial" w:cs="Arial"/>
          <w:b/>
          <w:bCs/>
          <w:color w:val="333333"/>
          <w:sz w:val="24"/>
          <w:szCs w:val="24"/>
          <w:lang w:val="en-US" w:eastAsia="el-GR"/>
        </w:rPr>
      </w:pPr>
    </w:p>
    <w:p w:rsidR="00B76CF8" w:rsidRPr="00B76CF8" w:rsidRDefault="00B76CF8" w:rsidP="00B76CF8">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sidRPr="00B76CF8">
        <w:rPr>
          <w:rFonts w:ascii="Arial" w:eastAsia="Times New Roman" w:hAnsi="Arial" w:cs="Arial"/>
          <w:b/>
          <w:bCs/>
          <w:color w:val="333333"/>
          <w:sz w:val="24"/>
          <w:szCs w:val="24"/>
          <w:lang w:val="en-US" w:eastAsia="el-GR"/>
        </w:rPr>
        <w:t>Footnotes</w:t>
      </w:r>
    </w:p>
    <w:p w:rsidR="00B76CF8" w:rsidRPr="00B76CF8" w:rsidRDefault="00B76CF8" w:rsidP="00B76CF8">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sidRPr="00B76CF8">
        <w:rPr>
          <w:rFonts w:ascii="Arial" w:eastAsia="Times New Roman" w:hAnsi="Arial" w:cs="Arial"/>
          <w:color w:val="333333"/>
          <w:sz w:val="15"/>
          <w:szCs w:val="15"/>
          <w:lang w:val="en-US" w:eastAsia="el-GR"/>
        </w:rPr>
        <w:t>1. [2016] EWHC 240 (</w:t>
      </w:r>
      <w:proofErr w:type="spellStart"/>
      <w:r w:rsidRPr="00B76CF8">
        <w:rPr>
          <w:rFonts w:ascii="Arial" w:eastAsia="Times New Roman" w:hAnsi="Arial" w:cs="Arial"/>
          <w:color w:val="333333"/>
          <w:sz w:val="15"/>
          <w:szCs w:val="15"/>
          <w:lang w:val="en-US" w:eastAsia="el-GR"/>
        </w:rPr>
        <w:t>Comm</w:t>
      </w:r>
      <w:proofErr w:type="spellEnd"/>
      <w:r w:rsidRPr="00B76CF8">
        <w:rPr>
          <w:rFonts w:ascii="Arial" w:eastAsia="Times New Roman" w:hAnsi="Arial" w:cs="Arial"/>
          <w:color w:val="333333"/>
          <w:sz w:val="15"/>
          <w:szCs w:val="15"/>
          <w:lang w:val="en-US" w:eastAsia="el-GR"/>
        </w:rPr>
        <w:t xml:space="preserve">). </w:t>
      </w:r>
      <w:proofErr w:type="spellStart"/>
      <w:r w:rsidRPr="00B76CF8">
        <w:rPr>
          <w:rFonts w:ascii="Arial" w:eastAsia="Times New Roman" w:hAnsi="Arial" w:cs="Arial"/>
          <w:color w:val="333333"/>
          <w:sz w:val="15"/>
          <w:szCs w:val="15"/>
          <w:lang w:val="en-US" w:eastAsia="el-GR"/>
        </w:rPr>
        <w:t>Mr</w:t>
      </w:r>
      <w:proofErr w:type="spellEnd"/>
      <w:r w:rsidRPr="00B76CF8">
        <w:rPr>
          <w:rFonts w:ascii="Arial" w:eastAsia="Times New Roman" w:hAnsi="Arial" w:cs="Arial"/>
          <w:color w:val="333333"/>
          <w:sz w:val="15"/>
          <w:szCs w:val="15"/>
          <w:lang w:val="en-US" w:eastAsia="el-GR"/>
        </w:rPr>
        <w:t xml:space="preserve"> Justice Hamblen now sits in the Court of Appeal.</w:t>
      </w:r>
    </w:p>
    <w:p w:rsidR="00B76CF8" w:rsidRPr="00B76CF8" w:rsidRDefault="00B76CF8" w:rsidP="00B76CF8">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sidRPr="00B76CF8">
        <w:rPr>
          <w:rFonts w:ascii="Arial" w:eastAsia="Times New Roman" w:hAnsi="Arial" w:cs="Arial"/>
          <w:color w:val="333333"/>
          <w:sz w:val="15"/>
          <w:szCs w:val="15"/>
          <w:lang w:val="en-US" w:eastAsia="el-GR"/>
        </w:rPr>
        <w:t>2. Federal Decree-Law No. 7 of 2016 made on 18 September 2016, which also amends a number of provisions of the Penal Code. The amendment became effective on 29 October 2016.</w:t>
      </w:r>
    </w:p>
    <w:p w:rsidR="00B76CF8" w:rsidRPr="00B76CF8" w:rsidRDefault="00B76CF8" w:rsidP="00B76CF8">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sidRPr="00B76CF8">
        <w:rPr>
          <w:rFonts w:ascii="Arial" w:eastAsia="Times New Roman" w:hAnsi="Arial" w:cs="Arial"/>
          <w:color w:val="333333"/>
          <w:sz w:val="15"/>
          <w:szCs w:val="15"/>
          <w:lang w:val="en-US" w:eastAsia="el-GR"/>
        </w:rPr>
        <w:t xml:space="preserve">3. Article 68 of the UAE's Penal Code provides that temporary imprisonment is imprisonment for no fewer than 3 years </w:t>
      </w:r>
      <w:proofErr w:type="gramStart"/>
      <w:r w:rsidRPr="00B76CF8">
        <w:rPr>
          <w:rFonts w:ascii="Arial" w:eastAsia="Times New Roman" w:hAnsi="Arial" w:cs="Arial"/>
          <w:color w:val="333333"/>
          <w:sz w:val="15"/>
          <w:szCs w:val="15"/>
          <w:lang w:val="en-US" w:eastAsia="el-GR"/>
        </w:rPr>
        <w:t>nor</w:t>
      </w:r>
      <w:proofErr w:type="gramEnd"/>
      <w:r w:rsidRPr="00B76CF8">
        <w:rPr>
          <w:rFonts w:ascii="Arial" w:eastAsia="Times New Roman" w:hAnsi="Arial" w:cs="Arial"/>
          <w:color w:val="333333"/>
          <w:sz w:val="15"/>
          <w:szCs w:val="15"/>
          <w:lang w:val="en-US" w:eastAsia="el-GR"/>
        </w:rPr>
        <w:t xml:space="preserve"> more 15 years.</w:t>
      </w:r>
    </w:p>
    <w:p w:rsidR="00B76CF8" w:rsidRPr="00B76CF8" w:rsidRDefault="00B76CF8" w:rsidP="00B76CF8">
      <w:pPr>
        <w:shd w:val="clear" w:color="auto" w:fill="FFFFFF"/>
        <w:spacing w:after="0" w:line="240" w:lineRule="auto"/>
        <w:jc w:val="both"/>
        <w:rPr>
          <w:rFonts w:ascii="Times New Roman" w:eastAsia="Times New Roman" w:hAnsi="Times New Roman" w:cs="Times New Roman"/>
          <w:color w:val="000000"/>
          <w:sz w:val="24"/>
          <w:szCs w:val="24"/>
          <w:lang w:val="en-US" w:eastAsia="el-GR"/>
        </w:rPr>
      </w:pPr>
      <w:r w:rsidRPr="00B76CF8">
        <w:rPr>
          <w:rFonts w:ascii="Arial" w:eastAsia="Times New Roman" w:hAnsi="Arial" w:cs="Arial"/>
          <w:color w:val="333333"/>
          <w:sz w:val="15"/>
          <w:szCs w:val="15"/>
          <w:lang w:val="en-US" w:eastAsia="el-GR"/>
        </w:rPr>
        <w:t>4. Article 255 of the Penal Code concerns two exemptions where witnesses will be exempt from punishment.</w:t>
      </w:r>
    </w:p>
    <w:p w:rsidR="00B76CF8" w:rsidRPr="00B76CF8" w:rsidRDefault="00B76CF8" w:rsidP="00B76CF8">
      <w:pPr>
        <w:shd w:val="clear" w:color="auto" w:fill="FFFFFF"/>
        <w:spacing w:line="240" w:lineRule="auto"/>
        <w:jc w:val="both"/>
        <w:rPr>
          <w:rFonts w:ascii="Times New Roman" w:eastAsia="Times New Roman" w:hAnsi="Times New Roman" w:cs="Times New Roman"/>
          <w:color w:val="000000"/>
          <w:sz w:val="24"/>
          <w:szCs w:val="24"/>
          <w:lang w:val="en-US" w:eastAsia="el-GR"/>
        </w:rPr>
      </w:pPr>
      <w:r w:rsidRPr="00B76CF8">
        <w:rPr>
          <w:rFonts w:ascii="Arial" w:eastAsia="Times New Roman" w:hAnsi="Arial" w:cs="Arial"/>
          <w:color w:val="333333"/>
          <w:sz w:val="15"/>
          <w:szCs w:val="15"/>
          <w:lang w:val="en-US" w:eastAsia="el-GR"/>
        </w:rPr>
        <w:t>5. Parties cannot agree anything that is contrary to the Penal Code; such an agreement will be null and void. Article 1 of the Penal Code provides, "The Code (law) attached hereto shall apply to all crimes and punishments, and any text contradicting its provisions shall become null and void."</w:t>
      </w:r>
    </w:p>
    <w:p w:rsidR="002B7E7E" w:rsidRDefault="002B7E7E" w:rsidP="00B76CF8">
      <w:pPr>
        <w:jc w:val="both"/>
      </w:pPr>
    </w:p>
    <w:sectPr w:rsidR="002B7E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37D8C"/>
    <w:multiLevelType w:val="multilevel"/>
    <w:tmpl w:val="6AE40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3C6060"/>
    <w:multiLevelType w:val="multilevel"/>
    <w:tmpl w:val="2512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CF8"/>
    <w:rsid w:val="002B7E7E"/>
    <w:rsid w:val="00B76C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6C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6C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4335">
      <w:bodyDiv w:val="1"/>
      <w:marLeft w:val="0"/>
      <w:marRight w:val="0"/>
      <w:marTop w:val="0"/>
      <w:marBottom w:val="0"/>
      <w:divBdr>
        <w:top w:val="none" w:sz="0" w:space="0" w:color="auto"/>
        <w:left w:val="none" w:sz="0" w:space="0" w:color="auto"/>
        <w:bottom w:val="none" w:sz="0" w:space="0" w:color="auto"/>
        <w:right w:val="none" w:sz="0" w:space="0" w:color="auto"/>
      </w:divBdr>
      <w:divsChild>
        <w:div w:id="114269569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09151159">
              <w:marLeft w:val="0"/>
              <w:marRight w:val="0"/>
              <w:marTop w:val="0"/>
              <w:marBottom w:val="0"/>
              <w:divBdr>
                <w:top w:val="none" w:sz="0" w:space="0" w:color="auto"/>
                <w:left w:val="none" w:sz="0" w:space="0" w:color="auto"/>
                <w:bottom w:val="none" w:sz="0" w:space="0" w:color="auto"/>
                <w:right w:val="none" w:sz="0" w:space="0" w:color="auto"/>
              </w:divBdr>
              <w:divsChild>
                <w:div w:id="1657954816">
                  <w:marLeft w:val="0"/>
                  <w:marRight w:val="0"/>
                  <w:marTop w:val="0"/>
                  <w:marBottom w:val="0"/>
                  <w:divBdr>
                    <w:top w:val="none" w:sz="0" w:space="0" w:color="auto"/>
                    <w:left w:val="none" w:sz="0" w:space="0" w:color="auto"/>
                    <w:bottom w:val="none" w:sz="0" w:space="0" w:color="auto"/>
                    <w:right w:val="none" w:sz="0" w:space="0" w:color="auto"/>
                  </w:divBdr>
                  <w:divsChild>
                    <w:div w:id="1592935097">
                      <w:marLeft w:val="0"/>
                      <w:marRight w:val="0"/>
                      <w:marTop w:val="0"/>
                      <w:marBottom w:val="0"/>
                      <w:divBdr>
                        <w:top w:val="none" w:sz="0" w:space="0" w:color="auto"/>
                        <w:left w:val="none" w:sz="0" w:space="0" w:color="auto"/>
                        <w:bottom w:val="none" w:sz="0" w:space="0" w:color="auto"/>
                        <w:right w:val="none" w:sz="0" w:space="0" w:color="auto"/>
                      </w:divBdr>
                    </w:div>
                    <w:div w:id="1381976088">
                      <w:marLeft w:val="0"/>
                      <w:marRight w:val="0"/>
                      <w:marTop w:val="0"/>
                      <w:marBottom w:val="0"/>
                      <w:divBdr>
                        <w:top w:val="none" w:sz="0" w:space="0" w:color="auto"/>
                        <w:left w:val="none" w:sz="0" w:space="0" w:color="auto"/>
                        <w:bottom w:val="none" w:sz="0" w:space="0" w:color="auto"/>
                        <w:right w:val="none" w:sz="0" w:space="0" w:color="auto"/>
                      </w:divBdr>
                    </w:div>
                    <w:div w:id="1398822335">
                      <w:marLeft w:val="0"/>
                      <w:marRight w:val="0"/>
                      <w:marTop w:val="0"/>
                      <w:marBottom w:val="0"/>
                      <w:divBdr>
                        <w:top w:val="none" w:sz="0" w:space="0" w:color="auto"/>
                        <w:left w:val="none" w:sz="0" w:space="0" w:color="auto"/>
                        <w:bottom w:val="none" w:sz="0" w:space="0" w:color="auto"/>
                        <w:right w:val="none" w:sz="0" w:space="0" w:color="auto"/>
                      </w:divBdr>
                    </w:div>
                    <w:div w:id="270673212">
                      <w:marLeft w:val="0"/>
                      <w:marRight w:val="0"/>
                      <w:marTop w:val="0"/>
                      <w:marBottom w:val="0"/>
                      <w:divBdr>
                        <w:top w:val="none" w:sz="0" w:space="0" w:color="auto"/>
                        <w:left w:val="none" w:sz="0" w:space="0" w:color="auto"/>
                        <w:bottom w:val="none" w:sz="0" w:space="0" w:color="auto"/>
                        <w:right w:val="none" w:sz="0" w:space="0" w:color="auto"/>
                      </w:divBdr>
                    </w:div>
                    <w:div w:id="162746565">
                      <w:marLeft w:val="0"/>
                      <w:marRight w:val="0"/>
                      <w:marTop w:val="0"/>
                      <w:marBottom w:val="0"/>
                      <w:divBdr>
                        <w:top w:val="none" w:sz="0" w:space="0" w:color="auto"/>
                        <w:left w:val="none" w:sz="0" w:space="0" w:color="auto"/>
                        <w:bottom w:val="none" w:sz="0" w:space="0" w:color="auto"/>
                        <w:right w:val="none" w:sz="0" w:space="0" w:color="auto"/>
                      </w:divBdr>
                    </w:div>
                    <w:div w:id="1130827916">
                      <w:marLeft w:val="0"/>
                      <w:marRight w:val="0"/>
                      <w:marTop w:val="0"/>
                      <w:marBottom w:val="0"/>
                      <w:divBdr>
                        <w:top w:val="none" w:sz="0" w:space="0" w:color="auto"/>
                        <w:left w:val="none" w:sz="0" w:space="0" w:color="auto"/>
                        <w:bottom w:val="none" w:sz="0" w:space="0" w:color="auto"/>
                        <w:right w:val="none" w:sz="0" w:space="0" w:color="auto"/>
                      </w:divBdr>
                    </w:div>
                    <w:div w:id="1425494024">
                      <w:marLeft w:val="0"/>
                      <w:marRight w:val="0"/>
                      <w:marTop w:val="0"/>
                      <w:marBottom w:val="0"/>
                      <w:divBdr>
                        <w:top w:val="none" w:sz="0" w:space="0" w:color="auto"/>
                        <w:left w:val="none" w:sz="0" w:space="0" w:color="auto"/>
                        <w:bottom w:val="none" w:sz="0" w:space="0" w:color="auto"/>
                        <w:right w:val="none" w:sz="0" w:space="0" w:color="auto"/>
                      </w:divBdr>
                    </w:div>
                    <w:div w:id="1621179065">
                      <w:marLeft w:val="0"/>
                      <w:marRight w:val="0"/>
                      <w:marTop w:val="0"/>
                      <w:marBottom w:val="0"/>
                      <w:divBdr>
                        <w:top w:val="none" w:sz="0" w:space="0" w:color="auto"/>
                        <w:left w:val="none" w:sz="0" w:space="0" w:color="auto"/>
                        <w:bottom w:val="none" w:sz="0" w:space="0" w:color="auto"/>
                        <w:right w:val="none" w:sz="0" w:space="0" w:color="auto"/>
                      </w:divBdr>
                    </w:div>
                    <w:div w:id="1920022067">
                      <w:marLeft w:val="0"/>
                      <w:marRight w:val="0"/>
                      <w:marTop w:val="0"/>
                      <w:marBottom w:val="0"/>
                      <w:divBdr>
                        <w:top w:val="none" w:sz="0" w:space="0" w:color="auto"/>
                        <w:left w:val="none" w:sz="0" w:space="0" w:color="auto"/>
                        <w:bottom w:val="none" w:sz="0" w:space="0" w:color="auto"/>
                        <w:right w:val="none" w:sz="0" w:space="0" w:color="auto"/>
                      </w:divBdr>
                    </w:div>
                    <w:div w:id="1201092665">
                      <w:marLeft w:val="0"/>
                      <w:marRight w:val="0"/>
                      <w:marTop w:val="0"/>
                      <w:marBottom w:val="0"/>
                      <w:divBdr>
                        <w:top w:val="none" w:sz="0" w:space="0" w:color="auto"/>
                        <w:left w:val="none" w:sz="0" w:space="0" w:color="auto"/>
                        <w:bottom w:val="none" w:sz="0" w:space="0" w:color="auto"/>
                        <w:right w:val="none" w:sz="0" w:space="0" w:color="auto"/>
                      </w:divBdr>
                    </w:div>
                    <w:div w:id="1962882703">
                      <w:marLeft w:val="0"/>
                      <w:marRight w:val="0"/>
                      <w:marTop w:val="0"/>
                      <w:marBottom w:val="0"/>
                      <w:divBdr>
                        <w:top w:val="none" w:sz="0" w:space="0" w:color="auto"/>
                        <w:left w:val="none" w:sz="0" w:space="0" w:color="auto"/>
                        <w:bottom w:val="none" w:sz="0" w:space="0" w:color="auto"/>
                        <w:right w:val="none" w:sz="0" w:space="0" w:color="auto"/>
                      </w:divBdr>
                    </w:div>
                    <w:div w:id="398020293">
                      <w:marLeft w:val="0"/>
                      <w:marRight w:val="0"/>
                      <w:marTop w:val="0"/>
                      <w:marBottom w:val="0"/>
                      <w:divBdr>
                        <w:top w:val="none" w:sz="0" w:space="0" w:color="auto"/>
                        <w:left w:val="none" w:sz="0" w:space="0" w:color="auto"/>
                        <w:bottom w:val="none" w:sz="0" w:space="0" w:color="auto"/>
                        <w:right w:val="none" w:sz="0" w:space="0" w:color="auto"/>
                      </w:divBdr>
                    </w:div>
                    <w:div w:id="204757850">
                      <w:marLeft w:val="0"/>
                      <w:marRight w:val="0"/>
                      <w:marTop w:val="0"/>
                      <w:marBottom w:val="0"/>
                      <w:divBdr>
                        <w:top w:val="none" w:sz="0" w:space="0" w:color="auto"/>
                        <w:left w:val="none" w:sz="0" w:space="0" w:color="auto"/>
                        <w:bottom w:val="none" w:sz="0" w:space="0" w:color="auto"/>
                        <w:right w:val="none" w:sz="0" w:space="0" w:color="auto"/>
                      </w:divBdr>
                    </w:div>
                    <w:div w:id="887837496">
                      <w:marLeft w:val="0"/>
                      <w:marRight w:val="0"/>
                      <w:marTop w:val="0"/>
                      <w:marBottom w:val="0"/>
                      <w:divBdr>
                        <w:top w:val="none" w:sz="0" w:space="0" w:color="auto"/>
                        <w:left w:val="none" w:sz="0" w:space="0" w:color="auto"/>
                        <w:bottom w:val="none" w:sz="0" w:space="0" w:color="auto"/>
                        <w:right w:val="none" w:sz="0" w:space="0" w:color="auto"/>
                      </w:divBdr>
                    </w:div>
                    <w:div w:id="583804988">
                      <w:marLeft w:val="0"/>
                      <w:marRight w:val="0"/>
                      <w:marTop w:val="0"/>
                      <w:marBottom w:val="0"/>
                      <w:divBdr>
                        <w:top w:val="none" w:sz="0" w:space="0" w:color="auto"/>
                        <w:left w:val="none" w:sz="0" w:space="0" w:color="auto"/>
                        <w:bottom w:val="none" w:sz="0" w:space="0" w:color="auto"/>
                        <w:right w:val="none" w:sz="0" w:space="0" w:color="auto"/>
                      </w:divBdr>
                    </w:div>
                    <w:div w:id="561715269">
                      <w:marLeft w:val="0"/>
                      <w:marRight w:val="0"/>
                      <w:marTop w:val="0"/>
                      <w:marBottom w:val="0"/>
                      <w:divBdr>
                        <w:top w:val="none" w:sz="0" w:space="0" w:color="auto"/>
                        <w:left w:val="none" w:sz="0" w:space="0" w:color="auto"/>
                        <w:bottom w:val="none" w:sz="0" w:space="0" w:color="auto"/>
                        <w:right w:val="none" w:sz="0" w:space="0" w:color="auto"/>
                      </w:divBdr>
                    </w:div>
                    <w:div w:id="199977107">
                      <w:marLeft w:val="0"/>
                      <w:marRight w:val="0"/>
                      <w:marTop w:val="0"/>
                      <w:marBottom w:val="0"/>
                      <w:divBdr>
                        <w:top w:val="none" w:sz="0" w:space="0" w:color="auto"/>
                        <w:left w:val="none" w:sz="0" w:space="0" w:color="auto"/>
                        <w:bottom w:val="none" w:sz="0" w:space="0" w:color="auto"/>
                        <w:right w:val="none" w:sz="0" w:space="0" w:color="auto"/>
                      </w:divBdr>
                    </w:div>
                    <w:div w:id="1780174935">
                      <w:marLeft w:val="0"/>
                      <w:marRight w:val="0"/>
                      <w:marTop w:val="0"/>
                      <w:marBottom w:val="0"/>
                      <w:divBdr>
                        <w:top w:val="none" w:sz="0" w:space="0" w:color="auto"/>
                        <w:left w:val="none" w:sz="0" w:space="0" w:color="auto"/>
                        <w:bottom w:val="none" w:sz="0" w:space="0" w:color="auto"/>
                        <w:right w:val="none" w:sz="0" w:space="0" w:color="auto"/>
                      </w:divBdr>
                    </w:div>
                    <w:div w:id="851340209">
                      <w:marLeft w:val="0"/>
                      <w:marRight w:val="0"/>
                      <w:marTop w:val="0"/>
                      <w:marBottom w:val="0"/>
                      <w:divBdr>
                        <w:top w:val="none" w:sz="0" w:space="0" w:color="auto"/>
                        <w:left w:val="none" w:sz="0" w:space="0" w:color="auto"/>
                        <w:bottom w:val="none" w:sz="0" w:space="0" w:color="auto"/>
                        <w:right w:val="none" w:sz="0" w:space="0" w:color="auto"/>
                      </w:divBdr>
                    </w:div>
                    <w:div w:id="358699885">
                      <w:marLeft w:val="0"/>
                      <w:marRight w:val="0"/>
                      <w:marTop w:val="0"/>
                      <w:marBottom w:val="0"/>
                      <w:divBdr>
                        <w:top w:val="none" w:sz="0" w:space="0" w:color="auto"/>
                        <w:left w:val="none" w:sz="0" w:space="0" w:color="auto"/>
                        <w:bottom w:val="none" w:sz="0" w:space="0" w:color="auto"/>
                        <w:right w:val="none" w:sz="0" w:space="0" w:color="auto"/>
                      </w:divBdr>
                    </w:div>
                    <w:div w:id="729693122">
                      <w:marLeft w:val="0"/>
                      <w:marRight w:val="0"/>
                      <w:marTop w:val="0"/>
                      <w:marBottom w:val="0"/>
                      <w:divBdr>
                        <w:top w:val="none" w:sz="0" w:space="0" w:color="auto"/>
                        <w:left w:val="none" w:sz="0" w:space="0" w:color="auto"/>
                        <w:bottom w:val="none" w:sz="0" w:space="0" w:color="auto"/>
                        <w:right w:val="none" w:sz="0" w:space="0" w:color="auto"/>
                      </w:divBdr>
                    </w:div>
                    <w:div w:id="728918412">
                      <w:marLeft w:val="0"/>
                      <w:marRight w:val="0"/>
                      <w:marTop w:val="0"/>
                      <w:marBottom w:val="0"/>
                      <w:divBdr>
                        <w:top w:val="none" w:sz="0" w:space="0" w:color="auto"/>
                        <w:left w:val="none" w:sz="0" w:space="0" w:color="auto"/>
                        <w:bottom w:val="none" w:sz="0" w:space="0" w:color="auto"/>
                        <w:right w:val="none" w:sz="0" w:space="0" w:color="auto"/>
                      </w:divBdr>
                    </w:div>
                    <w:div w:id="1141656225">
                      <w:marLeft w:val="0"/>
                      <w:marRight w:val="0"/>
                      <w:marTop w:val="0"/>
                      <w:marBottom w:val="0"/>
                      <w:divBdr>
                        <w:top w:val="none" w:sz="0" w:space="0" w:color="auto"/>
                        <w:left w:val="none" w:sz="0" w:space="0" w:color="auto"/>
                        <w:bottom w:val="none" w:sz="0" w:space="0" w:color="auto"/>
                        <w:right w:val="none" w:sz="0" w:space="0" w:color="auto"/>
                      </w:divBdr>
                    </w:div>
                    <w:div w:id="824011962">
                      <w:marLeft w:val="0"/>
                      <w:marRight w:val="0"/>
                      <w:marTop w:val="0"/>
                      <w:marBottom w:val="0"/>
                      <w:divBdr>
                        <w:top w:val="none" w:sz="0" w:space="0" w:color="auto"/>
                        <w:left w:val="none" w:sz="0" w:space="0" w:color="auto"/>
                        <w:bottom w:val="none" w:sz="0" w:space="0" w:color="auto"/>
                        <w:right w:val="none" w:sz="0" w:space="0" w:color="auto"/>
                      </w:divBdr>
                    </w:div>
                    <w:div w:id="1263490206">
                      <w:marLeft w:val="0"/>
                      <w:marRight w:val="0"/>
                      <w:marTop w:val="0"/>
                      <w:marBottom w:val="0"/>
                      <w:divBdr>
                        <w:top w:val="none" w:sz="0" w:space="0" w:color="auto"/>
                        <w:left w:val="none" w:sz="0" w:space="0" w:color="auto"/>
                        <w:bottom w:val="none" w:sz="0" w:space="0" w:color="auto"/>
                        <w:right w:val="none" w:sz="0" w:space="0" w:color="auto"/>
                      </w:divBdr>
                    </w:div>
                    <w:div w:id="1123966187">
                      <w:marLeft w:val="0"/>
                      <w:marRight w:val="0"/>
                      <w:marTop w:val="0"/>
                      <w:marBottom w:val="0"/>
                      <w:divBdr>
                        <w:top w:val="none" w:sz="0" w:space="0" w:color="auto"/>
                        <w:left w:val="none" w:sz="0" w:space="0" w:color="auto"/>
                        <w:bottom w:val="none" w:sz="0" w:space="0" w:color="auto"/>
                        <w:right w:val="none" w:sz="0" w:space="0" w:color="auto"/>
                      </w:divBdr>
                    </w:div>
                    <w:div w:id="964427956">
                      <w:marLeft w:val="0"/>
                      <w:marRight w:val="0"/>
                      <w:marTop w:val="0"/>
                      <w:marBottom w:val="0"/>
                      <w:divBdr>
                        <w:top w:val="none" w:sz="0" w:space="0" w:color="auto"/>
                        <w:left w:val="none" w:sz="0" w:space="0" w:color="auto"/>
                        <w:bottom w:val="none" w:sz="0" w:space="0" w:color="auto"/>
                        <w:right w:val="none" w:sz="0" w:space="0" w:color="auto"/>
                      </w:divBdr>
                    </w:div>
                    <w:div w:id="281150474">
                      <w:marLeft w:val="0"/>
                      <w:marRight w:val="0"/>
                      <w:marTop w:val="0"/>
                      <w:marBottom w:val="0"/>
                      <w:divBdr>
                        <w:top w:val="none" w:sz="0" w:space="0" w:color="auto"/>
                        <w:left w:val="none" w:sz="0" w:space="0" w:color="auto"/>
                        <w:bottom w:val="none" w:sz="0" w:space="0" w:color="auto"/>
                        <w:right w:val="none" w:sz="0" w:space="0" w:color="auto"/>
                      </w:divBdr>
                    </w:div>
                    <w:div w:id="2109622100">
                      <w:marLeft w:val="0"/>
                      <w:marRight w:val="0"/>
                      <w:marTop w:val="0"/>
                      <w:marBottom w:val="0"/>
                      <w:divBdr>
                        <w:top w:val="none" w:sz="0" w:space="0" w:color="auto"/>
                        <w:left w:val="none" w:sz="0" w:space="0" w:color="auto"/>
                        <w:bottom w:val="none" w:sz="0" w:space="0" w:color="auto"/>
                        <w:right w:val="none" w:sz="0" w:space="0" w:color="auto"/>
                      </w:divBdr>
                    </w:div>
                    <w:div w:id="1833255308">
                      <w:marLeft w:val="0"/>
                      <w:marRight w:val="0"/>
                      <w:marTop w:val="0"/>
                      <w:marBottom w:val="0"/>
                      <w:divBdr>
                        <w:top w:val="none" w:sz="0" w:space="0" w:color="auto"/>
                        <w:left w:val="none" w:sz="0" w:space="0" w:color="auto"/>
                        <w:bottom w:val="none" w:sz="0" w:space="0" w:color="auto"/>
                        <w:right w:val="none" w:sz="0" w:space="0" w:color="auto"/>
                      </w:divBdr>
                    </w:div>
                    <w:div w:id="1119028527">
                      <w:marLeft w:val="0"/>
                      <w:marRight w:val="0"/>
                      <w:marTop w:val="0"/>
                      <w:marBottom w:val="0"/>
                      <w:divBdr>
                        <w:top w:val="none" w:sz="0" w:space="0" w:color="auto"/>
                        <w:left w:val="none" w:sz="0" w:space="0" w:color="auto"/>
                        <w:bottom w:val="none" w:sz="0" w:space="0" w:color="auto"/>
                        <w:right w:val="none" w:sz="0" w:space="0" w:color="auto"/>
                      </w:divBdr>
                    </w:div>
                    <w:div w:id="1889369549">
                      <w:marLeft w:val="0"/>
                      <w:marRight w:val="0"/>
                      <w:marTop w:val="0"/>
                      <w:marBottom w:val="0"/>
                      <w:divBdr>
                        <w:top w:val="none" w:sz="0" w:space="0" w:color="auto"/>
                        <w:left w:val="none" w:sz="0" w:space="0" w:color="auto"/>
                        <w:bottom w:val="none" w:sz="0" w:space="0" w:color="auto"/>
                        <w:right w:val="none" w:sz="0" w:space="0" w:color="auto"/>
                      </w:divBdr>
                    </w:div>
                    <w:div w:id="1420983570">
                      <w:marLeft w:val="0"/>
                      <w:marRight w:val="0"/>
                      <w:marTop w:val="0"/>
                      <w:marBottom w:val="0"/>
                      <w:divBdr>
                        <w:top w:val="none" w:sz="0" w:space="0" w:color="auto"/>
                        <w:left w:val="none" w:sz="0" w:space="0" w:color="auto"/>
                        <w:bottom w:val="none" w:sz="0" w:space="0" w:color="auto"/>
                        <w:right w:val="none" w:sz="0" w:space="0" w:color="auto"/>
                      </w:divBdr>
                    </w:div>
                    <w:div w:id="1194880371">
                      <w:marLeft w:val="0"/>
                      <w:marRight w:val="0"/>
                      <w:marTop w:val="0"/>
                      <w:marBottom w:val="0"/>
                      <w:divBdr>
                        <w:top w:val="none" w:sz="0" w:space="0" w:color="auto"/>
                        <w:left w:val="none" w:sz="0" w:space="0" w:color="auto"/>
                        <w:bottom w:val="none" w:sz="0" w:space="0" w:color="auto"/>
                        <w:right w:val="none" w:sz="0" w:space="0" w:color="auto"/>
                      </w:divBdr>
                    </w:div>
                    <w:div w:id="1939950049">
                      <w:marLeft w:val="0"/>
                      <w:marRight w:val="0"/>
                      <w:marTop w:val="0"/>
                      <w:marBottom w:val="0"/>
                      <w:divBdr>
                        <w:top w:val="none" w:sz="0" w:space="0" w:color="auto"/>
                        <w:left w:val="none" w:sz="0" w:space="0" w:color="auto"/>
                        <w:bottom w:val="none" w:sz="0" w:space="0" w:color="auto"/>
                        <w:right w:val="none" w:sz="0" w:space="0" w:color="auto"/>
                      </w:divBdr>
                    </w:div>
                    <w:div w:id="15599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daq.com/content/company.asp?article_id=549108&amp;company_id=25574" TargetMode="External"/><Relationship Id="rId3" Type="http://schemas.microsoft.com/office/2007/relationships/stylesWithEffects" Target="stylesWithEffects.xml"/><Relationship Id="rId7" Type="http://schemas.openxmlformats.org/officeDocument/2006/relationships/hyperlink" Target="http://www.mondaq.com/content/author.asp?article_id=549108&amp;author_id=13864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daq.com/redirection.asp?article_id=549108&amp;author_id=1326236&amp;type=articleautho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1817</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dc:creator>
  <cp:lastModifiedBy>Α</cp:lastModifiedBy>
  <cp:revision>1</cp:revision>
  <dcterms:created xsi:type="dcterms:W3CDTF">2016-12-07T21:12:00Z</dcterms:created>
  <dcterms:modified xsi:type="dcterms:W3CDTF">2016-12-07T21:16:00Z</dcterms:modified>
</cp:coreProperties>
</file>