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1E46" w14:textId="77777777" w:rsidR="00494E64" w:rsidRPr="006F3E72" w:rsidRDefault="00494E64" w:rsidP="00494E64">
      <w:pPr>
        <w:pStyle w:val="a3"/>
        <w:tabs>
          <w:tab w:val="clear" w:pos="8306"/>
          <w:tab w:val="right" w:pos="8647"/>
        </w:tabs>
        <w:ind w:right="-618"/>
        <w:jc w:val="center"/>
        <w:rPr>
          <w:b/>
          <w:bCs/>
          <w:color w:val="000000"/>
          <w:sz w:val="36"/>
          <w:lang w:val="el-GR"/>
        </w:rPr>
      </w:pPr>
      <w:r w:rsidRPr="006F3E72">
        <w:rPr>
          <w:b/>
          <w:bCs/>
          <w:color w:val="000000"/>
          <w:sz w:val="36"/>
          <w:lang w:val="el-GR"/>
        </w:rPr>
        <w:t>ΕΛΛΗΝΙΚΗ ΔΗΜΟΚΡΑΤΙΑ</w:t>
      </w:r>
    </w:p>
    <w:p w14:paraId="138B4D9B" w14:textId="77777777" w:rsidR="00494E64" w:rsidRDefault="00494E64" w:rsidP="00494E64">
      <w:pPr>
        <w:pStyle w:val="a3"/>
        <w:tabs>
          <w:tab w:val="clear" w:pos="8306"/>
          <w:tab w:val="right" w:pos="8505"/>
        </w:tabs>
        <w:ind w:right="-192"/>
        <w:jc w:val="center"/>
        <w:rPr>
          <w:b/>
          <w:color w:val="000000"/>
          <w:sz w:val="36"/>
          <w:lang w:val="el-GR"/>
        </w:rPr>
      </w:pPr>
      <w:r w:rsidRPr="006F3E72">
        <w:rPr>
          <w:b/>
          <w:color w:val="000000"/>
          <w:sz w:val="36"/>
          <w:lang w:val="el-GR"/>
        </w:rPr>
        <w:t>ΕΛΛΗΝΙΚΟ ΑΝΟΙΚΤΟ ΠΑΝΕΠΙΣΤΗΜΙΟ</w:t>
      </w:r>
    </w:p>
    <w:p w14:paraId="2B62C738" w14:textId="061C28B5" w:rsidR="00494E64" w:rsidRPr="006F3E72" w:rsidRDefault="00494E64" w:rsidP="00494E64">
      <w:pPr>
        <w:pStyle w:val="a3"/>
        <w:tabs>
          <w:tab w:val="clear" w:pos="8306"/>
          <w:tab w:val="right" w:pos="8505"/>
        </w:tabs>
        <w:ind w:right="-192"/>
        <w:jc w:val="center"/>
        <w:rPr>
          <w:color w:val="000000"/>
          <w:sz w:val="40"/>
          <w:lang w:val="el-GR"/>
        </w:rPr>
      </w:pPr>
      <w:r>
        <w:rPr>
          <w:b/>
          <w:color w:val="000000"/>
          <w:sz w:val="36"/>
          <w:lang w:val="el-GR"/>
        </w:rPr>
        <w:t>Ιούνιος 2023</w:t>
      </w:r>
    </w:p>
    <w:p w14:paraId="622CF59E" w14:textId="77777777" w:rsidR="00494E64" w:rsidRDefault="00494E64" w:rsidP="00494E64"/>
    <w:p w14:paraId="71D7A515" w14:textId="77777777" w:rsidR="00494E64" w:rsidRDefault="00494E64" w:rsidP="00494E64">
      <w:pPr>
        <w:spacing w:after="0" w:line="360" w:lineRule="auto"/>
        <w:ind w:left="475"/>
        <w:jc w:val="center"/>
        <w:textAlignment w:val="baseline"/>
        <w:rPr>
          <w:rFonts w:ascii="Palatino Linotype" w:eastAsia="Times New Roman" w:hAnsi="Palatino Linotype" w:cs="Helvetica"/>
          <w:b/>
          <w:sz w:val="24"/>
          <w:szCs w:val="24"/>
          <w:lang w:eastAsia="el-GR"/>
        </w:rPr>
      </w:pPr>
    </w:p>
    <w:p w14:paraId="78E50C0A" w14:textId="77777777" w:rsidR="00494E64" w:rsidRDefault="00494E64" w:rsidP="00494E64">
      <w:pPr>
        <w:spacing w:after="0" w:line="360" w:lineRule="auto"/>
        <w:ind w:left="475"/>
        <w:jc w:val="center"/>
        <w:textAlignment w:val="baseline"/>
        <w:rPr>
          <w:rFonts w:ascii="Palatino Linotype" w:eastAsia="Times New Roman" w:hAnsi="Palatino Linotype" w:cs="Helvetica"/>
          <w:b/>
          <w:sz w:val="24"/>
          <w:szCs w:val="24"/>
          <w:lang w:eastAsia="el-GR"/>
        </w:rPr>
      </w:pPr>
    </w:p>
    <w:p w14:paraId="060BCDC1" w14:textId="77777777" w:rsidR="00494E64" w:rsidRDefault="00494E64" w:rsidP="00494E64">
      <w:pPr>
        <w:spacing w:after="0" w:line="360" w:lineRule="auto"/>
        <w:ind w:left="475"/>
        <w:jc w:val="center"/>
        <w:textAlignment w:val="baseline"/>
        <w:rPr>
          <w:rFonts w:ascii="Palatino Linotype" w:eastAsia="Times New Roman" w:hAnsi="Palatino Linotype" w:cs="Helvetica"/>
          <w:b/>
          <w:sz w:val="24"/>
          <w:szCs w:val="24"/>
          <w:lang w:eastAsia="el-GR"/>
        </w:rPr>
      </w:pPr>
    </w:p>
    <w:p w14:paraId="0DE10ACE" w14:textId="77777777" w:rsidR="00494E64" w:rsidRPr="00494E64" w:rsidRDefault="00494E64" w:rsidP="00494E64">
      <w:pPr>
        <w:spacing w:after="0" w:line="360" w:lineRule="auto"/>
        <w:ind w:left="475"/>
        <w:jc w:val="center"/>
        <w:textAlignment w:val="baseline"/>
        <w:rPr>
          <w:rFonts w:ascii="Palatino Linotype" w:eastAsia="Times New Roman" w:hAnsi="Palatino Linotype" w:cs="Helvetica"/>
          <w:b/>
          <w:i/>
          <w:sz w:val="24"/>
          <w:szCs w:val="24"/>
          <w:lang w:eastAsia="el-GR"/>
        </w:rPr>
      </w:pPr>
      <w:r w:rsidRPr="00494E64">
        <w:rPr>
          <w:rFonts w:ascii="Palatino Linotype" w:eastAsia="Times New Roman" w:hAnsi="Palatino Linotype" w:cs="Helvetica"/>
          <w:b/>
          <w:sz w:val="24"/>
          <w:szCs w:val="24"/>
          <w:lang w:eastAsia="el-GR"/>
        </w:rPr>
        <w:t>Θ.Ε. «</w:t>
      </w:r>
      <w:hyperlink r:id="rId5" w:anchor="o50" w:history="1">
        <w:r w:rsidRPr="00494E64">
          <w:rPr>
            <w:rFonts w:ascii="Palatino Linotype" w:eastAsia="Times New Roman" w:hAnsi="Palatino Linotype" w:cs="Helvetica"/>
            <w:b/>
            <w:sz w:val="24"/>
            <w:szCs w:val="24"/>
            <w:lang w:eastAsia="el-GR"/>
          </w:rPr>
          <w:t xml:space="preserve">ΟΡΘ-50»: </w:t>
        </w:r>
        <w:r w:rsidRPr="00494E64">
          <w:rPr>
            <w:rFonts w:ascii="Palatino Linotype" w:eastAsia="Times New Roman" w:hAnsi="Palatino Linotype" w:cs="Helvetica"/>
            <w:b/>
            <w:i/>
            <w:sz w:val="24"/>
            <w:szCs w:val="24"/>
            <w:lang w:eastAsia="el-GR"/>
          </w:rPr>
          <w:t>Η ιστορική πορεία της Ορθόδοξης Εκκλησίας και Θεολογίας στο Ευρύτερο Θρησκευτικό και Πολιτισμικό Περιβάλλον (Ύστερη Αρχαιότητα-18ος αιώνας)</w:t>
        </w:r>
      </w:hyperlink>
    </w:p>
    <w:p w14:paraId="73C53A8C" w14:textId="77777777" w:rsidR="00494E64" w:rsidRPr="00494E64" w:rsidRDefault="00494E64" w:rsidP="00494E64">
      <w:pPr>
        <w:spacing w:after="0" w:line="360" w:lineRule="auto"/>
        <w:ind w:left="475"/>
        <w:jc w:val="center"/>
        <w:textAlignment w:val="baseline"/>
        <w:rPr>
          <w:rFonts w:ascii="Palatino Linotype" w:eastAsia="Times New Roman" w:hAnsi="Palatino Linotype" w:cs="Helvetica"/>
          <w:b/>
          <w:sz w:val="24"/>
          <w:szCs w:val="24"/>
          <w:lang w:eastAsia="el-GR"/>
        </w:rPr>
      </w:pPr>
    </w:p>
    <w:p w14:paraId="48C35714" w14:textId="44A330B8" w:rsidR="00494E64" w:rsidRDefault="00494E64" w:rsidP="00494E64">
      <w:pPr>
        <w:spacing w:after="0" w:line="360" w:lineRule="auto"/>
        <w:ind w:left="475"/>
        <w:jc w:val="center"/>
        <w:textAlignment w:val="baseline"/>
        <w:rPr>
          <w:rFonts w:ascii="Palatino Linotype" w:eastAsia="Times New Roman" w:hAnsi="Palatino Linotype" w:cs="Helvetica"/>
          <w:b/>
          <w:sz w:val="24"/>
          <w:szCs w:val="24"/>
          <w:lang w:eastAsia="el-GR"/>
        </w:rPr>
      </w:pPr>
      <w:r w:rsidRPr="00494E64">
        <w:rPr>
          <w:rFonts w:ascii="Palatino Linotype" w:eastAsia="Times New Roman" w:hAnsi="Palatino Linotype" w:cs="Helvetica"/>
          <w:b/>
          <w:sz w:val="24"/>
          <w:szCs w:val="24"/>
          <w:lang w:eastAsia="el-GR"/>
        </w:rPr>
        <w:t>Ερωτήσεις Α’ Εξεταστικής</w:t>
      </w:r>
    </w:p>
    <w:p w14:paraId="2491F83A" w14:textId="77777777" w:rsidR="00494E64" w:rsidRDefault="00494E64" w:rsidP="00494E64">
      <w:pPr>
        <w:spacing w:after="0" w:line="360" w:lineRule="auto"/>
        <w:ind w:left="475"/>
        <w:jc w:val="center"/>
        <w:textAlignment w:val="baseline"/>
        <w:rPr>
          <w:rFonts w:ascii="Palatino Linotype" w:eastAsia="Times New Roman" w:hAnsi="Palatino Linotype" w:cs="Helvetica"/>
          <w:b/>
          <w:sz w:val="24"/>
          <w:szCs w:val="24"/>
          <w:lang w:eastAsia="el-GR"/>
        </w:rPr>
      </w:pPr>
    </w:p>
    <w:p w14:paraId="23A35F51" w14:textId="0F99B411" w:rsidR="00494E64" w:rsidRPr="00494E64" w:rsidRDefault="00494E64" w:rsidP="00494E64">
      <w:pPr>
        <w:pStyle w:val="a4"/>
        <w:numPr>
          <w:ilvl w:val="0"/>
          <w:numId w:val="1"/>
        </w:numPr>
        <w:spacing w:after="0" w:line="360" w:lineRule="auto"/>
        <w:jc w:val="both"/>
        <w:textAlignment w:val="baseline"/>
        <w:rPr>
          <w:rFonts w:ascii="Palatino Linotype" w:eastAsia="Times New Roman" w:hAnsi="Palatino Linotype" w:cs="Helvetica"/>
          <w:b/>
          <w:sz w:val="24"/>
          <w:szCs w:val="24"/>
          <w:lang w:eastAsia="el-GR"/>
        </w:rPr>
      </w:pPr>
      <w:r w:rsidRPr="00494E64">
        <w:rPr>
          <w:rFonts w:ascii="Palatino Linotype" w:eastAsia="Times New Roman" w:hAnsi="Palatino Linotype" w:cs="Helvetica"/>
          <w:b/>
          <w:sz w:val="24"/>
          <w:szCs w:val="24"/>
          <w:lang w:eastAsia="el-GR"/>
        </w:rPr>
        <w:t xml:space="preserve">Με βάση τον τρόπο συνάντησης του αρχέγονου Χριστιανισμού με τα δύο βασικά ρεύματα της Ανατολικής Μεσογείου (τον Ιουδαϊσμό και Ελληνισμό) περιγράψτε εάν και πώς κατά την δ’ βιομηχανική Επανάσταση μπορεί και πάλι ο Χριστιανισμός να προσλάβει δημιουργικά και ανακαινιστικά φαινόμενα όπως η Τεχνητή Νοημοσύνη ή το </w:t>
      </w:r>
      <w:proofErr w:type="spellStart"/>
      <w:r w:rsidRPr="00494E64">
        <w:rPr>
          <w:rFonts w:ascii="Palatino Linotype" w:eastAsia="Times New Roman" w:hAnsi="Palatino Linotype" w:cs="Helvetica"/>
          <w:b/>
          <w:sz w:val="24"/>
          <w:szCs w:val="24"/>
          <w:lang w:eastAsia="el-GR"/>
        </w:rPr>
        <w:t>ΜεταΣύμπαν</w:t>
      </w:r>
      <w:proofErr w:type="spellEnd"/>
      <w:r>
        <w:rPr>
          <w:rFonts w:ascii="Palatino Linotype" w:eastAsia="Times New Roman" w:hAnsi="Palatino Linotype" w:cs="Helvetica"/>
          <w:b/>
          <w:sz w:val="24"/>
          <w:szCs w:val="24"/>
          <w:lang w:eastAsia="el-GR"/>
        </w:rPr>
        <w:t>;</w:t>
      </w:r>
    </w:p>
    <w:p w14:paraId="08CD7944" w14:textId="3C8EF83E" w:rsidR="00494E64" w:rsidRPr="00494E64" w:rsidRDefault="00494E64" w:rsidP="00494E64">
      <w:pPr>
        <w:pStyle w:val="a4"/>
        <w:numPr>
          <w:ilvl w:val="0"/>
          <w:numId w:val="1"/>
        </w:numPr>
        <w:spacing w:after="0" w:line="360" w:lineRule="auto"/>
        <w:jc w:val="both"/>
        <w:textAlignment w:val="baseline"/>
        <w:rPr>
          <w:rFonts w:ascii="Palatino Linotype" w:eastAsia="Times New Roman" w:hAnsi="Palatino Linotype" w:cs="Helvetica"/>
          <w:b/>
          <w:sz w:val="24"/>
          <w:szCs w:val="24"/>
          <w:lang w:eastAsia="el-GR"/>
        </w:rPr>
      </w:pPr>
      <w:r w:rsidRPr="00494E64">
        <w:rPr>
          <w:rFonts w:ascii="Palatino Linotype" w:hAnsi="Palatino Linotype"/>
          <w:b/>
          <w:sz w:val="24"/>
          <w:szCs w:val="24"/>
        </w:rPr>
        <w:t xml:space="preserve">Πώς διαφοροποιείται ο Ελληνισμός από τον Χριστιανισμό στο περιβάλλον των μυστηριακών «αναφορών» τους; </w:t>
      </w:r>
      <w:proofErr w:type="spellStart"/>
      <w:r w:rsidRPr="00494E64">
        <w:rPr>
          <w:rFonts w:ascii="Palatino Linotype" w:hAnsi="Palatino Linotype"/>
          <w:b/>
          <w:sz w:val="24"/>
          <w:szCs w:val="24"/>
        </w:rPr>
        <w:t>Ποία</w:t>
      </w:r>
      <w:proofErr w:type="spellEnd"/>
      <w:r w:rsidRPr="00494E64">
        <w:rPr>
          <w:rFonts w:ascii="Palatino Linotype" w:hAnsi="Palatino Linotype"/>
          <w:b/>
          <w:sz w:val="24"/>
          <w:szCs w:val="24"/>
        </w:rPr>
        <w:t xml:space="preserve"> είναι η θεμελιώδης θεολογική διαφορά των αρχαιοελληνικών μυστηρίων από τα Μυστήρια της χριστιανικής λατρείας;</w:t>
      </w:r>
    </w:p>
    <w:p w14:paraId="09B6633A" w14:textId="278D24EE" w:rsidR="00494E64" w:rsidRPr="00494E64" w:rsidRDefault="00494E64" w:rsidP="00494E64">
      <w:pPr>
        <w:pStyle w:val="a4"/>
        <w:numPr>
          <w:ilvl w:val="0"/>
          <w:numId w:val="1"/>
        </w:numPr>
        <w:spacing w:after="0" w:line="360" w:lineRule="auto"/>
        <w:jc w:val="both"/>
        <w:textAlignment w:val="baseline"/>
        <w:rPr>
          <w:rFonts w:ascii="Palatino Linotype" w:eastAsia="Times New Roman" w:hAnsi="Palatino Linotype" w:cs="Helvetica"/>
          <w:b/>
          <w:sz w:val="24"/>
          <w:szCs w:val="24"/>
          <w:lang w:eastAsia="el-GR"/>
        </w:rPr>
      </w:pPr>
      <w:r w:rsidRPr="00494E64">
        <w:rPr>
          <w:rFonts w:ascii="Palatino Linotype" w:hAnsi="Palatino Linotype"/>
          <w:b/>
          <w:sz w:val="24"/>
          <w:szCs w:val="24"/>
        </w:rPr>
        <w:t xml:space="preserve">Υπό </w:t>
      </w:r>
      <w:proofErr w:type="spellStart"/>
      <w:r w:rsidRPr="00494E64">
        <w:rPr>
          <w:rFonts w:ascii="Palatino Linotype" w:hAnsi="Palatino Linotype"/>
          <w:b/>
          <w:sz w:val="24"/>
          <w:szCs w:val="24"/>
        </w:rPr>
        <w:t>ποίες</w:t>
      </w:r>
      <w:proofErr w:type="spellEnd"/>
      <w:r w:rsidRPr="00494E64">
        <w:rPr>
          <w:rFonts w:ascii="Palatino Linotype" w:hAnsi="Palatino Linotype"/>
          <w:b/>
          <w:sz w:val="24"/>
          <w:szCs w:val="24"/>
        </w:rPr>
        <w:t xml:space="preserve"> ευρύτερες αρχές-θεολογικές εκφορές προσδιορίζεται η σχέση του Χριστιανισμού με την θρησκεία τού Ισλάμ</w:t>
      </w:r>
    </w:p>
    <w:p w14:paraId="15A9F5C4" w14:textId="77777777" w:rsidR="00494E64" w:rsidRDefault="00494E64"/>
    <w:p w14:paraId="05EB80F1" w14:textId="1A727602" w:rsidR="007B6DD9" w:rsidRDefault="00494E64">
      <w:r>
        <w:t>Απαντάτε με όποια σειρά επιθυμείτε.  Η πρώτη ερώτηση λαμβάνει 4 και οι άλλες δύο από 3.</w:t>
      </w:r>
    </w:p>
    <w:sectPr w:rsidR="007B6D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66CB8"/>
    <w:multiLevelType w:val="hybridMultilevel"/>
    <w:tmpl w:val="C340DF76"/>
    <w:lvl w:ilvl="0" w:tplc="3892AC98">
      <w:start w:val="1"/>
      <w:numFmt w:val="decimal"/>
      <w:lvlText w:val="%1."/>
      <w:lvlJc w:val="left"/>
      <w:pPr>
        <w:ind w:left="835" w:hanging="360"/>
      </w:pPr>
      <w:rPr>
        <w:rFonts w:hint="default"/>
      </w:rPr>
    </w:lvl>
    <w:lvl w:ilvl="1" w:tplc="04080019" w:tentative="1">
      <w:start w:val="1"/>
      <w:numFmt w:val="lowerLetter"/>
      <w:lvlText w:val="%2."/>
      <w:lvlJc w:val="left"/>
      <w:pPr>
        <w:ind w:left="1555" w:hanging="360"/>
      </w:pPr>
    </w:lvl>
    <w:lvl w:ilvl="2" w:tplc="0408001B" w:tentative="1">
      <w:start w:val="1"/>
      <w:numFmt w:val="lowerRoman"/>
      <w:lvlText w:val="%3."/>
      <w:lvlJc w:val="right"/>
      <w:pPr>
        <w:ind w:left="2275" w:hanging="180"/>
      </w:pPr>
    </w:lvl>
    <w:lvl w:ilvl="3" w:tplc="0408000F" w:tentative="1">
      <w:start w:val="1"/>
      <w:numFmt w:val="decimal"/>
      <w:lvlText w:val="%4."/>
      <w:lvlJc w:val="left"/>
      <w:pPr>
        <w:ind w:left="2995" w:hanging="360"/>
      </w:pPr>
    </w:lvl>
    <w:lvl w:ilvl="4" w:tplc="04080019" w:tentative="1">
      <w:start w:val="1"/>
      <w:numFmt w:val="lowerLetter"/>
      <w:lvlText w:val="%5."/>
      <w:lvlJc w:val="left"/>
      <w:pPr>
        <w:ind w:left="3715" w:hanging="360"/>
      </w:pPr>
    </w:lvl>
    <w:lvl w:ilvl="5" w:tplc="0408001B" w:tentative="1">
      <w:start w:val="1"/>
      <w:numFmt w:val="lowerRoman"/>
      <w:lvlText w:val="%6."/>
      <w:lvlJc w:val="right"/>
      <w:pPr>
        <w:ind w:left="4435" w:hanging="180"/>
      </w:pPr>
    </w:lvl>
    <w:lvl w:ilvl="6" w:tplc="0408000F" w:tentative="1">
      <w:start w:val="1"/>
      <w:numFmt w:val="decimal"/>
      <w:lvlText w:val="%7."/>
      <w:lvlJc w:val="left"/>
      <w:pPr>
        <w:ind w:left="5155" w:hanging="360"/>
      </w:pPr>
    </w:lvl>
    <w:lvl w:ilvl="7" w:tplc="04080019" w:tentative="1">
      <w:start w:val="1"/>
      <w:numFmt w:val="lowerLetter"/>
      <w:lvlText w:val="%8."/>
      <w:lvlJc w:val="left"/>
      <w:pPr>
        <w:ind w:left="5875" w:hanging="360"/>
      </w:pPr>
    </w:lvl>
    <w:lvl w:ilvl="8" w:tplc="0408001B" w:tentative="1">
      <w:start w:val="1"/>
      <w:numFmt w:val="lowerRoman"/>
      <w:lvlText w:val="%9."/>
      <w:lvlJc w:val="right"/>
      <w:pPr>
        <w:ind w:left="6595" w:hanging="180"/>
      </w:pPr>
    </w:lvl>
  </w:abstractNum>
  <w:num w:numId="1" w16cid:durableId="160610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64"/>
    <w:rsid w:val="00494E64"/>
    <w:rsid w:val="007B6DD9"/>
    <w:rsid w:val="009F45E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5ACA"/>
  <w15:chartTrackingRefBased/>
  <w15:docId w15:val="{EEBA87C9-A0BD-47EE-8880-5937BE2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64"/>
    <w:pPr>
      <w:spacing w:after="200" w:line="276" w:lineRule="auto"/>
    </w:pPr>
    <w:rPr>
      <w:kern w:val="0"/>
      <w:lang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4E64"/>
    <w:pPr>
      <w:tabs>
        <w:tab w:val="center" w:pos="4153"/>
        <w:tab w:val="right" w:pos="8306"/>
      </w:tabs>
      <w:spacing w:after="0" w:line="240" w:lineRule="auto"/>
    </w:pPr>
    <w:rPr>
      <w:rFonts w:ascii="Times New Roman" w:eastAsia="Times New Roman" w:hAnsi="Times New Roman" w:cs="Times New Roman"/>
      <w:sz w:val="24"/>
      <w:szCs w:val="20"/>
      <w:lang w:val="en-US" w:eastAsia="el-GR"/>
    </w:rPr>
  </w:style>
  <w:style w:type="character" w:customStyle="1" w:styleId="Char">
    <w:name w:val="Κεφαλίδα Char"/>
    <w:basedOn w:val="a0"/>
    <w:link w:val="a3"/>
    <w:rsid w:val="00494E64"/>
    <w:rPr>
      <w:rFonts w:ascii="Times New Roman" w:eastAsia="Times New Roman" w:hAnsi="Times New Roman" w:cs="Times New Roman"/>
      <w:kern w:val="0"/>
      <w:sz w:val="24"/>
      <w:szCs w:val="20"/>
      <w:lang w:val="en-US" w:eastAsia="el-GR" w:bidi="ar-SA"/>
      <w14:ligatures w14:val="none"/>
    </w:rPr>
  </w:style>
  <w:style w:type="paragraph" w:styleId="a4">
    <w:name w:val="List Paragraph"/>
    <w:basedOn w:val="a"/>
    <w:uiPriority w:val="34"/>
    <w:qFormat/>
    <w:rsid w:val="00494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p.gr/education/postgraduate/annual/orthodox-christian-theology/topic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927</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ΣΩΤΗΡΙΟΣ ΔΕΣΠΟΤΗΣ</dc:creator>
  <cp:keywords/>
  <dc:description/>
  <cp:lastModifiedBy>ΣΩΤΗΡΙΟΣ ΔΕΣΠΟΤΗΣ</cp:lastModifiedBy>
  <cp:revision>2</cp:revision>
  <dcterms:created xsi:type="dcterms:W3CDTF">2023-06-02T07:25:00Z</dcterms:created>
  <dcterms:modified xsi:type="dcterms:W3CDTF">2023-06-02T07:25:00Z</dcterms:modified>
</cp:coreProperties>
</file>