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B22" w:rsidRPr="00E37E8B" w:rsidRDefault="00066B22" w:rsidP="00066B22">
      <w:pPr>
        <w:pStyle w:val="3"/>
        <w:tabs>
          <w:tab w:val="left" w:pos="284"/>
        </w:tabs>
        <w:rPr>
          <w:sz w:val="22"/>
          <w:szCs w:val="22"/>
        </w:rPr>
      </w:pPr>
      <w:bookmarkStart w:id="0" w:name="_Toc4b6f0141"/>
      <w:r w:rsidRPr="00E37E8B">
        <w:rPr>
          <w:sz w:val="22"/>
          <w:szCs w:val="22"/>
        </w:rPr>
        <w:t>​</w:t>
      </w:r>
      <w:r w:rsidRPr="00E37E8B">
        <w:rPr>
          <w:b/>
          <w:bCs/>
          <w:sz w:val="22"/>
          <w:szCs w:val="22"/>
        </w:rPr>
        <w:t>Title of proposal:</w:t>
      </w:r>
      <w:r w:rsidRPr="00E37E8B">
        <w:rPr>
          <w:sz w:val="22"/>
          <w:szCs w:val="22"/>
        </w:rPr>
        <w:t xml:space="preserve"> Digital Paul: Romans </w:t>
      </w:r>
      <w:r w:rsidR="00C05BA1">
        <w:rPr>
          <w:sz w:val="22"/>
          <w:szCs w:val="22"/>
        </w:rPr>
        <w:t xml:space="preserve">- </w:t>
      </w:r>
      <w:r w:rsidRPr="00E37E8B">
        <w:rPr>
          <w:sz w:val="22"/>
          <w:szCs w:val="22"/>
        </w:rPr>
        <w:t>Synchronic and Interdisciplinary Approaches</w:t>
      </w:r>
      <w:bookmarkEnd w:id="0"/>
    </w:p>
    <w:p w:rsidR="00066B22" w:rsidRPr="00E37E8B" w:rsidRDefault="00066B22" w:rsidP="00066B22">
      <w:pPr>
        <w:pStyle w:val="3"/>
        <w:tabs>
          <w:tab w:val="left" w:pos="284"/>
        </w:tabs>
        <w:rPr>
          <w:sz w:val="22"/>
          <w:szCs w:val="22"/>
        </w:rPr>
      </w:pPr>
      <w:bookmarkStart w:id="1" w:name="_Toc19bc4cf0"/>
      <w:r w:rsidRPr="00E37E8B">
        <w:rPr>
          <w:b/>
          <w:bCs/>
          <w:sz w:val="22"/>
          <w:szCs w:val="22"/>
        </w:rPr>
        <w:t>Principal Investigator:</w:t>
      </w:r>
      <w:r w:rsidRPr="00E37E8B">
        <w:rPr>
          <w:sz w:val="22"/>
          <w:szCs w:val="22"/>
        </w:rPr>
        <w:t xml:space="preserve"> Dr. </w:t>
      </w:r>
      <w:proofErr w:type="spellStart"/>
      <w:r w:rsidRPr="00E37E8B">
        <w:rPr>
          <w:sz w:val="22"/>
          <w:szCs w:val="22"/>
        </w:rPr>
        <w:t>Sotirios</w:t>
      </w:r>
      <w:proofErr w:type="spellEnd"/>
      <w:r w:rsidRPr="00E37E8B">
        <w:rPr>
          <w:sz w:val="22"/>
          <w:szCs w:val="22"/>
        </w:rPr>
        <w:t xml:space="preserve"> </w:t>
      </w:r>
      <w:proofErr w:type="spellStart"/>
      <w:r w:rsidRPr="00E37E8B">
        <w:rPr>
          <w:sz w:val="22"/>
          <w:szCs w:val="22"/>
        </w:rPr>
        <w:t>Despotis</w:t>
      </w:r>
      <w:proofErr w:type="spellEnd"/>
      <w:r w:rsidRPr="00E37E8B">
        <w:rPr>
          <w:sz w:val="22"/>
          <w:szCs w:val="22"/>
        </w:rPr>
        <w:t xml:space="preserve">, Professor at the Faculty of Social Theology – National and </w:t>
      </w:r>
      <w:proofErr w:type="spellStart"/>
      <w:r w:rsidRPr="00E37E8B">
        <w:rPr>
          <w:sz w:val="22"/>
          <w:szCs w:val="22"/>
        </w:rPr>
        <w:t>Kapodistrian</w:t>
      </w:r>
      <w:proofErr w:type="spellEnd"/>
      <w:r w:rsidRPr="00E37E8B">
        <w:rPr>
          <w:sz w:val="22"/>
          <w:szCs w:val="22"/>
        </w:rPr>
        <w:t xml:space="preserve"> University of Athens</w:t>
      </w:r>
      <w:bookmarkEnd w:id="1"/>
    </w:p>
    <w:p w:rsidR="00066B22" w:rsidRPr="00E37E8B" w:rsidRDefault="00066B22" w:rsidP="00066B22">
      <w:pPr>
        <w:pStyle w:val="3"/>
        <w:tabs>
          <w:tab w:val="left" w:pos="284"/>
        </w:tabs>
        <w:rPr>
          <w:sz w:val="22"/>
          <w:szCs w:val="22"/>
        </w:rPr>
      </w:pPr>
      <w:bookmarkStart w:id="2" w:name="_Toc47c932d4"/>
      <w:r w:rsidRPr="00E37E8B">
        <w:rPr>
          <w:b/>
          <w:bCs/>
          <w:sz w:val="22"/>
          <w:szCs w:val="22"/>
        </w:rPr>
        <w:t>Host Institution:</w:t>
      </w:r>
      <w:r w:rsidRPr="00E37E8B">
        <w:rPr>
          <w:sz w:val="22"/>
          <w:szCs w:val="22"/>
        </w:rPr>
        <w:t xml:space="preserve"> National and </w:t>
      </w:r>
      <w:proofErr w:type="spellStart"/>
      <w:r w:rsidRPr="00E37E8B">
        <w:rPr>
          <w:sz w:val="22"/>
          <w:szCs w:val="22"/>
        </w:rPr>
        <w:t>Kapodistrian</w:t>
      </w:r>
      <w:proofErr w:type="spellEnd"/>
      <w:r w:rsidRPr="00E37E8B">
        <w:rPr>
          <w:sz w:val="22"/>
          <w:szCs w:val="22"/>
        </w:rPr>
        <w:t xml:space="preserve"> University of Athens</w:t>
      </w:r>
      <w:bookmarkEnd w:id="2"/>
    </w:p>
    <w:p w:rsidR="00066B22" w:rsidRPr="00E37E8B" w:rsidRDefault="00066B22" w:rsidP="00066B22">
      <w:pPr>
        <w:tabs>
          <w:tab w:val="left" w:pos="284"/>
        </w:tabs>
        <w:rPr>
          <w:sz w:val="22"/>
          <w:szCs w:val="22"/>
          <w:lang w:val="en-US"/>
        </w:rPr>
      </w:pPr>
    </w:p>
    <w:p w:rsidR="00066B22" w:rsidRPr="00E37E8B" w:rsidRDefault="00066B22" w:rsidP="00066B22">
      <w:pPr>
        <w:pStyle w:val="2"/>
        <w:rPr>
          <w:sz w:val="22"/>
          <w:szCs w:val="22"/>
        </w:rPr>
      </w:pPr>
      <w:bookmarkStart w:id="3" w:name="_Toc5bb945e4"/>
      <w:r w:rsidRPr="00E37E8B">
        <w:rPr>
          <w:sz w:val="22"/>
          <w:szCs w:val="22"/>
        </w:rPr>
        <w:t xml:space="preserve">Summary and basic objectives of the project </w:t>
      </w:r>
      <w:bookmarkEnd w:id="3"/>
    </w:p>
    <w:p w:rsidR="00066B22" w:rsidRPr="00E37E8B" w:rsidRDefault="00066B22" w:rsidP="00066B22">
      <w:pPr>
        <w:tabs>
          <w:tab w:val="left" w:pos="284"/>
        </w:tabs>
        <w:rPr>
          <w:sz w:val="22"/>
          <w:szCs w:val="22"/>
          <w:lang w:val="en-US"/>
        </w:rPr>
      </w:pPr>
      <w:r w:rsidRPr="00E37E8B">
        <w:rPr>
          <w:sz w:val="22"/>
          <w:szCs w:val="22"/>
          <w:lang w:val="en-US"/>
        </w:rPr>
        <w:t>The research project entitled “</w:t>
      </w:r>
      <w:r w:rsidRPr="00E37E8B">
        <w:rPr>
          <w:b/>
          <w:bCs/>
          <w:sz w:val="22"/>
          <w:szCs w:val="22"/>
          <w:lang w:val="en-US"/>
        </w:rPr>
        <w:t>Digital Paul: Romans Synchronic Interdisciplinary Approaches</w:t>
      </w:r>
      <w:r w:rsidRPr="00E37E8B">
        <w:rPr>
          <w:sz w:val="22"/>
          <w:szCs w:val="22"/>
          <w:lang w:val="en-US"/>
        </w:rPr>
        <w:t xml:space="preserve">” analyzes, for the first time in the wider area of the Eastern Mediterranean, the aforementioned epistle of Apostle Paul in three discreet and, at the same time, intertwined approaches: synchronic, interdisciplinary and intercultural; its deliverables comply with current research practices in regards to Open Access and Digital Format in the context of Digital Humanities </w:t>
      </w:r>
      <w:r w:rsidR="00541A92" w:rsidRPr="00E37E8B">
        <w:rPr>
          <w:sz w:val="22"/>
          <w:szCs w:val="22"/>
        </w:rPr>
        <w:fldChar w:fldCharType="begin"/>
      </w:r>
      <w:r w:rsidRPr="00E37E8B">
        <w:rPr>
          <w:sz w:val="22"/>
          <w:szCs w:val="22"/>
        </w:rPr>
        <w:instrText>ADDIN BEC{Schroeder, 2016, #78830}</w:instrText>
      </w:r>
      <w:r w:rsidR="00541A92" w:rsidRPr="00E37E8B">
        <w:rPr>
          <w:sz w:val="22"/>
          <w:szCs w:val="22"/>
        </w:rPr>
        <w:fldChar w:fldCharType="separate"/>
      </w:r>
      <w:r w:rsidRPr="00E37E8B">
        <w:rPr>
          <w:sz w:val="22"/>
          <w:szCs w:val="22"/>
        </w:rPr>
        <w:t>(Schroeder, 2016)</w:t>
      </w:r>
      <w:r w:rsidR="00541A92" w:rsidRPr="00E37E8B">
        <w:rPr>
          <w:sz w:val="22"/>
          <w:szCs w:val="22"/>
        </w:rPr>
        <w:fldChar w:fldCharType="end"/>
      </w:r>
      <w:r w:rsidRPr="00E37E8B">
        <w:rPr>
          <w:sz w:val="22"/>
          <w:szCs w:val="22"/>
          <w:lang w:val="en-US"/>
        </w:rPr>
        <w:t>.</w:t>
      </w:r>
    </w:p>
    <w:p w:rsidR="00066B22" w:rsidRPr="00E37E8B" w:rsidRDefault="00066B22" w:rsidP="00066B22">
      <w:pPr>
        <w:tabs>
          <w:tab w:val="left" w:pos="284"/>
        </w:tabs>
        <w:rPr>
          <w:sz w:val="22"/>
          <w:szCs w:val="22"/>
          <w:lang w:val="en-US"/>
        </w:rPr>
      </w:pPr>
      <w:r w:rsidRPr="00E37E8B">
        <w:rPr>
          <w:i/>
          <w:iCs/>
          <w:sz w:val="22"/>
          <w:szCs w:val="22"/>
          <w:lang w:val="en-US"/>
        </w:rPr>
        <w:t>Romans</w:t>
      </w:r>
      <w:r w:rsidRPr="00E37E8B">
        <w:rPr>
          <w:sz w:val="22"/>
          <w:szCs w:val="22"/>
          <w:lang w:val="en-US"/>
        </w:rPr>
        <w:t xml:space="preserve"> was composed in the cosmopolitan and multicultural Corinth of the 1st century and, for 2.000 years, has had a lasting influence on the history of Christianity and Europe; Important personalities such as Augustine and Luther have experienced </w:t>
      </w:r>
      <w:r w:rsidRPr="00E37E8B">
        <w:rPr>
          <w:i/>
          <w:iCs/>
          <w:sz w:val="22"/>
          <w:szCs w:val="22"/>
          <w:lang w:val="en-US"/>
        </w:rPr>
        <w:t>conversion</w:t>
      </w:r>
      <w:r w:rsidRPr="00E37E8B">
        <w:rPr>
          <w:sz w:val="22"/>
          <w:szCs w:val="22"/>
          <w:lang w:val="en-US"/>
        </w:rPr>
        <w:t xml:space="preserve"> in their life through the study of this text, and, hence, </w:t>
      </w:r>
      <w:r w:rsidRPr="00E37E8B">
        <w:rPr>
          <w:i/>
          <w:iCs/>
          <w:sz w:val="22"/>
          <w:szCs w:val="22"/>
          <w:lang w:val="en-US"/>
        </w:rPr>
        <w:t>Romans</w:t>
      </w:r>
      <w:r w:rsidRPr="00E37E8B">
        <w:rPr>
          <w:sz w:val="22"/>
          <w:szCs w:val="22"/>
          <w:lang w:val="en-US"/>
        </w:rPr>
        <w:t xml:space="preserve"> is a tenet in European thought and culture. In the 20</w:t>
      </w:r>
      <w:r w:rsidRPr="00E37E8B">
        <w:rPr>
          <w:sz w:val="22"/>
          <w:szCs w:val="22"/>
          <w:vertAlign w:val="superscript"/>
          <w:lang w:val="en-US"/>
        </w:rPr>
        <w:t>th</w:t>
      </w:r>
      <w:r w:rsidRPr="00E37E8B">
        <w:rPr>
          <w:sz w:val="22"/>
          <w:szCs w:val="22"/>
          <w:lang w:val="en-US"/>
        </w:rPr>
        <w:t xml:space="preserve"> century, Karl Barth composed his monumental commentary on Romans and introduced, just after the tragedy of the </w:t>
      </w:r>
      <w:r w:rsidRPr="00E37E8B">
        <w:rPr>
          <w:i/>
          <w:iCs/>
          <w:sz w:val="22"/>
          <w:szCs w:val="22"/>
          <w:lang w:val="en-US"/>
        </w:rPr>
        <w:t>Great World War</w:t>
      </w:r>
      <w:r w:rsidRPr="00E37E8B">
        <w:rPr>
          <w:sz w:val="22"/>
          <w:szCs w:val="22"/>
          <w:lang w:val="en-US"/>
        </w:rPr>
        <w:t xml:space="preserve">, new trends in Theology, Philosophy, and Western thought </w:t>
      </w:r>
      <w:r w:rsidR="00541A92" w:rsidRPr="00E37E8B">
        <w:rPr>
          <w:sz w:val="22"/>
          <w:szCs w:val="22"/>
        </w:rPr>
        <w:fldChar w:fldCharType="begin"/>
      </w:r>
      <w:r w:rsidRPr="00E37E8B">
        <w:rPr>
          <w:sz w:val="22"/>
          <w:szCs w:val="22"/>
        </w:rPr>
        <w:instrText>ADDIN BEC{Hunsinger, 2000, #31568}{Hunsinger, 1976, #15460}{Webb, 1991, #51594}</w:instrText>
      </w:r>
      <w:r w:rsidR="00541A92" w:rsidRPr="00E37E8B">
        <w:rPr>
          <w:sz w:val="22"/>
          <w:szCs w:val="22"/>
        </w:rPr>
        <w:fldChar w:fldCharType="separate"/>
      </w:r>
      <w:r w:rsidRPr="00E37E8B">
        <w:rPr>
          <w:sz w:val="22"/>
          <w:szCs w:val="22"/>
        </w:rPr>
        <w:t>(Hunsinger, 2000; Hunsinger, 1976; Webb, 1991)</w:t>
      </w:r>
      <w:r w:rsidR="00541A92" w:rsidRPr="00E37E8B">
        <w:rPr>
          <w:sz w:val="22"/>
          <w:szCs w:val="22"/>
        </w:rPr>
        <w:fldChar w:fldCharType="end"/>
      </w:r>
      <w:r w:rsidRPr="00E37E8B">
        <w:rPr>
          <w:sz w:val="22"/>
          <w:szCs w:val="22"/>
          <w:lang w:val="en-US"/>
        </w:rPr>
        <w:t>.</w:t>
      </w:r>
    </w:p>
    <w:p w:rsidR="00066B22" w:rsidRPr="00E37E8B" w:rsidRDefault="00066B22" w:rsidP="00066B22">
      <w:pPr>
        <w:tabs>
          <w:tab w:val="left" w:pos="284"/>
        </w:tabs>
        <w:rPr>
          <w:sz w:val="22"/>
          <w:szCs w:val="22"/>
          <w:lang w:val="en-US"/>
        </w:rPr>
      </w:pPr>
      <w:r w:rsidRPr="00E37E8B">
        <w:rPr>
          <w:sz w:val="22"/>
          <w:szCs w:val="22"/>
          <w:lang w:val="en-US"/>
        </w:rPr>
        <w:t xml:space="preserve">The aforementioned influence of the Epistle is primarily rooted in the rhetoric competency of its author, who is preparing for his visit to Rome and Spain, clarifying certain misunderstandings that have arisen from his missionary activity around the Aegean Sea, first to </w:t>
      </w:r>
      <w:r w:rsidRPr="00E37E8B">
        <w:rPr>
          <w:i/>
          <w:iCs/>
          <w:sz w:val="22"/>
          <w:szCs w:val="22"/>
          <w:lang w:val="en-US"/>
        </w:rPr>
        <w:t>the Judeans and then to the Greeks</w:t>
      </w:r>
      <w:r w:rsidRPr="00E37E8B">
        <w:rPr>
          <w:sz w:val="22"/>
          <w:szCs w:val="22"/>
          <w:lang w:val="en-US"/>
        </w:rPr>
        <w:t xml:space="preserve">. Moreover, Paul is discussing diachronic and important issues which are still pertinent in postmodern aspects; the relationship of Christianity with the Law (both the Mosaic and the secular law), the mentality of the “chosen nation”, the interaction of identities in the same public space (human ego, i.e. conscience, will and action, human </w:t>
      </w:r>
      <w:proofErr w:type="spellStart"/>
      <w:r w:rsidRPr="00E37E8B">
        <w:rPr>
          <w:i/>
          <w:iCs/>
          <w:sz w:val="22"/>
          <w:szCs w:val="22"/>
          <w:lang w:val="en-US"/>
        </w:rPr>
        <w:t>προαίρεσις</w:t>
      </w:r>
      <w:proofErr w:type="spellEnd"/>
      <w:r w:rsidRPr="00E37E8B">
        <w:rPr>
          <w:sz w:val="22"/>
          <w:szCs w:val="22"/>
          <w:lang w:val="en-US"/>
        </w:rPr>
        <w:t xml:space="preserve">, </w:t>
      </w:r>
      <w:r w:rsidRPr="00E37E8B">
        <w:rPr>
          <w:b/>
          <w:bCs/>
          <w:sz w:val="22"/>
          <w:szCs w:val="22"/>
          <w:lang w:val="en-US"/>
        </w:rPr>
        <w:t>“</w:t>
      </w:r>
      <w:r w:rsidRPr="00E37E8B">
        <w:rPr>
          <w:sz w:val="22"/>
          <w:szCs w:val="22"/>
          <w:lang w:val="en-US"/>
        </w:rPr>
        <w:t>Judeans and Greeks”</w:t>
      </w:r>
      <w:r w:rsidR="002730D8" w:rsidRPr="00E37E8B">
        <w:rPr>
          <w:sz w:val="22"/>
          <w:szCs w:val="22"/>
          <w:lang w:val="en-US"/>
        </w:rPr>
        <w:t>, “strong” – liberal / “weak” – conservative</w:t>
      </w:r>
      <w:r w:rsidRPr="00E37E8B">
        <w:rPr>
          <w:sz w:val="22"/>
          <w:szCs w:val="22"/>
          <w:lang w:val="en-US"/>
        </w:rPr>
        <w:t xml:space="preserve">, “chosen nation and political authority”). Some of the most widely known issues are excerpts from </w:t>
      </w:r>
      <w:r w:rsidRPr="00E37E8B">
        <w:rPr>
          <w:i/>
          <w:iCs/>
          <w:sz w:val="22"/>
          <w:szCs w:val="22"/>
          <w:lang w:val="en-US"/>
        </w:rPr>
        <w:t>Romans</w:t>
      </w:r>
      <w:r w:rsidRPr="00E37E8B">
        <w:rPr>
          <w:sz w:val="22"/>
          <w:szCs w:val="22"/>
          <w:lang w:val="en-US"/>
        </w:rPr>
        <w:t xml:space="preserve"> where matters of identity, sexuality (homosexuality, social gender) and ecology are discussed.</w:t>
      </w:r>
    </w:p>
    <w:p w:rsidR="00066B22" w:rsidRPr="00E37E8B" w:rsidRDefault="00066B22" w:rsidP="00E02660">
      <w:pPr>
        <w:tabs>
          <w:tab w:val="left" w:pos="284"/>
        </w:tabs>
        <w:rPr>
          <w:sz w:val="22"/>
          <w:szCs w:val="22"/>
          <w:lang w:val="en-US"/>
        </w:rPr>
      </w:pPr>
      <w:r w:rsidRPr="00E37E8B">
        <w:rPr>
          <w:sz w:val="22"/>
          <w:szCs w:val="22"/>
          <w:lang w:val="en-US"/>
        </w:rPr>
        <w:t>This project aims to cover the lack of a commentary –both in Greek-speaking and Orthodox theological research– which incorporates the most current trends in Pauline Theology (“New Perspectives on Paul”) and, at the same time, underlining the rich hermeneutical tradition of the Ecclesiastical writers in East and West. Moreover, it will seek to semantically clarify important terms (righteousness, wrath, works of Law, conscience, body, flesh) and metaphors (such as the olive tree in chapters 9-11) by presenting and examining the linguistic context in which they appear (Hellenistic Greek, Jewish influences in regards to semantics, Latin – the lingua franca of the Roman Empire). The research is concluded with the examination of the reception of Romans beyond the fields of Biblical Studies, Theology and Religious Studies, as an emphasis is placed on its influence on the readers of the 20</w:t>
      </w:r>
      <w:r w:rsidRPr="00E37E8B">
        <w:rPr>
          <w:sz w:val="22"/>
          <w:szCs w:val="22"/>
          <w:vertAlign w:val="superscript"/>
          <w:lang w:val="en-US"/>
        </w:rPr>
        <w:t>th</w:t>
      </w:r>
      <w:r w:rsidRPr="00E37E8B">
        <w:rPr>
          <w:sz w:val="22"/>
          <w:szCs w:val="22"/>
          <w:lang w:val="en-US"/>
        </w:rPr>
        <w:t xml:space="preserve"> and 21</w:t>
      </w:r>
      <w:r w:rsidRPr="00E37E8B">
        <w:rPr>
          <w:sz w:val="22"/>
          <w:szCs w:val="22"/>
          <w:vertAlign w:val="superscript"/>
          <w:lang w:val="en-US"/>
        </w:rPr>
        <w:t>st</w:t>
      </w:r>
      <w:r w:rsidRPr="00E37E8B">
        <w:rPr>
          <w:sz w:val="22"/>
          <w:szCs w:val="22"/>
          <w:lang w:val="en-US"/>
        </w:rPr>
        <w:t xml:space="preserve"> century. Although extremely important and wide in scope, the study of the postmodern reception of Romans has remained an uncharted research territory. Moreover, the entirety of the project will incorporate the practices in the emerging field of Digital Humanities; apart from being available both in print and digitally, the research will be incorporated in an online platform in the form of a multimedia hypertext, following the standards set forth in similar projects </w:t>
      </w:r>
      <w:bookmarkStart w:id="4" w:name="__Fieldmark__58_1129172694"/>
      <w:r w:rsidR="00541A92" w:rsidRPr="00E37E8B">
        <w:rPr>
          <w:sz w:val="22"/>
          <w:szCs w:val="22"/>
          <w:lang w:val="en-US"/>
        </w:rPr>
        <w:fldChar w:fldCharType="begin"/>
      </w:r>
      <w:r w:rsidRPr="00E37E8B">
        <w:rPr>
          <w:sz w:val="22"/>
          <w:szCs w:val="22"/>
          <w:lang w:val="en-US"/>
        </w:rPr>
        <w:instrText>ADDIN BEC{Hutchings, 2017, #48327}{Almas and Berti, 2013, #52868}</w:instrText>
      </w:r>
      <w:r w:rsidR="00541A92" w:rsidRPr="00E37E8B">
        <w:rPr>
          <w:sz w:val="22"/>
          <w:szCs w:val="22"/>
          <w:lang w:val="en-US"/>
        </w:rPr>
        <w:fldChar w:fldCharType="separate"/>
      </w:r>
      <w:r w:rsidRPr="00E37E8B">
        <w:rPr>
          <w:sz w:val="22"/>
          <w:szCs w:val="22"/>
          <w:lang w:val="en-US"/>
        </w:rPr>
        <w:t>(Hutchings, 2017; Almas &amp; Berti, 2013)</w:t>
      </w:r>
      <w:r w:rsidR="00541A92" w:rsidRPr="00E37E8B">
        <w:rPr>
          <w:sz w:val="22"/>
          <w:szCs w:val="22"/>
          <w:lang w:val="en-US"/>
        </w:rPr>
        <w:fldChar w:fldCharType="end"/>
      </w:r>
      <w:bookmarkEnd w:id="4"/>
      <w:r w:rsidRPr="00E37E8B">
        <w:rPr>
          <w:sz w:val="22"/>
          <w:szCs w:val="22"/>
          <w:lang w:val="en-US"/>
        </w:rPr>
        <w:t>.</w:t>
      </w:r>
      <w:r w:rsidR="00E02660" w:rsidRPr="00E37E8B">
        <w:rPr>
          <w:sz w:val="22"/>
          <w:szCs w:val="22"/>
          <w:lang w:val="en-US"/>
        </w:rPr>
        <w:t xml:space="preserve"> </w:t>
      </w:r>
      <w:r w:rsidRPr="00E37E8B">
        <w:rPr>
          <w:sz w:val="22"/>
          <w:szCs w:val="22"/>
          <w:lang w:val="en-US"/>
        </w:rPr>
        <w:t>Specifically, the core of the research will focus on the examination of chapters 1-11 of the Epistle to Romans, by employing literary and rhetorical criticism, as well as identifying theological and anthropological issues. Moreover, the reception and influence of the Epistle will be examined and discussed in the context of religious movements, ideological and political issues, debates on ethics and law, scientific advances and cultural aspects of the 20</w:t>
      </w:r>
      <w:r w:rsidRPr="00E37E8B">
        <w:rPr>
          <w:sz w:val="22"/>
          <w:szCs w:val="22"/>
          <w:vertAlign w:val="superscript"/>
          <w:lang w:val="en-US"/>
        </w:rPr>
        <w:t>th</w:t>
      </w:r>
      <w:r w:rsidRPr="00E37E8B">
        <w:rPr>
          <w:sz w:val="22"/>
          <w:szCs w:val="22"/>
          <w:lang w:val="en-US"/>
        </w:rPr>
        <w:t xml:space="preserve"> and 21</w:t>
      </w:r>
      <w:r w:rsidRPr="00E37E8B">
        <w:rPr>
          <w:sz w:val="22"/>
          <w:szCs w:val="22"/>
          <w:vertAlign w:val="superscript"/>
          <w:lang w:val="en-US"/>
        </w:rPr>
        <w:t>st</w:t>
      </w:r>
      <w:r w:rsidRPr="00E37E8B">
        <w:rPr>
          <w:sz w:val="22"/>
          <w:szCs w:val="22"/>
          <w:lang w:val="en-US"/>
        </w:rPr>
        <w:t xml:space="preserve"> centuries.</w:t>
      </w:r>
    </w:p>
    <w:p w:rsidR="00066B22" w:rsidRPr="00E37E8B" w:rsidRDefault="00066B22" w:rsidP="00066B22">
      <w:pPr>
        <w:tabs>
          <w:tab w:val="left" w:pos="284"/>
        </w:tabs>
        <w:rPr>
          <w:sz w:val="22"/>
          <w:szCs w:val="22"/>
          <w:lang w:val="en-US"/>
        </w:rPr>
      </w:pPr>
      <w:r w:rsidRPr="00E37E8B">
        <w:rPr>
          <w:sz w:val="22"/>
          <w:szCs w:val="22"/>
          <w:lang w:val="en-US"/>
        </w:rPr>
        <w:t xml:space="preserve">Two of the key deliverables of this project will be a) print and digital edition (hypertext, lexical database, intertextual connections) with the participation of established and new scholars, (b) proceedings (in English) of an international conference which will emphasize the interdisciplinary approaches to the </w:t>
      </w:r>
      <w:r w:rsidRPr="00E37E8B">
        <w:rPr>
          <w:i/>
          <w:iCs/>
          <w:sz w:val="22"/>
          <w:szCs w:val="22"/>
          <w:lang w:val="en-US"/>
        </w:rPr>
        <w:t>Romans</w:t>
      </w:r>
      <w:r w:rsidRPr="00E37E8B">
        <w:rPr>
          <w:sz w:val="22"/>
          <w:szCs w:val="22"/>
          <w:lang w:val="en-US"/>
        </w:rPr>
        <w:t>.</w:t>
      </w:r>
    </w:p>
    <w:p w:rsidR="00066B22" w:rsidRPr="00E37E8B" w:rsidRDefault="00066B22" w:rsidP="00066B22">
      <w:pPr>
        <w:tabs>
          <w:tab w:val="left" w:pos="284"/>
        </w:tabs>
        <w:rPr>
          <w:sz w:val="22"/>
          <w:szCs w:val="22"/>
          <w:lang w:val="en-US"/>
        </w:rPr>
      </w:pPr>
    </w:p>
    <w:p w:rsidR="00066B22" w:rsidRPr="00E37E8B" w:rsidRDefault="00066B22" w:rsidP="00066B22">
      <w:pPr>
        <w:pStyle w:val="2"/>
        <w:rPr>
          <w:sz w:val="22"/>
          <w:szCs w:val="22"/>
        </w:rPr>
      </w:pPr>
      <w:bookmarkStart w:id="5" w:name="_Toc499d99f5"/>
      <w:r w:rsidRPr="00E37E8B">
        <w:rPr>
          <w:sz w:val="22"/>
          <w:szCs w:val="22"/>
        </w:rPr>
        <w:t>First stage of research: introductory remarks and synchronic approach</w:t>
      </w:r>
      <w:bookmarkEnd w:id="5"/>
    </w:p>
    <w:p w:rsidR="00066B22" w:rsidRPr="00E37E8B" w:rsidRDefault="00066B22" w:rsidP="00066B22">
      <w:pPr>
        <w:tabs>
          <w:tab w:val="left" w:pos="284"/>
        </w:tabs>
        <w:rPr>
          <w:sz w:val="22"/>
          <w:szCs w:val="22"/>
        </w:rPr>
      </w:pPr>
      <w:r w:rsidRPr="00E37E8B">
        <w:rPr>
          <w:i/>
          <w:iCs/>
          <w:sz w:val="22"/>
          <w:szCs w:val="22"/>
          <w:lang w:val="en-US"/>
        </w:rPr>
        <w:t>Romans</w:t>
      </w:r>
      <w:r w:rsidRPr="00E37E8B">
        <w:rPr>
          <w:sz w:val="22"/>
          <w:szCs w:val="22"/>
          <w:lang w:val="en-US"/>
        </w:rPr>
        <w:t xml:space="preserve"> is the most comprehensive and extensive of the epistles of Paul; it has often been characterized as the “Doctrinal Epistle” or the “Gospel of Apostle Paul”. Indeed, Romans –placed at the beginning of the “canon of Pauline epistles”– is the only epistle that has such a clear thematic outline in regards to theological and practical aspects. However, it should not be considered as an epitome / synopsis of his teachings or as a comprehensive theological thesis; the Eucharist –an important aspect of Pauline theology– is not discussed in </w:t>
      </w:r>
      <w:r w:rsidRPr="00E37E8B">
        <w:rPr>
          <w:i/>
          <w:iCs/>
          <w:sz w:val="22"/>
          <w:szCs w:val="22"/>
          <w:lang w:val="en-US"/>
        </w:rPr>
        <w:t>Romans</w:t>
      </w:r>
      <w:r w:rsidRPr="00E37E8B">
        <w:rPr>
          <w:sz w:val="22"/>
          <w:szCs w:val="22"/>
          <w:lang w:val="en-US"/>
        </w:rPr>
        <w:t xml:space="preserve">. Regardless, it discusses in a systematic manner a basic concept in Pauline theology: God’s commitment to His promises and the redemption of every person from sin and death. This justice –God’s justice– is achieved through the grace of Christ and faith / dedication to Him; there is no obligation to embrace the identity of a “chosen nation” (1:16-17). The only prerequisite is to be a member of the “new humanity” through faith / loyalty so as to be able to embrace sacrificial love –which is the completion / culmination of the Law– for </w:t>
      </w:r>
      <w:r w:rsidRPr="00E37E8B">
        <w:rPr>
          <w:sz w:val="22"/>
          <w:szCs w:val="22"/>
          <w:lang w:val="en-US"/>
        </w:rPr>
        <w:lastRenderedPageBreak/>
        <w:t>the “other”. In this context, every person experiences the “now” (current) and, at the same time, the “not yet” (forthcoming) by releasing themselves from the oppressive rule of the flesh and the world. The metamorphosis of the individual from a descendant of the old Adam to a new being and their adoption by God (who is now called “Father”) are set forth by baptism and the charismatic influence of the Holy Spirit.</w:t>
      </w:r>
    </w:p>
    <w:p w:rsidR="00066B22" w:rsidRPr="00E37E8B" w:rsidRDefault="00066B22" w:rsidP="00A05AB1">
      <w:pPr>
        <w:tabs>
          <w:tab w:val="left" w:pos="284"/>
        </w:tabs>
        <w:rPr>
          <w:sz w:val="22"/>
          <w:szCs w:val="22"/>
        </w:rPr>
      </w:pPr>
      <w:r w:rsidRPr="00E37E8B">
        <w:rPr>
          <w:i/>
          <w:iCs/>
          <w:sz w:val="22"/>
          <w:szCs w:val="22"/>
          <w:lang w:val="en-US"/>
        </w:rPr>
        <w:t>Romans</w:t>
      </w:r>
      <w:r w:rsidRPr="00E37E8B">
        <w:rPr>
          <w:sz w:val="22"/>
          <w:szCs w:val="22"/>
          <w:lang w:val="en-US"/>
        </w:rPr>
        <w:t>, probably written in the winter of 56/57 CE in Corinth, at the beginning of Nero’s reign (the so-called “</w:t>
      </w:r>
      <w:proofErr w:type="spellStart"/>
      <w:r w:rsidRPr="00E37E8B">
        <w:rPr>
          <w:sz w:val="22"/>
          <w:szCs w:val="22"/>
          <w:lang w:val="en-US"/>
        </w:rPr>
        <w:t>Quinquennium</w:t>
      </w:r>
      <w:proofErr w:type="spellEnd"/>
      <w:r w:rsidRPr="00E37E8B">
        <w:rPr>
          <w:sz w:val="22"/>
          <w:szCs w:val="22"/>
          <w:lang w:val="en-US"/>
        </w:rPr>
        <w:t xml:space="preserve">”, the first five years) has some key differentiations from the rest of the Pauline corpus: </w:t>
      </w:r>
      <w:r w:rsidR="00A05AB1" w:rsidRPr="00E37E8B">
        <w:rPr>
          <w:b/>
          <w:bCs/>
          <w:sz w:val="22"/>
          <w:szCs w:val="22"/>
          <w:lang w:val="en-US"/>
        </w:rPr>
        <w:t>(a</w:t>
      </w:r>
      <w:proofErr w:type="gramStart"/>
      <w:r w:rsidR="00A05AB1" w:rsidRPr="00E37E8B">
        <w:rPr>
          <w:b/>
          <w:bCs/>
          <w:sz w:val="22"/>
          <w:szCs w:val="22"/>
          <w:lang w:val="en-US"/>
        </w:rPr>
        <w:t>)</w:t>
      </w:r>
      <w:r w:rsidR="00A05AB1" w:rsidRPr="00E37E8B">
        <w:rPr>
          <w:i/>
          <w:iCs/>
          <w:sz w:val="22"/>
          <w:szCs w:val="22"/>
          <w:lang w:val="en-US"/>
        </w:rPr>
        <w:t xml:space="preserve"> </w:t>
      </w:r>
      <w:r w:rsidRPr="00E37E8B">
        <w:rPr>
          <w:sz w:val="22"/>
          <w:szCs w:val="22"/>
          <w:lang w:val="en-US"/>
        </w:rPr>
        <w:t xml:space="preserve"> it</w:t>
      </w:r>
      <w:proofErr w:type="gramEnd"/>
      <w:r w:rsidRPr="00E37E8B">
        <w:rPr>
          <w:sz w:val="22"/>
          <w:szCs w:val="22"/>
          <w:lang w:val="en-US"/>
        </w:rPr>
        <w:t xml:space="preserve"> is addressed to a church (“Ecclesia” – the term is not found in </w:t>
      </w:r>
      <w:r w:rsidRPr="00E37E8B">
        <w:rPr>
          <w:i/>
          <w:iCs/>
          <w:sz w:val="22"/>
          <w:szCs w:val="22"/>
          <w:lang w:val="en-US"/>
        </w:rPr>
        <w:t>Romans</w:t>
      </w:r>
      <w:r w:rsidRPr="00E37E8B">
        <w:rPr>
          <w:sz w:val="22"/>
          <w:szCs w:val="22"/>
          <w:lang w:val="en-US"/>
        </w:rPr>
        <w:t xml:space="preserve">) which was not established by the Apostle or his circle of disciples. Further research (as derived from the list of greetings in the epilogue) reveals that the recipients are six or seven small congregations in Rome, comprised by Gentile Christians and Jewish Christians. The latter had recently returned to the Eternal City after the death of Claudius (54 CE), who, in 49 CE, had launched a pogrom; this action was spurred by conflicts in the Synagogue due to </w:t>
      </w:r>
      <w:proofErr w:type="spellStart"/>
      <w:r w:rsidRPr="00E37E8B">
        <w:rPr>
          <w:i/>
          <w:iCs/>
          <w:sz w:val="22"/>
          <w:szCs w:val="22"/>
          <w:lang w:val="en-US"/>
        </w:rPr>
        <w:t>Chrestus</w:t>
      </w:r>
      <w:proofErr w:type="spellEnd"/>
      <w:r w:rsidRPr="00E37E8B">
        <w:rPr>
          <w:sz w:val="22"/>
          <w:szCs w:val="22"/>
          <w:lang w:val="en-US"/>
        </w:rPr>
        <w:t xml:space="preserve"> (Suetonius, </w:t>
      </w:r>
      <w:proofErr w:type="spellStart"/>
      <w:r w:rsidRPr="00E37E8B">
        <w:rPr>
          <w:i/>
          <w:iCs/>
          <w:sz w:val="22"/>
          <w:szCs w:val="22"/>
          <w:lang w:val="en-US"/>
        </w:rPr>
        <w:t>Claud</w:t>
      </w:r>
      <w:proofErr w:type="spellEnd"/>
      <w:r w:rsidRPr="00E37E8B">
        <w:rPr>
          <w:sz w:val="22"/>
          <w:szCs w:val="22"/>
          <w:lang w:val="en-US"/>
        </w:rPr>
        <w:t xml:space="preserve">. 25.4). Paul’s remarks indicate the preexistence of such hostility between Gentiles and Jews, due to different approaches on calendar and dietary issues (14-15), as well as the feeling of superiority cultivated in the two groups. It should be added the members of the congregations (250–500 persons) belonged to the lower social strata (their names are an indication), resided in the areas of </w:t>
      </w:r>
      <w:proofErr w:type="spellStart"/>
      <w:r w:rsidRPr="00E37E8B">
        <w:rPr>
          <w:sz w:val="22"/>
          <w:szCs w:val="22"/>
          <w:lang w:val="en-US"/>
        </w:rPr>
        <w:t>Transtiberium</w:t>
      </w:r>
      <w:proofErr w:type="spellEnd"/>
      <w:r w:rsidRPr="00E37E8B">
        <w:rPr>
          <w:sz w:val="22"/>
          <w:szCs w:val="22"/>
          <w:lang w:val="en-US"/>
        </w:rPr>
        <w:t>/</w:t>
      </w:r>
      <w:proofErr w:type="spellStart"/>
      <w:r w:rsidRPr="00E37E8B">
        <w:rPr>
          <w:sz w:val="22"/>
          <w:szCs w:val="22"/>
          <w:lang w:val="en-US"/>
        </w:rPr>
        <w:t>Travestere</w:t>
      </w:r>
      <w:proofErr w:type="spellEnd"/>
      <w:r w:rsidRPr="00E37E8B">
        <w:rPr>
          <w:sz w:val="22"/>
          <w:szCs w:val="22"/>
          <w:lang w:val="en-US"/>
        </w:rPr>
        <w:t xml:space="preserve"> and </w:t>
      </w:r>
      <w:proofErr w:type="spellStart"/>
      <w:r w:rsidRPr="00E37E8B">
        <w:rPr>
          <w:sz w:val="22"/>
          <w:szCs w:val="22"/>
          <w:lang w:val="en-US"/>
        </w:rPr>
        <w:t>Porta</w:t>
      </w:r>
      <w:proofErr w:type="spellEnd"/>
      <w:r w:rsidRPr="00E37E8B">
        <w:rPr>
          <w:sz w:val="22"/>
          <w:szCs w:val="22"/>
          <w:lang w:val="en-US"/>
        </w:rPr>
        <w:t xml:space="preserve"> </w:t>
      </w:r>
      <w:proofErr w:type="spellStart"/>
      <w:r w:rsidRPr="00E37E8B">
        <w:rPr>
          <w:sz w:val="22"/>
          <w:szCs w:val="22"/>
          <w:lang w:val="en-US"/>
        </w:rPr>
        <w:t>Cobena</w:t>
      </w:r>
      <w:proofErr w:type="spellEnd"/>
      <w:r w:rsidRPr="00E37E8B">
        <w:rPr>
          <w:sz w:val="22"/>
          <w:szCs w:val="22"/>
          <w:lang w:val="en-US"/>
        </w:rPr>
        <w:t xml:space="preserve">, and had an excellent knowledge of the Law (Torah) and Prophets (cf. 1:2;15:7-12). </w:t>
      </w:r>
    </w:p>
    <w:p w:rsidR="00066B22" w:rsidRPr="00E37E8B" w:rsidRDefault="00066B22" w:rsidP="00066B22">
      <w:pPr>
        <w:tabs>
          <w:tab w:val="left" w:pos="284"/>
        </w:tabs>
        <w:rPr>
          <w:sz w:val="22"/>
          <w:szCs w:val="22"/>
        </w:rPr>
      </w:pPr>
      <w:r w:rsidRPr="00E37E8B">
        <w:rPr>
          <w:b/>
          <w:bCs/>
          <w:sz w:val="22"/>
          <w:szCs w:val="22"/>
          <w:lang w:val="en-US"/>
        </w:rPr>
        <w:t xml:space="preserve"> (b)</w:t>
      </w:r>
      <w:r w:rsidRPr="00E37E8B">
        <w:rPr>
          <w:sz w:val="22"/>
          <w:szCs w:val="22"/>
          <w:lang w:val="en-US"/>
        </w:rPr>
        <w:t xml:space="preserve"> Moreover, </w:t>
      </w:r>
      <w:r w:rsidRPr="00E37E8B">
        <w:rPr>
          <w:i/>
          <w:iCs/>
          <w:sz w:val="22"/>
          <w:szCs w:val="22"/>
          <w:lang w:val="en-US"/>
        </w:rPr>
        <w:t>Romans</w:t>
      </w:r>
      <w:r w:rsidRPr="00E37E8B">
        <w:rPr>
          <w:sz w:val="22"/>
          <w:szCs w:val="22"/>
          <w:lang w:val="en-US"/>
        </w:rPr>
        <w:t xml:space="preserve"> is written when Paul believes that he has completed his missionary travels in the cities around the Aegean Sea (</w:t>
      </w:r>
      <w:proofErr w:type="spellStart"/>
      <w:r w:rsidRPr="00E37E8B">
        <w:rPr>
          <w:i/>
          <w:iCs/>
          <w:sz w:val="22"/>
          <w:szCs w:val="22"/>
          <w:lang w:val="en-US"/>
        </w:rPr>
        <w:t>πεπληρωκέναι</w:t>
      </w:r>
      <w:proofErr w:type="spellEnd"/>
      <w:r w:rsidRPr="00E37E8B">
        <w:rPr>
          <w:i/>
          <w:iCs/>
          <w:sz w:val="22"/>
          <w:szCs w:val="22"/>
          <w:lang w:val="en-US"/>
        </w:rPr>
        <w:t xml:space="preserve"> </w:t>
      </w:r>
      <w:proofErr w:type="spellStart"/>
      <w:r w:rsidRPr="00E37E8B">
        <w:rPr>
          <w:i/>
          <w:iCs/>
          <w:sz w:val="22"/>
          <w:szCs w:val="22"/>
          <w:lang w:val="en-US"/>
        </w:rPr>
        <w:t>τὸ</w:t>
      </w:r>
      <w:proofErr w:type="spellEnd"/>
      <w:r w:rsidRPr="00E37E8B">
        <w:rPr>
          <w:i/>
          <w:iCs/>
          <w:sz w:val="22"/>
          <w:szCs w:val="22"/>
          <w:lang w:val="en-US"/>
        </w:rPr>
        <w:t xml:space="preserve"> </w:t>
      </w:r>
      <w:proofErr w:type="spellStart"/>
      <w:r w:rsidRPr="00E37E8B">
        <w:rPr>
          <w:i/>
          <w:iCs/>
          <w:sz w:val="22"/>
          <w:szCs w:val="22"/>
          <w:lang w:val="en-US"/>
        </w:rPr>
        <w:t>εὐαγγέλιον</w:t>
      </w:r>
      <w:proofErr w:type="spellEnd"/>
      <w:r w:rsidRPr="00E37E8B">
        <w:rPr>
          <w:i/>
          <w:iCs/>
          <w:sz w:val="22"/>
          <w:szCs w:val="22"/>
          <w:lang w:val="en-US"/>
        </w:rPr>
        <w:t xml:space="preserve"> </w:t>
      </w:r>
      <w:proofErr w:type="spellStart"/>
      <w:r w:rsidRPr="00E37E8B">
        <w:rPr>
          <w:i/>
          <w:iCs/>
          <w:sz w:val="22"/>
          <w:szCs w:val="22"/>
          <w:lang w:val="en-US"/>
        </w:rPr>
        <w:t>τοῦ</w:t>
      </w:r>
      <w:proofErr w:type="spellEnd"/>
      <w:r w:rsidRPr="00E37E8B">
        <w:rPr>
          <w:i/>
          <w:iCs/>
          <w:sz w:val="22"/>
          <w:szCs w:val="22"/>
          <w:lang w:val="en-US"/>
        </w:rPr>
        <w:t xml:space="preserve"> </w:t>
      </w:r>
      <w:proofErr w:type="spellStart"/>
      <w:r w:rsidRPr="00E37E8B">
        <w:rPr>
          <w:i/>
          <w:iCs/>
          <w:sz w:val="22"/>
          <w:szCs w:val="22"/>
          <w:lang w:val="en-US"/>
        </w:rPr>
        <w:t>Χριστοῦ</w:t>
      </w:r>
      <w:proofErr w:type="spellEnd"/>
      <w:r w:rsidRPr="00E37E8B">
        <w:rPr>
          <w:i/>
          <w:iCs/>
          <w:sz w:val="22"/>
          <w:szCs w:val="22"/>
          <w:lang w:val="en-US"/>
        </w:rPr>
        <w:t xml:space="preserve"> –</w:t>
      </w:r>
      <w:r w:rsidRPr="00E37E8B">
        <w:rPr>
          <w:sz w:val="22"/>
          <w:szCs w:val="22"/>
          <w:lang w:val="en-US"/>
        </w:rPr>
        <w:t xml:space="preserve"> </w:t>
      </w:r>
      <w:r w:rsidRPr="00E37E8B">
        <w:rPr>
          <w:i/>
          <w:iCs/>
          <w:sz w:val="22"/>
          <w:szCs w:val="22"/>
          <w:lang w:val="en-US"/>
        </w:rPr>
        <w:t>Rom</w:t>
      </w:r>
      <w:r w:rsidRPr="00E37E8B">
        <w:rPr>
          <w:sz w:val="22"/>
          <w:szCs w:val="22"/>
          <w:lang w:val="en-US"/>
        </w:rPr>
        <w:t xml:space="preserve"> 15:19). His focus now lies in visiting Spain, the edge of the Western world, where he would face new challenges and the conditions were unfamiliar to him: Latin was the prevalent language and there were rather small numbers of Jews and Synagogues in the context of which to begin his preaching. His primary goal is to lead the entirety of the nations to the new faith, as he firmly believes that this is the fulfillment of Isaiah’s prophecy (</w:t>
      </w:r>
      <w:r w:rsidRPr="00E37E8B">
        <w:rPr>
          <w:i/>
          <w:iCs/>
          <w:sz w:val="22"/>
          <w:szCs w:val="22"/>
          <w:lang w:val="en-US"/>
        </w:rPr>
        <w:t>Is</w:t>
      </w:r>
      <w:r w:rsidRPr="00E37E8B">
        <w:rPr>
          <w:sz w:val="22"/>
          <w:szCs w:val="22"/>
          <w:lang w:val="en-US"/>
        </w:rPr>
        <w:t xml:space="preserve"> 66:19-20, cf. </w:t>
      </w:r>
      <w:r w:rsidRPr="00E37E8B">
        <w:rPr>
          <w:i/>
          <w:iCs/>
          <w:sz w:val="22"/>
          <w:szCs w:val="22"/>
          <w:lang w:val="en-US"/>
        </w:rPr>
        <w:t>Rom</w:t>
      </w:r>
      <w:r w:rsidRPr="00E37E8B">
        <w:rPr>
          <w:sz w:val="22"/>
          <w:szCs w:val="22"/>
          <w:lang w:val="en-US"/>
        </w:rPr>
        <w:t xml:space="preserve"> 15:18). </w:t>
      </w:r>
      <w:r w:rsidRPr="00E37E8B">
        <w:rPr>
          <w:i/>
          <w:iCs/>
          <w:sz w:val="22"/>
          <w:szCs w:val="22"/>
          <w:lang w:val="en-US"/>
        </w:rPr>
        <w:t>Romans</w:t>
      </w:r>
      <w:r w:rsidRPr="00E37E8B">
        <w:rPr>
          <w:sz w:val="22"/>
          <w:szCs w:val="22"/>
          <w:lang w:val="en-US"/>
        </w:rPr>
        <w:t xml:space="preserve"> is his attempt to secure the confidence of the epistle’s recipients (belonging in a Church which Paul probably did not found), as well as create the conditions that would facilitate his arrival in Rome and his journey to Spain.</w:t>
      </w:r>
    </w:p>
    <w:p w:rsidR="00066B22" w:rsidRPr="00E37E8B" w:rsidRDefault="00066B22" w:rsidP="00F974F1">
      <w:pPr>
        <w:tabs>
          <w:tab w:val="left" w:pos="284"/>
        </w:tabs>
        <w:rPr>
          <w:sz w:val="22"/>
          <w:szCs w:val="22"/>
        </w:rPr>
      </w:pPr>
      <w:r w:rsidRPr="00E37E8B">
        <w:rPr>
          <w:b/>
          <w:bCs/>
          <w:sz w:val="22"/>
          <w:szCs w:val="22"/>
          <w:lang w:val="en-US"/>
        </w:rPr>
        <w:t xml:space="preserve">(c) </w:t>
      </w:r>
      <w:r w:rsidRPr="00E37E8B">
        <w:rPr>
          <w:sz w:val="22"/>
          <w:szCs w:val="22"/>
          <w:lang w:val="en-US"/>
        </w:rPr>
        <w:t>As “</w:t>
      </w:r>
      <w:proofErr w:type="spellStart"/>
      <w:r w:rsidRPr="00E37E8B">
        <w:rPr>
          <w:sz w:val="22"/>
          <w:szCs w:val="22"/>
          <w:lang w:val="en-US"/>
        </w:rPr>
        <w:t>λειτουργὸς</w:t>
      </w:r>
      <w:proofErr w:type="spellEnd"/>
      <w:r w:rsidRPr="00E37E8B">
        <w:rPr>
          <w:sz w:val="22"/>
          <w:szCs w:val="22"/>
          <w:lang w:val="en-US"/>
        </w:rPr>
        <w:t xml:space="preserve"> </w:t>
      </w:r>
      <w:proofErr w:type="spellStart"/>
      <w:r w:rsidRPr="00E37E8B">
        <w:rPr>
          <w:sz w:val="22"/>
          <w:szCs w:val="22"/>
          <w:lang w:val="en-US"/>
        </w:rPr>
        <w:t>Χριστοῦ</w:t>
      </w:r>
      <w:proofErr w:type="spellEnd"/>
      <w:r w:rsidRPr="00E37E8B">
        <w:rPr>
          <w:sz w:val="22"/>
          <w:szCs w:val="22"/>
          <w:lang w:val="en-US"/>
        </w:rPr>
        <w:t xml:space="preserve"> </w:t>
      </w:r>
      <w:proofErr w:type="spellStart"/>
      <w:r w:rsidRPr="00E37E8B">
        <w:rPr>
          <w:sz w:val="22"/>
          <w:szCs w:val="22"/>
          <w:lang w:val="en-US"/>
        </w:rPr>
        <w:t>Ἰησοῦ</w:t>
      </w:r>
      <w:proofErr w:type="spellEnd"/>
      <w:r w:rsidRPr="00E37E8B">
        <w:rPr>
          <w:sz w:val="22"/>
          <w:szCs w:val="22"/>
          <w:lang w:val="en-US"/>
        </w:rPr>
        <w:t>”, Paul must have had serious doubts if his offering of reconciliation and peace would be accepted by Jewish Christians, as well as if the “</w:t>
      </w:r>
      <w:proofErr w:type="spellStart"/>
      <w:r w:rsidRPr="00E37E8B">
        <w:rPr>
          <w:sz w:val="22"/>
          <w:szCs w:val="22"/>
          <w:lang w:val="en-US"/>
        </w:rPr>
        <w:t>προσφορὰ</w:t>
      </w:r>
      <w:proofErr w:type="spellEnd"/>
      <w:r w:rsidRPr="00E37E8B">
        <w:rPr>
          <w:sz w:val="22"/>
          <w:szCs w:val="22"/>
          <w:lang w:val="en-US"/>
        </w:rPr>
        <w:t xml:space="preserve"> </w:t>
      </w:r>
      <w:proofErr w:type="spellStart"/>
      <w:r w:rsidRPr="00E37E8B">
        <w:rPr>
          <w:sz w:val="22"/>
          <w:szCs w:val="22"/>
          <w:lang w:val="en-US"/>
        </w:rPr>
        <w:t>τῶν</w:t>
      </w:r>
      <w:proofErr w:type="spellEnd"/>
      <w:r w:rsidRPr="00E37E8B">
        <w:rPr>
          <w:sz w:val="22"/>
          <w:szCs w:val="22"/>
          <w:lang w:val="en-US"/>
        </w:rPr>
        <w:t xml:space="preserve"> </w:t>
      </w:r>
      <w:proofErr w:type="spellStart"/>
      <w:r w:rsidRPr="00E37E8B">
        <w:rPr>
          <w:sz w:val="22"/>
          <w:szCs w:val="22"/>
          <w:lang w:val="en-US"/>
        </w:rPr>
        <w:t>ἐθνῶν</w:t>
      </w:r>
      <w:proofErr w:type="spellEnd"/>
      <w:r w:rsidRPr="00E37E8B">
        <w:rPr>
          <w:sz w:val="22"/>
          <w:szCs w:val="22"/>
          <w:lang w:val="en-US"/>
        </w:rPr>
        <w:t>” to “Mother Zion” and its Saints would convince his epistle’s</w:t>
      </w:r>
      <w:r w:rsidR="00F974F1">
        <w:rPr>
          <w:sz w:val="22"/>
          <w:szCs w:val="22"/>
          <w:lang w:val="en-US"/>
        </w:rPr>
        <w:t xml:space="preserve"> recipients. He is endeavoring</w:t>
      </w:r>
      <w:r w:rsidRPr="00E37E8B">
        <w:rPr>
          <w:sz w:val="22"/>
          <w:szCs w:val="22"/>
          <w:lang w:val="en-US"/>
        </w:rPr>
        <w:t xml:space="preserve"> to deconstruct the image he has built and preceded him – at least in the large Jewish community of Rome.</w:t>
      </w:r>
    </w:p>
    <w:p w:rsidR="00066B22" w:rsidRPr="00E37E8B" w:rsidRDefault="00066B22" w:rsidP="00066B22">
      <w:pPr>
        <w:tabs>
          <w:tab w:val="left" w:pos="284"/>
        </w:tabs>
        <w:rPr>
          <w:sz w:val="22"/>
          <w:szCs w:val="22"/>
          <w:lang w:val="en-US"/>
        </w:rPr>
      </w:pPr>
      <w:r w:rsidRPr="00E37E8B">
        <w:rPr>
          <w:sz w:val="22"/>
          <w:szCs w:val="22"/>
          <w:lang w:val="en-US"/>
        </w:rPr>
        <w:t>As discussed in the summary of the project, the study of Romans is intertwined with important theological and social issues in the history of Christianity as well as the formation of Western thought (e.g. important thinkers as Augustine and Luther). Of key importance, however, is Karl Barth’s commentary, which was published in the 20</w:t>
      </w:r>
      <w:r w:rsidRPr="00E37E8B">
        <w:rPr>
          <w:sz w:val="22"/>
          <w:szCs w:val="22"/>
          <w:vertAlign w:val="superscript"/>
          <w:lang w:val="en-US"/>
        </w:rPr>
        <w:t>th</w:t>
      </w:r>
      <w:r w:rsidRPr="00E37E8B">
        <w:rPr>
          <w:sz w:val="22"/>
          <w:szCs w:val="22"/>
          <w:lang w:val="en-US"/>
        </w:rPr>
        <w:t xml:space="preserve"> century and had a lasting influence in Theology and Philosophy </w:t>
      </w:r>
      <w:bookmarkStart w:id="6" w:name="__Fieldmark__106_1129172694"/>
      <w:r w:rsidR="00541A92" w:rsidRPr="00E37E8B">
        <w:rPr>
          <w:sz w:val="22"/>
          <w:szCs w:val="22"/>
        </w:rPr>
        <w:fldChar w:fldCharType="begin"/>
      </w:r>
      <w:r w:rsidRPr="00E37E8B">
        <w:rPr>
          <w:sz w:val="22"/>
          <w:szCs w:val="22"/>
        </w:rPr>
        <w:instrText>ADDIN BEC{Greenman and Larsen, 2005, #55047}{Cremer, 1995, #77202}</w:instrText>
      </w:r>
      <w:r w:rsidR="00541A92" w:rsidRPr="00E37E8B">
        <w:rPr>
          <w:sz w:val="22"/>
          <w:szCs w:val="22"/>
        </w:rPr>
        <w:fldChar w:fldCharType="separate"/>
      </w:r>
      <w:r w:rsidRPr="00E37E8B">
        <w:rPr>
          <w:sz w:val="22"/>
          <w:szCs w:val="22"/>
        </w:rPr>
        <w:t>(Greenman &amp; Larsen, 2005; Cremer, 1995)</w:t>
      </w:r>
      <w:r w:rsidR="00541A92" w:rsidRPr="00E37E8B">
        <w:rPr>
          <w:sz w:val="22"/>
          <w:szCs w:val="22"/>
        </w:rPr>
        <w:fldChar w:fldCharType="end"/>
      </w:r>
      <w:bookmarkEnd w:id="6"/>
      <w:r w:rsidRPr="00E37E8B">
        <w:rPr>
          <w:sz w:val="22"/>
          <w:szCs w:val="22"/>
          <w:lang w:val="en-US"/>
        </w:rPr>
        <w:t xml:space="preserve">. It should be added that the Greek translation of his work appeared only recently </w:t>
      </w:r>
      <w:bookmarkStart w:id="7" w:name="__Fieldmark__111_1129172694"/>
      <w:r w:rsidR="00541A92" w:rsidRPr="00E37E8B">
        <w:rPr>
          <w:sz w:val="22"/>
          <w:szCs w:val="22"/>
        </w:rPr>
        <w:fldChar w:fldCharType="begin"/>
      </w:r>
      <w:r w:rsidRPr="00E37E8B">
        <w:rPr>
          <w:sz w:val="22"/>
          <w:szCs w:val="22"/>
        </w:rPr>
        <w:instrText>ADDIN BEC{Barth, 2015, #25367}</w:instrText>
      </w:r>
      <w:r w:rsidR="00541A92" w:rsidRPr="00E37E8B">
        <w:rPr>
          <w:sz w:val="22"/>
          <w:szCs w:val="22"/>
        </w:rPr>
        <w:fldChar w:fldCharType="separate"/>
      </w:r>
      <w:r w:rsidRPr="00E37E8B">
        <w:rPr>
          <w:sz w:val="22"/>
          <w:szCs w:val="22"/>
        </w:rPr>
        <w:t>(Barth, 2015)</w:t>
      </w:r>
      <w:r w:rsidR="00541A92" w:rsidRPr="00E37E8B">
        <w:rPr>
          <w:sz w:val="22"/>
          <w:szCs w:val="22"/>
        </w:rPr>
        <w:fldChar w:fldCharType="end"/>
      </w:r>
      <w:bookmarkEnd w:id="7"/>
      <w:r w:rsidRPr="00E37E8B">
        <w:rPr>
          <w:sz w:val="22"/>
          <w:szCs w:val="22"/>
          <w:lang w:val="en-US"/>
        </w:rPr>
        <w:t xml:space="preserve">, in an era of crisis and radical changes, as evidenced by the </w:t>
      </w:r>
      <w:r w:rsidRPr="00E37E8B">
        <w:rPr>
          <w:i/>
          <w:iCs/>
          <w:sz w:val="22"/>
          <w:szCs w:val="22"/>
          <w:lang w:val="en-US"/>
        </w:rPr>
        <w:t>Bulletin of Biblical Studies</w:t>
      </w:r>
      <w:r w:rsidRPr="00E37E8B">
        <w:rPr>
          <w:sz w:val="22"/>
          <w:szCs w:val="22"/>
          <w:lang w:val="en-US"/>
        </w:rPr>
        <w:t xml:space="preserve"> (vol. 31). A series of research articles appeared </w:t>
      </w:r>
      <w:bookmarkStart w:id="8" w:name="__Fieldmark__116_1129172694"/>
      <w:r w:rsidR="00541A92" w:rsidRPr="00E37E8B">
        <w:rPr>
          <w:sz w:val="22"/>
          <w:szCs w:val="22"/>
        </w:rPr>
        <w:fldChar w:fldCharType="begin"/>
      </w:r>
      <w:r w:rsidRPr="00E37E8B">
        <w:rPr>
          <w:sz w:val="22"/>
          <w:szCs w:val="22"/>
        </w:rPr>
        <w:instrText>ADDIN BEC{Bathrellos, 2016, #22489}</w:instrText>
      </w:r>
      <w:r w:rsidR="00541A92" w:rsidRPr="00E37E8B">
        <w:rPr>
          <w:sz w:val="22"/>
          <w:szCs w:val="22"/>
        </w:rPr>
        <w:fldChar w:fldCharType="separate"/>
      </w:r>
      <w:r w:rsidRPr="00E37E8B">
        <w:rPr>
          <w:sz w:val="22"/>
          <w:szCs w:val="22"/>
        </w:rPr>
        <w:t>(Bathrellos, 2016)</w:t>
      </w:r>
      <w:r w:rsidR="00541A92" w:rsidRPr="00E37E8B">
        <w:rPr>
          <w:sz w:val="22"/>
          <w:szCs w:val="22"/>
        </w:rPr>
        <w:fldChar w:fldCharType="end"/>
      </w:r>
      <w:bookmarkEnd w:id="8"/>
      <w:r w:rsidRPr="00E37E8B">
        <w:rPr>
          <w:sz w:val="22"/>
          <w:szCs w:val="22"/>
          <w:lang w:val="en-US"/>
        </w:rPr>
        <w:t xml:space="preserve">, which can be utilized in the context of a wider debate on the role of Theology in culture. The proposed research project on </w:t>
      </w:r>
      <w:r w:rsidRPr="00E37E8B">
        <w:rPr>
          <w:i/>
          <w:iCs/>
          <w:sz w:val="22"/>
          <w:szCs w:val="22"/>
          <w:lang w:val="en-US"/>
        </w:rPr>
        <w:t>Romans</w:t>
      </w:r>
      <w:r w:rsidRPr="00E37E8B">
        <w:rPr>
          <w:sz w:val="22"/>
          <w:szCs w:val="22"/>
          <w:lang w:val="en-US"/>
        </w:rPr>
        <w:t xml:space="preserve"> aims in incorporating such views, so as to offer an interdisciplinary approach and move beyond the confines of a strictly hermeneutical methodology. Moreover, such approaches (e.g. Biblical Studies and Postmodernism) have appeared in prominent academic journals and monographs, but, in some cases, disregard the textual and social context of the original text. Key areas that are expected to be addressed in this research are the notion of the “chosen nation” and its pertinent ideologies, and the interaction of identities in public space. Such issues have a direct social impact not only in Greek society, but internationally, as they discuss issues brought forth by various fields: ecology, social gender, sexuality, political authority, antisemitism, and prevailing ideologies. </w:t>
      </w:r>
    </w:p>
    <w:p w:rsidR="00066B22" w:rsidRPr="00E37E8B" w:rsidRDefault="00066B22" w:rsidP="00066B22">
      <w:pPr>
        <w:tabs>
          <w:tab w:val="left" w:pos="284"/>
        </w:tabs>
        <w:rPr>
          <w:sz w:val="22"/>
          <w:szCs w:val="22"/>
        </w:rPr>
      </w:pPr>
    </w:p>
    <w:p w:rsidR="00066B22" w:rsidRPr="00E37E8B" w:rsidRDefault="00066B22" w:rsidP="00066B22">
      <w:pPr>
        <w:pStyle w:val="2"/>
        <w:rPr>
          <w:sz w:val="22"/>
          <w:szCs w:val="22"/>
        </w:rPr>
      </w:pPr>
      <w:bookmarkStart w:id="9" w:name="_Toc696784e3"/>
      <w:r w:rsidRPr="00E37E8B">
        <w:rPr>
          <w:sz w:val="22"/>
          <w:szCs w:val="22"/>
        </w:rPr>
        <w:t>Current research on Romans and the differentiation of the proposed project</w:t>
      </w:r>
      <w:bookmarkEnd w:id="9"/>
    </w:p>
    <w:p w:rsidR="00066B22" w:rsidRPr="00E37E8B" w:rsidRDefault="00066B22" w:rsidP="00066B22">
      <w:pPr>
        <w:tabs>
          <w:tab w:val="left" w:pos="284"/>
        </w:tabs>
        <w:rPr>
          <w:sz w:val="22"/>
          <w:szCs w:val="22"/>
        </w:rPr>
      </w:pPr>
      <w:r w:rsidRPr="00E37E8B">
        <w:rPr>
          <w:sz w:val="22"/>
          <w:szCs w:val="22"/>
          <w:lang w:val="en-US"/>
        </w:rPr>
        <w:t xml:space="preserve">It is widely known that the </w:t>
      </w:r>
      <w:r w:rsidRPr="00E37E8B">
        <w:rPr>
          <w:i/>
          <w:iCs/>
          <w:sz w:val="22"/>
          <w:szCs w:val="22"/>
          <w:lang w:val="en-US"/>
        </w:rPr>
        <w:t>New Perspective on Pauline Theology</w:t>
      </w:r>
      <w:r w:rsidRPr="00E37E8B">
        <w:rPr>
          <w:sz w:val="22"/>
          <w:szCs w:val="22"/>
          <w:lang w:val="en-US"/>
        </w:rPr>
        <w:t xml:space="preserve"> (K. </w:t>
      </w:r>
      <w:proofErr w:type="spellStart"/>
      <w:r w:rsidRPr="00E37E8B">
        <w:rPr>
          <w:sz w:val="22"/>
          <w:szCs w:val="22"/>
          <w:lang w:val="en-US"/>
        </w:rPr>
        <w:t>Stendahl</w:t>
      </w:r>
      <w:proofErr w:type="spellEnd"/>
      <w:r w:rsidRPr="00E37E8B">
        <w:rPr>
          <w:sz w:val="22"/>
          <w:szCs w:val="22"/>
          <w:lang w:val="en-US"/>
        </w:rPr>
        <w:t xml:space="preserve">, Ε.-P. Sanders, J. Dunn) has offered a new view on the intertestamental Judaism; stances that were established (e.g. neo-Lutheran hermeneutics and R. </w:t>
      </w:r>
      <w:proofErr w:type="spellStart"/>
      <w:r w:rsidRPr="00E37E8B">
        <w:rPr>
          <w:sz w:val="22"/>
          <w:szCs w:val="22"/>
          <w:lang w:val="en-US"/>
        </w:rPr>
        <w:t>Bultmann</w:t>
      </w:r>
      <w:proofErr w:type="spellEnd"/>
      <w:r w:rsidRPr="00E37E8B">
        <w:rPr>
          <w:sz w:val="22"/>
          <w:szCs w:val="22"/>
          <w:lang w:val="en-US"/>
        </w:rPr>
        <w:t xml:space="preserve">) and considered Judaism solely as a legalistic religion, are now reconsidered. Augustine’s and Luther’s interpretations of Paul’s teachings on salvation are considered hermeneutically misguided; new research on the Jewish context of Paul’s theology sheds light on this problem </w:t>
      </w:r>
      <w:bookmarkStart w:id="10" w:name="__Fieldmark__129_1129172694"/>
      <w:r w:rsidR="00541A92" w:rsidRPr="00E37E8B">
        <w:rPr>
          <w:sz w:val="22"/>
          <w:szCs w:val="22"/>
        </w:rPr>
        <w:fldChar w:fldCharType="begin"/>
      </w:r>
      <w:r w:rsidRPr="00E37E8B">
        <w:rPr>
          <w:sz w:val="22"/>
          <w:szCs w:val="22"/>
        </w:rPr>
        <w:instrText>ADDIN BEC{Atmatzides, 2007, #96165}</w:instrText>
      </w:r>
      <w:r w:rsidR="00541A92" w:rsidRPr="00E37E8B">
        <w:rPr>
          <w:sz w:val="22"/>
          <w:szCs w:val="22"/>
        </w:rPr>
        <w:fldChar w:fldCharType="separate"/>
      </w:r>
      <w:r w:rsidRPr="00E37E8B">
        <w:rPr>
          <w:sz w:val="22"/>
          <w:szCs w:val="22"/>
        </w:rPr>
        <w:t>(Atmatzides, 2007)</w:t>
      </w:r>
      <w:r w:rsidR="00541A92" w:rsidRPr="00E37E8B">
        <w:rPr>
          <w:sz w:val="22"/>
          <w:szCs w:val="22"/>
        </w:rPr>
        <w:fldChar w:fldCharType="end"/>
      </w:r>
      <w:bookmarkEnd w:id="10"/>
      <w:r w:rsidRPr="00E37E8B">
        <w:rPr>
          <w:sz w:val="22"/>
          <w:szCs w:val="22"/>
        </w:rPr>
        <w:t>.</w:t>
      </w:r>
      <w:r w:rsidRPr="00E37E8B">
        <w:rPr>
          <w:sz w:val="22"/>
          <w:szCs w:val="22"/>
          <w:lang w:val="en-US"/>
        </w:rPr>
        <w:t xml:space="preserve"> Of special interest is Paul’s polemics against the deification of Caesar – an ideology heavily advocated by Rome.</w:t>
      </w:r>
    </w:p>
    <w:p w:rsidR="00066B22" w:rsidRPr="00E37E8B" w:rsidRDefault="00066B22" w:rsidP="00066B22">
      <w:pPr>
        <w:tabs>
          <w:tab w:val="left" w:pos="284"/>
        </w:tabs>
        <w:rPr>
          <w:sz w:val="22"/>
          <w:szCs w:val="22"/>
        </w:rPr>
      </w:pPr>
      <w:r w:rsidRPr="00E37E8B">
        <w:rPr>
          <w:sz w:val="22"/>
          <w:szCs w:val="22"/>
          <w:lang w:val="en-US"/>
        </w:rPr>
        <w:t xml:space="preserve">At the same time, contemporary biblical research moves away from solely employing historical/critical methods </w:t>
      </w:r>
      <w:bookmarkStart w:id="11" w:name="__Fieldmark__136_1129172694"/>
      <w:r w:rsidR="00541A92" w:rsidRPr="00E37E8B">
        <w:rPr>
          <w:sz w:val="22"/>
          <w:szCs w:val="22"/>
        </w:rPr>
        <w:fldChar w:fldCharType="begin"/>
      </w:r>
      <w:r w:rsidRPr="00E37E8B">
        <w:rPr>
          <w:sz w:val="22"/>
          <w:szCs w:val="22"/>
        </w:rPr>
        <w:instrText>ADDIN BEC{Despotis, 2009, #11688}</w:instrText>
      </w:r>
      <w:r w:rsidR="00541A92" w:rsidRPr="00E37E8B">
        <w:rPr>
          <w:sz w:val="22"/>
          <w:szCs w:val="22"/>
        </w:rPr>
        <w:fldChar w:fldCharType="separate"/>
      </w:r>
      <w:r w:rsidRPr="00E37E8B">
        <w:rPr>
          <w:sz w:val="22"/>
          <w:szCs w:val="22"/>
        </w:rPr>
        <w:t>(Despotis, 2009)</w:t>
      </w:r>
      <w:r w:rsidR="00541A92" w:rsidRPr="00E37E8B">
        <w:rPr>
          <w:sz w:val="22"/>
          <w:szCs w:val="22"/>
        </w:rPr>
        <w:fldChar w:fldCharType="end"/>
      </w:r>
      <w:bookmarkEnd w:id="11"/>
      <w:r w:rsidRPr="00E37E8B">
        <w:rPr>
          <w:sz w:val="22"/>
          <w:szCs w:val="22"/>
        </w:rPr>
        <w:t>,</w:t>
      </w:r>
      <w:r w:rsidRPr="00E37E8B">
        <w:rPr>
          <w:sz w:val="22"/>
          <w:szCs w:val="22"/>
          <w:lang w:val="en-US"/>
        </w:rPr>
        <w:t xml:space="preserve"> and reassesses early Christian hermeneutics (especially that of Origen and J. </w:t>
      </w:r>
      <w:proofErr w:type="spellStart"/>
      <w:r w:rsidRPr="00E37E8B">
        <w:rPr>
          <w:sz w:val="22"/>
          <w:szCs w:val="22"/>
          <w:lang w:val="en-US"/>
        </w:rPr>
        <w:t>Chrysostomus</w:t>
      </w:r>
      <w:proofErr w:type="spellEnd"/>
      <w:r w:rsidRPr="00E37E8B">
        <w:rPr>
          <w:sz w:val="22"/>
          <w:szCs w:val="22"/>
          <w:lang w:val="en-US"/>
        </w:rPr>
        <w:t xml:space="preserve">). Aside from the pivotal role they had in the formation of Christianity, these early writers had studied philosophy, rhetoric and experienced Pauline teachings in their Eucharistic and Ascetic aspects. Moreover, their contribution is important as they lived in cradles of Early Christianity, e.g. Antioch. </w:t>
      </w:r>
    </w:p>
    <w:p w:rsidR="00066B22" w:rsidRPr="00E37E8B" w:rsidRDefault="00066B22" w:rsidP="00066B22">
      <w:pPr>
        <w:tabs>
          <w:tab w:val="left" w:pos="284"/>
        </w:tabs>
        <w:rPr>
          <w:sz w:val="22"/>
          <w:szCs w:val="22"/>
        </w:rPr>
      </w:pPr>
      <w:r w:rsidRPr="00E37E8B">
        <w:rPr>
          <w:sz w:val="22"/>
          <w:szCs w:val="22"/>
          <w:lang w:val="en-US"/>
        </w:rPr>
        <w:lastRenderedPageBreak/>
        <w:t xml:space="preserve">The absence of a contemporary commentary on Romans is evident in Greece, as there is no comprehensive study which deals with the rich hermeneutical tradition of East and West, and incorporates the recent trends of the New Pauline Perspective. Although important monographs dealing with specific excerpts of </w:t>
      </w:r>
      <w:r w:rsidRPr="00E37E8B">
        <w:rPr>
          <w:i/>
          <w:iCs/>
          <w:sz w:val="22"/>
          <w:szCs w:val="22"/>
          <w:lang w:val="en-US"/>
        </w:rPr>
        <w:t>Romans</w:t>
      </w:r>
      <w:r w:rsidRPr="00E37E8B">
        <w:rPr>
          <w:sz w:val="22"/>
          <w:szCs w:val="22"/>
          <w:lang w:val="en-US"/>
        </w:rPr>
        <w:t xml:space="preserve"> </w:t>
      </w:r>
      <w:bookmarkStart w:id="12" w:name="__Fieldmark__145_1129172694"/>
      <w:r w:rsidR="00541A92" w:rsidRPr="00E37E8B">
        <w:rPr>
          <w:sz w:val="22"/>
          <w:szCs w:val="22"/>
        </w:rPr>
        <w:fldChar w:fldCharType="begin"/>
      </w:r>
      <w:r w:rsidRPr="00E37E8B">
        <w:rPr>
          <w:sz w:val="22"/>
          <w:szCs w:val="22"/>
        </w:rPr>
        <w:instrText>ADDIN BEC{Khalil, 2004, #42591}{Karakolis, 2004, #55818}{Lampousi, 2003, #29772}{Mpouras, 2005, #2400}</w:instrText>
      </w:r>
      <w:r w:rsidR="00541A92" w:rsidRPr="00E37E8B">
        <w:rPr>
          <w:sz w:val="22"/>
          <w:szCs w:val="22"/>
        </w:rPr>
        <w:fldChar w:fldCharType="separate"/>
      </w:r>
      <w:r w:rsidRPr="00E37E8B">
        <w:rPr>
          <w:sz w:val="22"/>
          <w:szCs w:val="22"/>
        </w:rPr>
        <w:t>(Khalil, 2004; Karakolis, 2004; Lampousi, 2003; Mpouras, 2005)</w:t>
      </w:r>
      <w:r w:rsidR="00541A92" w:rsidRPr="00E37E8B">
        <w:rPr>
          <w:sz w:val="22"/>
          <w:szCs w:val="22"/>
        </w:rPr>
        <w:fldChar w:fldCharType="end"/>
      </w:r>
      <w:bookmarkEnd w:id="12"/>
      <w:r w:rsidRPr="00E37E8B">
        <w:rPr>
          <w:sz w:val="22"/>
          <w:szCs w:val="22"/>
          <w:lang w:val="en-US"/>
        </w:rPr>
        <w:t xml:space="preserve"> have been published, and papers discussing the relation of the New Pauline Perspective to the hermeneutical tradition of the East have been presented </w:t>
      </w:r>
      <w:bookmarkStart w:id="13" w:name="__Fieldmark__150_1129172694"/>
      <w:r w:rsidR="00541A92" w:rsidRPr="00E37E8B">
        <w:rPr>
          <w:sz w:val="22"/>
          <w:szCs w:val="22"/>
        </w:rPr>
        <w:fldChar w:fldCharType="begin"/>
      </w:r>
      <w:r w:rsidRPr="00E37E8B">
        <w:rPr>
          <w:sz w:val="22"/>
          <w:szCs w:val="22"/>
        </w:rPr>
        <w:instrText>ADDIN BEC{Despotis, 2014, #33935; Despotis, 2017, #42790}</w:instrText>
      </w:r>
      <w:r w:rsidR="00541A92" w:rsidRPr="00E37E8B">
        <w:rPr>
          <w:sz w:val="22"/>
          <w:szCs w:val="22"/>
        </w:rPr>
        <w:fldChar w:fldCharType="separate"/>
      </w:r>
      <w:r w:rsidRPr="00E37E8B">
        <w:rPr>
          <w:sz w:val="22"/>
          <w:szCs w:val="22"/>
        </w:rPr>
        <w:t>(Despotis, 2014; Despotis, 2017)</w:t>
      </w:r>
      <w:r w:rsidR="00541A92" w:rsidRPr="00E37E8B">
        <w:rPr>
          <w:sz w:val="22"/>
          <w:szCs w:val="22"/>
        </w:rPr>
        <w:fldChar w:fldCharType="end"/>
      </w:r>
      <w:bookmarkEnd w:id="13"/>
      <w:r w:rsidRPr="00E37E8B">
        <w:rPr>
          <w:sz w:val="22"/>
          <w:szCs w:val="22"/>
        </w:rPr>
        <w:t>,</w:t>
      </w:r>
      <w:r w:rsidRPr="00E37E8B">
        <w:rPr>
          <w:sz w:val="22"/>
          <w:szCs w:val="22"/>
          <w:lang w:val="en-US"/>
        </w:rPr>
        <w:t xml:space="preserve"> there has been no attempt to systematically produce a commentary both in Greece and internationally. A characteristic example is the commentary of V. </w:t>
      </w:r>
      <w:proofErr w:type="spellStart"/>
      <w:r w:rsidRPr="00E37E8B">
        <w:rPr>
          <w:sz w:val="22"/>
          <w:szCs w:val="22"/>
          <w:lang w:val="en-US"/>
        </w:rPr>
        <w:t>Tsakonas</w:t>
      </w:r>
      <w:proofErr w:type="spellEnd"/>
      <w:r w:rsidRPr="00E37E8B">
        <w:rPr>
          <w:sz w:val="22"/>
          <w:szCs w:val="22"/>
          <w:lang w:val="en-US"/>
        </w:rPr>
        <w:t xml:space="preserve"> on </w:t>
      </w:r>
      <w:r w:rsidRPr="00E37E8B">
        <w:rPr>
          <w:i/>
          <w:iCs/>
          <w:sz w:val="22"/>
          <w:szCs w:val="22"/>
          <w:lang w:val="en-US"/>
        </w:rPr>
        <w:t>Romans</w:t>
      </w:r>
      <w:r w:rsidRPr="00E37E8B">
        <w:rPr>
          <w:sz w:val="22"/>
          <w:szCs w:val="22"/>
          <w:lang w:val="en-US"/>
        </w:rPr>
        <w:t xml:space="preserve">, which was published in 1993; it only discusses the first three chapters and its bibliography is outdated. Likewise, the commentary by </w:t>
      </w:r>
      <w:proofErr w:type="spellStart"/>
      <w:r w:rsidRPr="00E37E8B">
        <w:rPr>
          <w:sz w:val="22"/>
          <w:szCs w:val="22"/>
          <w:lang w:val="en-US"/>
        </w:rPr>
        <w:t>Voulgaris</w:t>
      </w:r>
      <w:proofErr w:type="spellEnd"/>
      <w:r w:rsidRPr="00E37E8B">
        <w:rPr>
          <w:sz w:val="22"/>
          <w:szCs w:val="22"/>
          <w:lang w:val="en-US"/>
        </w:rPr>
        <w:t xml:space="preserve"> </w:t>
      </w:r>
      <w:bookmarkStart w:id="14" w:name="__Fieldmark__157_1129172694"/>
      <w:r w:rsidR="00541A92" w:rsidRPr="00E37E8B">
        <w:rPr>
          <w:sz w:val="22"/>
          <w:szCs w:val="22"/>
        </w:rPr>
        <w:fldChar w:fldCharType="begin"/>
      </w:r>
      <w:r w:rsidRPr="00E37E8B">
        <w:rPr>
          <w:sz w:val="22"/>
          <w:szCs w:val="22"/>
        </w:rPr>
        <w:instrText>ADDIN BEC{Voulgaris, 2015, #89195}</w:instrText>
      </w:r>
      <w:r w:rsidR="00541A92" w:rsidRPr="00E37E8B">
        <w:rPr>
          <w:sz w:val="22"/>
          <w:szCs w:val="22"/>
        </w:rPr>
        <w:fldChar w:fldCharType="separate"/>
      </w:r>
      <w:r w:rsidRPr="00E37E8B">
        <w:rPr>
          <w:sz w:val="22"/>
          <w:szCs w:val="22"/>
        </w:rPr>
        <w:t>(Voulgaris, 2015)</w:t>
      </w:r>
      <w:r w:rsidR="00541A92" w:rsidRPr="00E37E8B">
        <w:rPr>
          <w:sz w:val="22"/>
          <w:szCs w:val="22"/>
        </w:rPr>
        <w:fldChar w:fldCharType="end"/>
      </w:r>
      <w:bookmarkEnd w:id="14"/>
      <w:r w:rsidRPr="00E37E8B">
        <w:rPr>
          <w:sz w:val="22"/>
          <w:szCs w:val="22"/>
          <w:lang w:val="en-US"/>
        </w:rPr>
        <w:t xml:space="preserve"> is mostly based on </w:t>
      </w:r>
      <w:proofErr w:type="spellStart"/>
      <w:r w:rsidRPr="00E37E8B">
        <w:rPr>
          <w:sz w:val="22"/>
          <w:szCs w:val="22"/>
          <w:lang w:val="en-US"/>
        </w:rPr>
        <w:t>Chrysostomus</w:t>
      </w:r>
      <w:proofErr w:type="spellEnd"/>
      <w:r w:rsidRPr="00E37E8B">
        <w:rPr>
          <w:sz w:val="22"/>
          <w:szCs w:val="22"/>
          <w:lang w:val="en-US"/>
        </w:rPr>
        <w:t xml:space="preserve"> and does not take into account recent trends in research.</w:t>
      </w:r>
    </w:p>
    <w:p w:rsidR="00066B22" w:rsidRPr="00E37E8B" w:rsidRDefault="00066B22" w:rsidP="0047320A">
      <w:pPr>
        <w:tabs>
          <w:tab w:val="left" w:pos="284"/>
        </w:tabs>
        <w:rPr>
          <w:sz w:val="22"/>
          <w:szCs w:val="22"/>
          <w:lang w:val="en-US"/>
        </w:rPr>
      </w:pPr>
      <w:r w:rsidRPr="00E37E8B">
        <w:rPr>
          <w:sz w:val="22"/>
          <w:szCs w:val="22"/>
          <w:lang w:val="en-US"/>
        </w:rPr>
        <w:t xml:space="preserve">A critical commentary on Romans –as proposed for this project– should represent the current state of research and take into account the social milieu and history of Eastern Orthodox Christianity, so as to contribute in current academic debate; the rise of nationalism (especially in certain Christian groups), and the tendency to interpret social issues in a strictly legalistic manner result in the eventual fragmentation of the Church. Moreover, the rise of antisemitism is partly based on an outdated view of Biblical Theology: the twofold aspects of “Law – Grace”. “Works – Faith” are considered antithetical, as the former parts are regarded as remnants of a legalistic Judaism. Salvation is considered a private affair and not related to the complete transformation of the individual; as such, it is incorrectly considered as only pertaining to the soul and its transition to heaven. Unlike </w:t>
      </w:r>
      <w:r w:rsidRPr="00E37E8B">
        <w:rPr>
          <w:i/>
          <w:iCs/>
          <w:sz w:val="22"/>
          <w:szCs w:val="22"/>
          <w:lang w:val="en-US"/>
        </w:rPr>
        <w:t>1 Corinthians</w:t>
      </w:r>
      <w:r w:rsidRPr="00E37E8B">
        <w:rPr>
          <w:sz w:val="22"/>
          <w:szCs w:val="22"/>
          <w:lang w:val="en-US"/>
        </w:rPr>
        <w:t xml:space="preserve"> and </w:t>
      </w:r>
      <w:r w:rsidRPr="00E37E8B">
        <w:rPr>
          <w:i/>
          <w:iCs/>
          <w:sz w:val="22"/>
          <w:szCs w:val="22"/>
          <w:lang w:val="en-US"/>
        </w:rPr>
        <w:t>Ephesians</w:t>
      </w:r>
      <w:r w:rsidRPr="00E37E8B">
        <w:rPr>
          <w:sz w:val="22"/>
          <w:szCs w:val="22"/>
          <w:lang w:val="en-US"/>
        </w:rPr>
        <w:t xml:space="preserve">, </w:t>
      </w:r>
      <w:r w:rsidRPr="00E37E8B">
        <w:rPr>
          <w:i/>
          <w:iCs/>
          <w:sz w:val="22"/>
          <w:szCs w:val="22"/>
          <w:lang w:val="en-US"/>
        </w:rPr>
        <w:t>Galatians</w:t>
      </w:r>
      <w:r w:rsidRPr="00E37E8B">
        <w:rPr>
          <w:sz w:val="22"/>
          <w:szCs w:val="22"/>
          <w:lang w:val="en-US"/>
        </w:rPr>
        <w:t xml:space="preserve"> and </w:t>
      </w:r>
      <w:r w:rsidRPr="00E37E8B">
        <w:rPr>
          <w:i/>
          <w:iCs/>
          <w:sz w:val="22"/>
          <w:szCs w:val="22"/>
          <w:lang w:val="en-US"/>
        </w:rPr>
        <w:t>Romans</w:t>
      </w:r>
      <w:r w:rsidRPr="00E37E8B">
        <w:rPr>
          <w:sz w:val="22"/>
          <w:szCs w:val="22"/>
          <w:lang w:val="en-US"/>
        </w:rPr>
        <w:t xml:space="preserve"> have had little impact on Eastern readers; the “works of the Law” are interpreted as the ritualistic parts of the Torah, rather than the inherent identity adopted by a nation in order to differentiate itself from other nations, ideologies, and religions.</w:t>
      </w:r>
      <w:r w:rsidR="00B14E5C" w:rsidRPr="00E37E8B">
        <w:rPr>
          <w:sz w:val="22"/>
          <w:szCs w:val="22"/>
          <w:lang w:val="en-US"/>
        </w:rPr>
        <w:t xml:space="preserve"> Moreover, a pivotal event for the research course, will be the international Congress of SNTS (</w:t>
      </w:r>
      <w:proofErr w:type="spellStart"/>
      <w:r w:rsidR="00B14E5C" w:rsidRPr="00E37E8B">
        <w:rPr>
          <w:sz w:val="22"/>
          <w:szCs w:val="22"/>
          <w:lang w:val="en-US"/>
        </w:rPr>
        <w:t>Studiorum</w:t>
      </w:r>
      <w:proofErr w:type="spellEnd"/>
      <w:r w:rsidR="00B14E5C" w:rsidRPr="00E37E8B">
        <w:rPr>
          <w:sz w:val="22"/>
          <w:szCs w:val="22"/>
          <w:lang w:val="en-US"/>
        </w:rPr>
        <w:t xml:space="preserve"> Novi </w:t>
      </w:r>
      <w:proofErr w:type="spellStart"/>
      <w:r w:rsidR="00B14E5C" w:rsidRPr="00E37E8B">
        <w:rPr>
          <w:sz w:val="22"/>
          <w:szCs w:val="22"/>
          <w:lang w:val="en-US"/>
        </w:rPr>
        <w:t>Testamenti</w:t>
      </w:r>
      <w:proofErr w:type="spellEnd"/>
      <w:r w:rsidR="00B14E5C" w:rsidRPr="00E37E8B">
        <w:rPr>
          <w:sz w:val="22"/>
          <w:szCs w:val="22"/>
          <w:lang w:val="en-US"/>
        </w:rPr>
        <w:t xml:space="preserve"> </w:t>
      </w:r>
      <w:proofErr w:type="spellStart"/>
      <w:r w:rsidR="00B14E5C" w:rsidRPr="00E37E8B">
        <w:rPr>
          <w:sz w:val="22"/>
          <w:szCs w:val="22"/>
          <w:lang w:val="en-US"/>
        </w:rPr>
        <w:t>Societas</w:t>
      </w:r>
      <w:proofErr w:type="spellEnd"/>
      <w:r w:rsidR="00B14E5C" w:rsidRPr="00E37E8B">
        <w:rPr>
          <w:sz w:val="22"/>
          <w:szCs w:val="22"/>
          <w:lang w:val="en-US"/>
        </w:rPr>
        <w:t xml:space="preserve">) in Athens (2018), in which Prof. </w:t>
      </w:r>
      <w:proofErr w:type="spellStart"/>
      <w:r w:rsidR="00B14E5C" w:rsidRPr="00E37E8B">
        <w:rPr>
          <w:sz w:val="22"/>
          <w:szCs w:val="22"/>
          <w:lang w:val="en-US"/>
        </w:rPr>
        <w:t>Sotirios</w:t>
      </w:r>
      <w:proofErr w:type="spellEnd"/>
      <w:r w:rsidR="00B14E5C" w:rsidRPr="00E37E8B">
        <w:rPr>
          <w:sz w:val="22"/>
          <w:szCs w:val="22"/>
          <w:lang w:val="en-US"/>
        </w:rPr>
        <w:t xml:space="preserve"> </w:t>
      </w:r>
      <w:proofErr w:type="spellStart"/>
      <w:r w:rsidR="00B14E5C" w:rsidRPr="00E37E8B">
        <w:rPr>
          <w:sz w:val="22"/>
          <w:szCs w:val="22"/>
          <w:lang w:val="en-US"/>
        </w:rPr>
        <w:t>Despotis</w:t>
      </w:r>
      <w:proofErr w:type="spellEnd"/>
      <w:r w:rsidR="00B14E5C" w:rsidRPr="00E37E8B">
        <w:rPr>
          <w:sz w:val="22"/>
          <w:szCs w:val="22"/>
          <w:lang w:val="en-US"/>
        </w:rPr>
        <w:t xml:space="preserve"> is member of the organizing committee (</w:t>
      </w:r>
      <w:hyperlink r:id="rId7" w:history="1">
        <w:r w:rsidR="0047320A" w:rsidRPr="00E37E8B">
          <w:rPr>
            <w:rStyle w:val="-"/>
            <w:sz w:val="22"/>
            <w:szCs w:val="22"/>
            <w:lang w:val="en-US"/>
          </w:rPr>
          <w:t>https://snts2018.org)</w:t>
        </w:r>
      </w:hyperlink>
      <w:r w:rsidR="00B14E5C" w:rsidRPr="00E37E8B">
        <w:rPr>
          <w:sz w:val="22"/>
          <w:szCs w:val="22"/>
          <w:lang w:val="en-US"/>
        </w:rPr>
        <w:t>.</w:t>
      </w:r>
      <w:r w:rsidR="0047320A" w:rsidRPr="00E37E8B">
        <w:rPr>
          <w:sz w:val="22"/>
          <w:szCs w:val="22"/>
          <w:lang w:val="en-US"/>
        </w:rPr>
        <w:t xml:space="preserve"> This congress will be attended by internationally acknowledged scholars of Pauline studies.</w:t>
      </w:r>
    </w:p>
    <w:p w:rsidR="00066B22" w:rsidRPr="00E37E8B" w:rsidRDefault="00066B22" w:rsidP="00066B22">
      <w:pPr>
        <w:tabs>
          <w:tab w:val="left" w:pos="284"/>
        </w:tabs>
        <w:rPr>
          <w:sz w:val="22"/>
          <w:szCs w:val="22"/>
        </w:rPr>
      </w:pPr>
    </w:p>
    <w:p w:rsidR="00066B22" w:rsidRPr="00E37E8B" w:rsidRDefault="00066B22" w:rsidP="00066B22">
      <w:pPr>
        <w:pStyle w:val="2"/>
        <w:rPr>
          <w:sz w:val="22"/>
          <w:szCs w:val="22"/>
        </w:rPr>
      </w:pPr>
      <w:bookmarkStart w:id="15" w:name="_Toc184e87ec"/>
      <w:r w:rsidRPr="00E37E8B">
        <w:rPr>
          <w:sz w:val="22"/>
          <w:szCs w:val="22"/>
        </w:rPr>
        <w:t xml:space="preserve">Synchronic Interpretation </w:t>
      </w:r>
      <w:bookmarkEnd w:id="15"/>
      <w:r w:rsidR="00DF0DA0" w:rsidRPr="00E37E8B">
        <w:rPr>
          <w:sz w:val="22"/>
          <w:szCs w:val="22"/>
        </w:rPr>
        <w:t xml:space="preserve">[undertaken by Prof. </w:t>
      </w:r>
      <w:proofErr w:type="spellStart"/>
      <w:r w:rsidR="00DF0DA0" w:rsidRPr="00E37E8B">
        <w:rPr>
          <w:sz w:val="22"/>
          <w:szCs w:val="22"/>
        </w:rPr>
        <w:t>Sotirios</w:t>
      </w:r>
      <w:proofErr w:type="spellEnd"/>
      <w:r w:rsidR="00DF0DA0" w:rsidRPr="00E37E8B">
        <w:rPr>
          <w:sz w:val="22"/>
          <w:szCs w:val="22"/>
        </w:rPr>
        <w:t xml:space="preserve"> </w:t>
      </w:r>
      <w:proofErr w:type="spellStart"/>
      <w:r w:rsidR="00DF0DA0" w:rsidRPr="00E37E8B">
        <w:rPr>
          <w:sz w:val="22"/>
          <w:szCs w:val="22"/>
        </w:rPr>
        <w:t>Despotis</w:t>
      </w:r>
      <w:proofErr w:type="spellEnd"/>
      <w:r w:rsidR="00DF0DA0" w:rsidRPr="00E37E8B">
        <w:rPr>
          <w:sz w:val="22"/>
          <w:szCs w:val="22"/>
        </w:rPr>
        <w:t xml:space="preserve"> and a doctoral student)]</w:t>
      </w:r>
    </w:p>
    <w:p w:rsidR="00066B22" w:rsidRPr="00E37E8B" w:rsidRDefault="00066B22" w:rsidP="00E02660">
      <w:pPr>
        <w:tabs>
          <w:tab w:val="left" w:pos="284"/>
        </w:tabs>
        <w:rPr>
          <w:sz w:val="22"/>
          <w:szCs w:val="22"/>
          <w:lang w:val="en-US"/>
        </w:rPr>
      </w:pPr>
      <w:r w:rsidRPr="00E37E8B">
        <w:rPr>
          <w:sz w:val="22"/>
          <w:szCs w:val="22"/>
          <w:lang w:val="en-US"/>
        </w:rPr>
        <w:t xml:space="preserve">The principal investigator will employ the synchronic method </w:t>
      </w:r>
      <w:r w:rsidR="00541A92" w:rsidRPr="00E37E8B">
        <w:rPr>
          <w:sz w:val="22"/>
          <w:szCs w:val="22"/>
          <w:lang w:val="en-US"/>
        </w:rPr>
        <w:fldChar w:fldCharType="begin"/>
      </w:r>
      <w:r w:rsidRPr="00E37E8B">
        <w:rPr>
          <w:sz w:val="22"/>
          <w:szCs w:val="22"/>
          <w:lang w:val="en-US"/>
        </w:rPr>
        <w:instrText>ADDIN BEC{Moor, 1995, #9801}</w:instrText>
      </w:r>
      <w:r w:rsidR="00541A92" w:rsidRPr="00E37E8B">
        <w:rPr>
          <w:sz w:val="22"/>
          <w:szCs w:val="22"/>
          <w:lang w:val="en-US"/>
        </w:rPr>
        <w:fldChar w:fldCharType="separate"/>
      </w:r>
      <w:r w:rsidRPr="00E37E8B">
        <w:rPr>
          <w:sz w:val="22"/>
          <w:szCs w:val="22"/>
          <w:lang w:val="en-US"/>
        </w:rPr>
        <w:t>(Moor, 1995)</w:t>
      </w:r>
      <w:r w:rsidR="00541A92" w:rsidRPr="00E37E8B">
        <w:rPr>
          <w:sz w:val="22"/>
          <w:szCs w:val="22"/>
          <w:lang w:val="en-US"/>
        </w:rPr>
        <w:fldChar w:fldCharType="end"/>
      </w:r>
      <w:r w:rsidRPr="00E37E8B">
        <w:rPr>
          <w:sz w:val="22"/>
          <w:szCs w:val="22"/>
          <w:lang w:val="en-US"/>
        </w:rPr>
        <w:t xml:space="preserve"> in the interpretation of Romans, especially chapters 1-11. It should be noted that we do not propose that the core of the Epistle is limited to the first eight chapters nor that chapters 9-11 and 12-16 are simply addendums. They are integral parts in defining the message of Paul to his recipients. However, the sheer volume of bibliography would become unwieldly and would not be able to be processed within a three-year project. Moreover, important works will be considered and the focus on bibliography will be limited to the last thirty years. The aim is to present the current state of research and not to compile a historical overview of the interpretation of </w:t>
      </w:r>
      <w:r w:rsidRPr="00E37E8B">
        <w:rPr>
          <w:i/>
          <w:iCs/>
          <w:sz w:val="22"/>
          <w:szCs w:val="22"/>
          <w:lang w:val="en-US"/>
        </w:rPr>
        <w:t>Romans</w:t>
      </w:r>
      <w:r w:rsidRPr="00E37E8B">
        <w:rPr>
          <w:sz w:val="22"/>
          <w:szCs w:val="22"/>
          <w:lang w:val="en-US"/>
        </w:rPr>
        <w:t>.</w:t>
      </w:r>
      <w:r w:rsidR="00E02660" w:rsidRPr="00E37E8B">
        <w:rPr>
          <w:sz w:val="22"/>
          <w:szCs w:val="22"/>
          <w:lang w:val="en-US"/>
        </w:rPr>
        <w:t xml:space="preserve"> </w:t>
      </w:r>
      <w:r w:rsidRPr="00E37E8B">
        <w:rPr>
          <w:sz w:val="22"/>
          <w:szCs w:val="22"/>
          <w:lang w:val="en-US"/>
        </w:rPr>
        <w:t xml:space="preserve">In this analysis, we will also be employing the Commentaries of Origen (Alexandria) and </w:t>
      </w:r>
      <w:proofErr w:type="spellStart"/>
      <w:r w:rsidRPr="00E37E8B">
        <w:rPr>
          <w:sz w:val="22"/>
          <w:szCs w:val="22"/>
          <w:lang w:val="en-US"/>
        </w:rPr>
        <w:t>Chrystostomus</w:t>
      </w:r>
      <w:proofErr w:type="spellEnd"/>
      <w:r w:rsidRPr="00E37E8B">
        <w:rPr>
          <w:sz w:val="22"/>
          <w:szCs w:val="22"/>
          <w:lang w:val="en-US"/>
        </w:rPr>
        <w:t xml:space="preserve"> (Antioch), as well as Augustine’s views, which had a profound impact on Luther and Western Christianity and society. Contemporary works, such as those of Jewett, </w:t>
      </w:r>
      <w:proofErr w:type="spellStart"/>
      <w:r w:rsidRPr="00E37E8B">
        <w:rPr>
          <w:sz w:val="22"/>
          <w:szCs w:val="22"/>
          <w:lang w:val="en-US"/>
        </w:rPr>
        <w:t>Wilckens</w:t>
      </w:r>
      <w:proofErr w:type="spellEnd"/>
      <w:r w:rsidRPr="00E37E8B">
        <w:rPr>
          <w:sz w:val="22"/>
          <w:szCs w:val="22"/>
          <w:lang w:val="en-US"/>
        </w:rPr>
        <w:t xml:space="preserve">, </w:t>
      </w:r>
      <w:proofErr w:type="spellStart"/>
      <w:r w:rsidRPr="00E37E8B">
        <w:rPr>
          <w:sz w:val="22"/>
          <w:szCs w:val="22"/>
          <w:lang w:val="en-US"/>
        </w:rPr>
        <w:t>Theobald</w:t>
      </w:r>
      <w:proofErr w:type="spellEnd"/>
      <w:r w:rsidRPr="00E37E8B">
        <w:rPr>
          <w:sz w:val="22"/>
          <w:szCs w:val="22"/>
          <w:lang w:val="en-US"/>
        </w:rPr>
        <w:t xml:space="preserve">, Dunn and </w:t>
      </w:r>
      <w:proofErr w:type="spellStart"/>
      <w:r w:rsidRPr="00E37E8B">
        <w:rPr>
          <w:sz w:val="22"/>
          <w:szCs w:val="22"/>
          <w:lang w:val="en-US"/>
        </w:rPr>
        <w:t>Wolter</w:t>
      </w:r>
      <w:proofErr w:type="spellEnd"/>
      <w:r w:rsidRPr="00E37E8B">
        <w:rPr>
          <w:sz w:val="22"/>
          <w:szCs w:val="22"/>
          <w:lang w:val="en-US"/>
        </w:rPr>
        <w:t>, will also be discussed; they contain important research and represent both the old and the new Pauline perspectives, while they are indicative of the hermeneutical schools of Germany and the UK / USA. Moreover, they offer comprehensive overviews of the tendencies in Catholic and Protestant hermeneutics.</w:t>
      </w:r>
    </w:p>
    <w:p w:rsidR="00066B22" w:rsidRPr="00E37E8B" w:rsidRDefault="00066B22" w:rsidP="00E02660">
      <w:pPr>
        <w:tabs>
          <w:tab w:val="left" w:pos="284"/>
        </w:tabs>
        <w:rPr>
          <w:sz w:val="22"/>
          <w:szCs w:val="22"/>
          <w:lang w:val="en-US"/>
        </w:rPr>
      </w:pPr>
      <w:r w:rsidRPr="00E37E8B">
        <w:rPr>
          <w:sz w:val="22"/>
          <w:szCs w:val="22"/>
          <w:lang w:val="en-US"/>
        </w:rPr>
        <w:t xml:space="preserve">In regards to intertextuality, two main axes will be discussed; the relation of </w:t>
      </w:r>
      <w:r w:rsidRPr="00E37E8B">
        <w:rPr>
          <w:i/>
          <w:iCs/>
          <w:sz w:val="22"/>
          <w:szCs w:val="22"/>
          <w:lang w:val="en-US"/>
        </w:rPr>
        <w:t>Romans</w:t>
      </w:r>
      <w:r w:rsidRPr="00E37E8B">
        <w:rPr>
          <w:sz w:val="22"/>
          <w:szCs w:val="22"/>
          <w:lang w:val="en-US"/>
        </w:rPr>
        <w:t xml:space="preserve"> to the Hebrew Scriptures and other Jewish texts, as well as its antithetic parallelism to the Roman propaganda in regards to </w:t>
      </w:r>
      <w:proofErr w:type="spellStart"/>
      <w:r w:rsidRPr="00E37E8B">
        <w:rPr>
          <w:i/>
          <w:iCs/>
          <w:sz w:val="22"/>
          <w:szCs w:val="22"/>
          <w:lang w:val="en-US"/>
        </w:rPr>
        <w:t>Pax</w:t>
      </w:r>
      <w:proofErr w:type="spellEnd"/>
      <w:r w:rsidRPr="00E37E8B">
        <w:rPr>
          <w:i/>
          <w:iCs/>
          <w:sz w:val="22"/>
          <w:szCs w:val="22"/>
          <w:lang w:val="en-US"/>
        </w:rPr>
        <w:t xml:space="preserve"> </w:t>
      </w:r>
      <w:proofErr w:type="spellStart"/>
      <w:r w:rsidRPr="00E37E8B">
        <w:rPr>
          <w:i/>
          <w:iCs/>
          <w:sz w:val="22"/>
          <w:szCs w:val="22"/>
          <w:lang w:val="en-US"/>
        </w:rPr>
        <w:t>Romana</w:t>
      </w:r>
      <w:proofErr w:type="spellEnd"/>
      <w:r w:rsidRPr="00E37E8B">
        <w:rPr>
          <w:sz w:val="22"/>
          <w:szCs w:val="22"/>
          <w:lang w:val="en-US"/>
        </w:rPr>
        <w:t xml:space="preserve"> and the role of the Empire. Besides, in contrast to </w:t>
      </w:r>
      <w:r w:rsidRPr="00E37E8B">
        <w:rPr>
          <w:i/>
          <w:iCs/>
          <w:sz w:val="22"/>
          <w:szCs w:val="22"/>
          <w:lang w:val="en-US"/>
        </w:rPr>
        <w:t>Revelation</w:t>
      </w:r>
      <w:r w:rsidRPr="00E37E8B">
        <w:rPr>
          <w:sz w:val="22"/>
          <w:szCs w:val="22"/>
          <w:lang w:val="en-US"/>
        </w:rPr>
        <w:t xml:space="preserve">, the views expressed in </w:t>
      </w:r>
      <w:r w:rsidRPr="00E37E8B">
        <w:rPr>
          <w:i/>
          <w:iCs/>
          <w:sz w:val="22"/>
          <w:szCs w:val="22"/>
          <w:lang w:val="en-US"/>
        </w:rPr>
        <w:t>Romans</w:t>
      </w:r>
      <w:r w:rsidRPr="00E37E8B">
        <w:rPr>
          <w:sz w:val="22"/>
          <w:szCs w:val="22"/>
          <w:lang w:val="en-US"/>
        </w:rPr>
        <w:t xml:space="preserve"> regarding political authority are initially positively inclined. Moreover, the text (as early as its introduction) makes special connections to evidence from the Hebrew Scriptures (the Writings, words of God, Law, Prophets) which were, most likely, know to the Gentile Christians; a hypothesis is that they had studied those concepts in the Synagogue before they became Christians and they were baptized. Special emphasis will be placed on </w:t>
      </w:r>
      <w:r w:rsidRPr="00E37E8B">
        <w:rPr>
          <w:i/>
          <w:iCs/>
          <w:sz w:val="22"/>
          <w:szCs w:val="22"/>
          <w:lang w:val="en-US"/>
        </w:rPr>
        <w:t>Galatians</w:t>
      </w:r>
      <w:r w:rsidRPr="00E37E8B">
        <w:rPr>
          <w:sz w:val="22"/>
          <w:szCs w:val="22"/>
          <w:lang w:val="en-US"/>
        </w:rPr>
        <w:t xml:space="preserve">, which acts as a parallel / synopsis of </w:t>
      </w:r>
      <w:r w:rsidRPr="00E37E8B">
        <w:rPr>
          <w:i/>
          <w:iCs/>
          <w:sz w:val="22"/>
          <w:szCs w:val="22"/>
          <w:lang w:val="en-US"/>
        </w:rPr>
        <w:t>Romans</w:t>
      </w:r>
      <w:r w:rsidRPr="00E37E8B">
        <w:rPr>
          <w:sz w:val="22"/>
          <w:szCs w:val="22"/>
          <w:lang w:val="en-US"/>
        </w:rPr>
        <w:t xml:space="preserve">, although is differentiated in certain aspects (e.g. views on Israel) due to its different agenda. Moreover, recent hermeneutical methods, such as the application of embodied cognition </w:t>
      </w:r>
      <w:r w:rsidR="00541A92" w:rsidRPr="00E37E8B">
        <w:rPr>
          <w:sz w:val="22"/>
          <w:szCs w:val="22"/>
          <w:lang w:val="en-US"/>
        </w:rPr>
        <w:fldChar w:fldCharType="begin"/>
      </w:r>
      <w:r w:rsidRPr="00E37E8B">
        <w:rPr>
          <w:sz w:val="22"/>
          <w:szCs w:val="22"/>
          <w:lang w:val="en-US"/>
        </w:rPr>
        <w:instrText>ADDIN BEC{Lakoff and Johnson, 1999, #53103}</w:instrText>
      </w:r>
      <w:r w:rsidR="00541A92" w:rsidRPr="00E37E8B">
        <w:rPr>
          <w:sz w:val="22"/>
          <w:szCs w:val="22"/>
          <w:lang w:val="en-US"/>
        </w:rPr>
        <w:fldChar w:fldCharType="separate"/>
      </w:r>
      <w:r w:rsidRPr="00E37E8B">
        <w:rPr>
          <w:sz w:val="22"/>
          <w:szCs w:val="22"/>
          <w:lang w:val="en-US"/>
        </w:rPr>
        <w:t>(Lakoff &amp; Johnson, 1999)</w:t>
      </w:r>
      <w:r w:rsidR="00541A92" w:rsidRPr="00E37E8B">
        <w:rPr>
          <w:sz w:val="22"/>
          <w:szCs w:val="22"/>
          <w:lang w:val="en-US"/>
        </w:rPr>
        <w:fldChar w:fldCharType="end"/>
      </w:r>
      <w:r w:rsidR="007B294C" w:rsidRPr="00E37E8B">
        <w:rPr>
          <w:sz w:val="22"/>
          <w:szCs w:val="22"/>
          <w:lang w:val="en-US"/>
        </w:rPr>
        <w:t xml:space="preserve"> </w:t>
      </w:r>
      <w:r w:rsidRPr="00E37E8B">
        <w:rPr>
          <w:sz w:val="22"/>
          <w:szCs w:val="22"/>
          <w:lang w:val="en-US"/>
        </w:rPr>
        <w:t xml:space="preserve">and its emphasis on conceptual metaphor </w:t>
      </w:r>
      <w:r w:rsidR="00541A92" w:rsidRPr="00E37E8B">
        <w:rPr>
          <w:sz w:val="22"/>
          <w:szCs w:val="22"/>
          <w:lang w:val="en-US"/>
        </w:rPr>
        <w:fldChar w:fldCharType="begin"/>
      </w:r>
      <w:r w:rsidRPr="00E37E8B">
        <w:rPr>
          <w:sz w:val="22"/>
          <w:szCs w:val="22"/>
          <w:lang w:val="en-US"/>
        </w:rPr>
        <w:instrText>ADDIN BEC{Johnson and Lakoff, 2002, #48855}</w:instrText>
      </w:r>
      <w:r w:rsidR="00541A92" w:rsidRPr="00E37E8B">
        <w:rPr>
          <w:sz w:val="22"/>
          <w:szCs w:val="22"/>
          <w:lang w:val="en-US"/>
        </w:rPr>
        <w:fldChar w:fldCharType="separate"/>
      </w:r>
      <w:r w:rsidRPr="00E37E8B">
        <w:rPr>
          <w:sz w:val="22"/>
          <w:szCs w:val="22"/>
          <w:lang w:val="en-US"/>
        </w:rPr>
        <w:t>(Johnson &amp; Lakoff, 2002)</w:t>
      </w:r>
      <w:r w:rsidR="00541A92" w:rsidRPr="00E37E8B">
        <w:rPr>
          <w:sz w:val="22"/>
          <w:szCs w:val="22"/>
          <w:lang w:val="en-US"/>
        </w:rPr>
        <w:fldChar w:fldCharType="end"/>
      </w:r>
      <w:r w:rsidRPr="00E37E8B">
        <w:rPr>
          <w:sz w:val="22"/>
          <w:szCs w:val="22"/>
          <w:lang w:val="en-US"/>
        </w:rPr>
        <w:t xml:space="preserve"> in biblical hermeneutics and religious studies </w:t>
      </w:r>
      <w:r w:rsidR="00541A92" w:rsidRPr="00E37E8B">
        <w:rPr>
          <w:sz w:val="22"/>
          <w:szCs w:val="22"/>
          <w:lang w:val="en-US"/>
        </w:rPr>
        <w:fldChar w:fldCharType="begin"/>
      </w:r>
      <w:r w:rsidRPr="00E37E8B">
        <w:rPr>
          <w:sz w:val="22"/>
          <w:szCs w:val="22"/>
          <w:lang w:val="en-US"/>
        </w:rPr>
        <w:instrText>ADDIN BEC{Feder, 2013, #52381}{Watts, 2013, #6464}{Zhong and Liljenquist, 2006, #48622}</w:instrText>
      </w:r>
      <w:r w:rsidR="00541A92" w:rsidRPr="00E37E8B">
        <w:rPr>
          <w:sz w:val="22"/>
          <w:szCs w:val="22"/>
          <w:lang w:val="en-US"/>
        </w:rPr>
        <w:fldChar w:fldCharType="separate"/>
      </w:r>
      <w:r w:rsidRPr="00E37E8B">
        <w:rPr>
          <w:sz w:val="22"/>
          <w:szCs w:val="22"/>
          <w:lang w:val="en-US"/>
        </w:rPr>
        <w:t>(Feder, 2013; Watts, 2013; Zhong &amp; Liljenquist, 2006)</w:t>
      </w:r>
      <w:r w:rsidR="00541A92" w:rsidRPr="00E37E8B">
        <w:rPr>
          <w:sz w:val="22"/>
          <w:szCs w:val="22"/>
          <w:lang w:val="en-US"/>
        </w:rPr>
        <w:fldChar w:fldCharType="end"/>
      </w:r>
      <w:r w:rsidRPr="00E37E8B">
        <w:rPr>
          <w:sz w:val="22"/>
          <w:szCs w:val="22"/>
          <w:lang w:val="en-US"/>
        </w:rPr>
        <w:t xml:space="preserve">, as well as the concept of (religious) conversion </w:t>
      </w:r>
      <w:r w:rsidR="00541A92" w:rsidRPr="00E37E8B">
        <w:rPr>
          <w:sz w:val="22"/>
          <w:szCs w:val="22"/>
          <w:lang w:val="en-US"/>
        </w:rPr>
        <w:fldChar w:fldCharType="begin"/>
      </w:r>
      <w:r w:rsidRPr="00E37E8B">
        <w:rPr>
          <w:sz w:val="22"/>
          <w:szCs w:val="22"/>
          <w:lang w:val="en-US"/>
        </w:rPr>
        <w:instrText>ADDIN BEC{Zock, 2006, #21912}</w:instrText>
      </w:r>
      <w:r w:rsidR="00541A92" w:rsidRPr="00E37E8B">
        <w:rPr>
          <w:sz w:val="22"/>
          <w:szCs w:val="22"/>
          <w:lang w:val="en-US"/>
        </w:rPr>
        <w:fldChar w:fldCharType="separate"/>
      </w:r>
      <w:r w:rsidRPr="00E37E8B">
        <w:rPr>
          <w:sz w:val="22"/>
          <w:szCs w:val="22"/>
          <w:lang w:val="en-US"/>
        </w:rPr>
        <w:t>(Zock, 2006)</w:t>
      </w:r>
      <w:r w:rsidR="00541A92" w:rsidRPr="00E37E8B">
        <w:rPr>
          <w:sz w:val="22"/>
          <w:szCs w:val="22"/>
          <w:lang w:val="en-US"/>
        </w:rPr>
        <w:fldChar w:fldCharType="end"/>
      </w:r>
      <w:r w:rsidRPr="00E37E8B">
        <w:rPr>
          <w:sz w:val="22"/>
          <w:szCs w:val="22"/>
          <w:lang w:val="en-US"/>
        </w:rPr>
        <w:t xml:space="preserve">, which offers novel insights into the life in religious communities, identity formation, and the reinterpretation of society, history, and world by the individual, will be discussed and employed. </w:t>
      </w:r>
      <w:r w:rsidR="000148E5" w:rsidRPr="00E37E8B">
        <w:rPr>
          <w:sz w:val="22"/>
          <w:szCs w:val="22"/>
          <w:lang w:val="en-US"/>
        </w:rPr>
        <w:t>Moreover, intertextual connections and influences (in the area of Cinema, Literature etc.) will be selectively noted.</w:t>
      </w:r>
    </w:p>
    <w:p w:rsidR="00066B22" w:rsidRPr="00E37E8B" w:rsidRDefault="00066B22" w:rsidP="00066B22">
      <w:pPr>
        <w:tabs>
          <w:tab w:val="left" w:pos="284"/>
        </w:tabs>
        <w:rPr>
          <w:sz w:val="22"/>
          <w:szCs w:val="22"/>
          <w:lang w:val="en-US"/>
        </w:rPr>
      </w:pPr>
    </w:p>
    <w:p w:rsidR="00066B22" w:rsidRPr="00E37E8B" w:rsidRDefault="00066B22" w:rsidP="00066B22">
      <w:pPr>
        <w:pStyle w:val="2"/>
        <w:rPr>
          <w:sz w:val="22"/>
          <w:szCs w:val="22"/>
        </w:rPr>
      </w:pPr>
      <w:bookmarkStart w:id="16" w:name="_Toc71df19f9"/>
      <w:r w:rsidRPr="00E37E8B">
        <w:rPr>
          <w:sz w:val="22"/>
          <w:szCs w:val="22"/>
        </w:rPr>
        <w:t>Lexicography, semantics and context</w:t>
      </w:r>
      <w:bookmarkEnd w:id="16"/>
      <w:r w:rsidR="00DF0DA0" w:rsidRPr="00E37E8B">
        <w:rPr>
          <w:sz w:val="22"/>
          <w:szCs w:val="22"/>
        </w:rPr>
        <w:t xml:space="preserve"> [Undertaken by Dr. Stamatopoulos and Mr. </w:t>
      </w:r>
      <w:proofErr w:type="spellStart"/>
      <w:r w:rsidR="00DF0DA0" w:rsidRPr="00E37E8B">
        <w:rPr>
          <w:sz w:val="22"/>
          <w:szCs w:val="22"/>
        </w:rPr>
        <w:t>Vasilakis</w:t>
      </w:r>
      <w:proofErr w:type="spellEnd"/>
      <w:r w:rsidR="00DF0DA0" w:rsidRPr="00E37E8B">
        <w:rPr>
          <w:sz w:val="22"/>
          <w:szCs w:val="22"/>
        </w:rPr>
        <w:t xml:space="preserve"> (M.A. – doctoral student)]</w:t>
      </w:r>
    </w:p>
    <w:p w:rsidR="00066B22" w:rsidRPr="00E37E8B" w:rsidRDefault="00066B22" w:rsidP="00066B22">
      <w:pPr>
        <w:tabs>
          <w:tab w:val="left" w:pos="284"/>
        </w:tabs>
        <w:rPr>
          <w:sz w:val="22"/>
          <w:szCs w:val="22"/>
        </w:rPr>
      </w:pPr>
      <w:r w:rsidRPr="00E37E8B">
        <w:rPr>
          <w:sz w:val="22"/>
          <w:szCs w:val="22"/>
          <w:lang w:val="en-US"/>
        </w:rPr>
        <w:t xml:space="preserve">For clarifying and identifying the semantic scope of the language of Romans there will be a distinct part in the project. Specifically, the lemmas in Romans will be indexed and grouped, not only on the basis of current bibliography, but by also </w:t>
      </w:r>
      <w:r w:rsidRPr="00E37E8B">
        <w:rPr>
          <w:sz w:val="22"/>
          <w:szCs w:val="22"/>
          <w:lang w:val="en-US"/>
        </w:rPr>
        <w:lastRenderedPageBreak/>
        <w:t>utilizing the available electronic corpora, as they facilitate queries both on morphology and syntax. With the exception of recently published lexicons [</w:t>
      </w:r>
      <w:bookmarkStart w:id="17" w:name="__Fieldmark__210_1129172694"/>
      <w:r w:rsidR="00541A92" w:rsidRPr="00E37E8B">
        <w:rPr>
          <w:sz w:val="22"/>
          <w:szCs w:val="22"/>
        </w:rPr>
        <w:fldChar w:fldCharType="begin"/>
      </w:r>
      <w:r w:rsidRPr="00E37E8B">
        <w:rPr>
          <w:sz w:val="22"/>
          <w:szCs w:val="22"/>
        </w:rPr>
        <w:instrText>ADDIN BEC{Clines, 1993, #40382}</w:instrText>
      </w:r>
      <w:r w:rsidR="00541A92" w:rsidRPr="00E37E8B">
        <w:rPr>
          <w:sz w:val="22"/>
          <w:szCs w:val="22"/>
        </w:rPr>
        <w:fldChar w:fldCharType="separate"/>
      </w:r>
      <w:r w:rsidRPr="00E37E8B">
        <w:rPr>
          <w:sz w:val="22"/>
          <w:szCs w:val="22"/>
        </w:rPr>
        <w:t>(Clines, 1993)</w:t>
      </w:r>
      <w:r w:rsidR="00541A92" w:rsidRPr="00E37E8B">
        <w:rPr>
          <w:sz w:val="22"/>
          <w:szCs w:val="22"/>
        </w:rPr>
        <w:fldChar w:fldCharType="end"/>
      </w:r>
      <w:bookmarkEnd w:id="17"/>
      <w:r w:rsidRPr="00E37E8B">
        <w:rPr>
          <w:sz w:val="22"/>
          <w:szCs w:val="22"/>
          <w:lang w:val="en-US"/>
        </w:rPr>
        <w:t>– completed in 2016], the vast majority of dictionaries of New Testament Greek (and Ancient / Hellenistic Greek as well) are based on the work of their editors or concordances. However, such practices have inherent disadvantages: a) the corpus of texts and the preliminary results (e.g. number of occurrences, textual variants etc.) are not accessible to third parties. Therefore, they cannot be externally validated or expanded as textual research progresses. b) the closed nature of such works does not allow for interdisciplinary usage and for the implementation in similar projects.</w:t>
      </w:r>
    </w:p>
    <w:p w:rsidR="00066B22" w:rsidRPr="00E37E8B" w:rsidRDefault="00066B22" w:rsidP="00066B22">
      <w:pPr>
        <w:tabs>
          <w:tab w:val="left" w:pos="284"/>
        </w:tabs>
        <w:rPr>
          <w:sz w:val="22"/>
          <w:szCs w:val="22"/>
        </w:rPr>
      </w:pPr>
      <w:r w:rsidRPr="00E37E8B">
        <w:rPr>
          <w:sz w:val="22"/>
          <w:szCs w:val="22"/>
          <w:lang w:val="en-US"/>
        </w:rPr>
        <w:t>Moreover, the practices and directives of the European Union (e.g. CLARIN - European Research Infrastructure for Language Resources and Technology), as well as those adopted by Northern American academic institutions, emphasize open access to data (e.g. lemmas), statistical figures, morphology and take into account incorporation in larger projects</w:t>
      </w:r>
      <w:bookmarkStart w:id="18" w:name="__Fieldmark__222_1129172694"/>
      <w:r w:rsidRPr="00E37E8B">
        <w:rPr>
          <w:sz w:val="22"/>
          <w:szCs w:val="22"/>
          <w:lang w:val="en-US"/>
        </w:rPr>
        <w:t>​</w:t>
      </w:r>
      <w:bookmarkEnd w:id="18"/>
      <w:r w:rsidRPr="00E37E8B">
        <w:rPr>
          <w:sz w:val="22"/>
          <w:szCs w:val="22"/>
          <w:lang w:val="en-US"/>
        </w:rPr>
        <w:t xml:space="preserve"> </w:t>
      </w:r>
      <w:bookmarkStart w:id="19" w:name="__Fieldmark__219_1129172694"/>
      <w:r w:rsidRPr="00E37E8B">
        <w:rPr>
          <w:sz w:val="22"/>
          <w:szCs w:val="22"/>
          <w:lang w:val="en-US"/>
        </w:rPr>
        <w:t xml:space="preserve"> </w:t>
      </w:r>
      <w:r w:rsidR="00541A92" w:rsidRPr="00E37E8B">
        <w:rPr>
          <w:sz w:val="22"/>
          <w:szCs w:val="22"/>
        </w:rPr>
        <w:fldChar w:fldCharType="begin"/>
      </w:r>
      <w:r w:rsidRPr="00E37E8B">
        <w:rPr>
          <w:sz w:val="22"/>
          <w:szCs w:val="22"/>
        </w:rPr>
        <w:instrText>ADDIN BEC{Hutchings, 2017, #48327}</w:instrText>
      </w:r>
      <w:r w:rsidR="00541A92" w:rsidRPr="00E37E8B">
        <w:rPr>
          <w:sz w:val="22"/>
          <w:szCs w:val="22"/>
        </w:rPr>
        <w:fldChar w:fldCharType="separate"/>
      </w:r>
      <w:r w:rsidRPr="00E37E8B">
        <w:rPr>
          <w:sz w:val="22"/>
          <w:szCs w:val="22"/>
        </w:rPr>
        <w:t>(Hutchings, 2017)</w:t>
      </w:r>
      <w:r w:rsidR="00541A92" w:rsidRPr="00E37E8B">
        <w:rPr>
          <w:sz w:val="22"/>
          <w:szCs w:val="22"/>
        </w:rPr>
        <w:fldChar w:fldCharType="end"/>
      </w:r>
      <w:bookmarkEnd w:id="19"/>
      <w:r w:rsidRPr="00E37E8B">
        <w:rPr>
          <w:sz w:val="22"/>
          <w:szCs w:val="22"/>
        </w:rPr>
        <w:t>.</w:t>
      </w:r>
      <w:r w:rsidRPr="00E37E8B">
        <w:rPr>
          <w:sz w:val="22"/>
          <w:szCs w:val="22"/>
          <w:lang w:val="en-US"/>
        </w:rPr>
        <w:t xml:space="preserve"> Important examples are the Ancient Greek and Latin Dependency Treebank (University of Leipzig), and the Perseus Project at Tufts University</w:t>
      </w:r>
      <w:bookmarkStart w:id="20" w:name="__Fieldmark__231_1129172694"/>
      <w:r w:rsidRPr="00E37E8B">
        <w:rPr>
          <w:sz w:val="22"/>
          <w:szCs w:val="22"/>
          <w:lang w:val="en-US"/>
        </w:rPr>
        <w:t>​</w:t>
      </w:r>
      <w:bookmarkStart w:id="21" w:name="__Fieldmark__228_1129172694"/>
      <w:bookmarkEnd w:id="20"/>
      <w:r w:rsidRPr="00E37E8B">
        <w:rPr>
          <w:sz w:val="22"/>
          <w:szCs w:val="22"/>
          <w:lang w:val="en-US"/>
        </w:rPr>
        <w:t xml:space="preserve"> </w:t>
      </w:r>
      <w:r w:rsidR="00541A92" w:rsidRPr="00E37E8B">
        <w:rPr>
          <w:sz w:val="22"/>
          <w:szCs w:val="22"/>
        </w:rPr>
        <w:fldChar w:fldCharType="begin"/>
      </w:r>
      <w:r w:rsidRPr="00E37E8B">
        <w:rPr>
          <w:sz w:val="22"/>
          <w:szCs w:val="22"/>
        </w:rPr>
        <w:instrText>ADDIN BEC{Almas and Berti, 2013, #52868}</w:instrText>
      </w:r>
      <w:r w:rsidR="00541A92" w:rsidRPr="00E37E8B">
        <w:rPr>
          <w:sz w:val="22"/>
          <w:szCs w:val="22"/>
        </w:rPr>
        <w:fldChar w:fldCharType="separate"/>
      </w:r>
      <w:r w:rsidRPr="00E37E8B">
        <w:rPr>
          <w:sz w:val="22"/>
          <w:szCs w:val="22"/>
        </w:rPr>
        <w:t>(Almas &amp; Berti, 2013)</w:t>
      </w:r>
      <w:r w:rsidR="00541A92" w:rsidRPr="00E37E8B">
        <w:rPr>
          <w:sz w:val="22"/>
          <w:szCs w:val="22"/>
        </w:rPr>
        <w:fldChar w:fldCharType="end"/>
      </w:r>
      <w:bookmarkEnd w:id="21"/>
      <w:r w:rsidRPr="00E37E8B">
        <w:rPr>
          <w:sz w:val="22"/>
          <w:szCs w:val="22"/>
        </w:rPr>
        <w:t xml:space="preserve">. </w:t>
      </w:r>
      <w:r w:rsidRPr="00E37E8B">
        <w:rPr>
          <w:sz w:val="22"/>
          <w:szCs w:val="22"/>
          <w:lang w:val="en-US"/>
        </w:rPr>
        <w:t xml:space="preserve">In contrast to Thesaurus </w:t>
      </w:r>
      <w:proofErr w:type="spellStart"/>
      <w:r w:rsidRPr="00E37E8B">
        <w:rPr>
          <w:sz w:val="22"/>
          <w:szCs w:val="22"/>
          <w:lang w:val="en-US"/>
        </w:rPr>
        <w:t>Linguae</w:t>
      </w:r>
      <w:proofErr w:type="spellEnd"/>
      <w:r w:rsidRPr="00E37E8B">
        <w:rPr>
          <w:sz w:val="22"/>
          <w:szCs w:val="22"/>
          <w:lang w:val="en-US"/>
        </w:rPr>
        <w:t xml:space="preserve"> </w:t>
      </w:r>
      <w:proofErr w:type="spellStart"/>
      <w:r w:rsidRPr="00E37E8B">
        <w:rPr>
          <w:sz w:val="22"/>
          <w:szCs w:val="22"/>
          <w:lang w:val="en-US"/>
        </w:rPr>
        <w:t>Graecae</w:t>
      </w:r>
      <w:proofErr w:type="spellEnd"/>
      <w:r w:rsidRPr="00E37E8B">
        <w:rPr>
          <w:sz w:val="22"/>
          <w:szCs w:val="22"/>
          <w:lang w:val="en-US"/>
        </w:rPr>
        <w:t xml:space="preserve"> (TLG), which is maintained by the University of California, Irvine, the aforementioned projects are: a) open and free to the public, b) aggregate massive amounts of minable metadata (morphology, syntax, semantics). For Biblical Hebrew, there is a similar open project (open to cloning, modification, and contribution) known as SHEBANQ (System for </w:t>
      </w:r>
      <w:proofErr w:type="spellStart"/>
      <w:r w:rsidRPr="00E37E8B">
        <w:rPr>
          <w:sz w:val="22"/>
          <w:szCs w:val="22"/>
          <w:lang w:val="en-US"/>
        </w:rPr>
        <w:t>HEBrew</w:t>
      </w:r>
      <w:proofErr w:type="spellEnd"/>
      <w:r w:rsidRPr="00E37E8B">
        <w:rPr>
          <w:sz w:val="22"/>
          <w:szCs w:val="22"/>
          <w:lang w:val="en-US"/>
        </w:rPr>
        <w:t xml:space="preserve"> Text: </w:t>
      </w:r>
      <w:proofErr w:type="spellStart"/>
      <w:r w:rsidRPr="00E37E8B">
        <w:rPr>
          <w:sz w:val="22"/>
          <w:szCs w:val="22"/>
          <w:lang w:val="en-US"/>
        </w:rPr>
        <w:t>ANnotations</w:t>
      </w:r>
      <w:proofErr w:type="spellEnd"/>
      <w:r w:rsidRPr="00E37E8B">
        <w:rPr>
          <w:sz w:val="22"/>
          <w:szCs w:val="22"/>
          <w:lang w:val="en-US"/>
        </w:rPr>
        <w:t xml:space="preserve"> for Queries and Markup) currently being developed and augmented by the </w:t>
      </w:r>
      <w:proofErr w:type="spellStart"/>
      <w:r w:rsidRPr="00E37E8B">
        <w:rPr>
          <w:sz w:val="22"/>
          <w:szCs w:val="22"/>
          <w:lang w:val="en-US"/>
        </w:rPr>
        <w:t>Eep</w:t>
      </w:r>
      <w:proofErr w:type="spellEnd"/>
      <w:r w:rsidRPr="00E37E8B">
        <w:rPr>
          <w:sz w:val="22"/>
          <w:szCs w:val="22"/>
          <w:lang w:val="en-US"/>
        </w:rPr>
        <w:t xml:space="preserve"> </w:t>
      </w:r>
      <w:proofErr w:type="spellStart"/>
      <w:r w:rsidRPr="00E37E8B">
        <w:rPr>
          <w:sz w:val="22"/>
          <w:szCs w:val="22"/>
          <w:lang w:val="en-US"/>
        </w:rPr>
        <w:t>Talstra</w:t>
      </w:r>
      <w:proofErr w:type="spellEnd"/>
      <w:r w:rsidRPr="00E37E8B">
        <w:rPr>
          <w:sz w:val="22"/>
          <w:szCs w:val="22"/>
          <w:lang w:val="en-US"/>
        </w:rPr>
        <w:t xml:space="preserve"> Centre for Bible and Computer (ETCBC) of </w:t>
      </w:r>
      <w:proofErr w:type="spellStart"/>
      <w:r w:rsidRPr="00E37E8B">
        <w:rPr>
          <w:sz w:val="22"/>
          <w:szCs w:val="22"/>
          <w:lang w:val="en-US"/>
        </w:rPr>
        <w:t>Vrije</w:t>
      </w:r>
      <w:proofErr w:type="spellEnd"/>
      <w:r w:rsidRPr="00E37E8B">
        <w:rPr>
          <w:sz w:val="22"/>
          <w:szCs w:val="22"/>
          <w:lang w:val="en-US"/>
        </w:rPr>
        <w:t xml:space="preserve"> University in Netherlands</w:t>
      </w:r>
      <w:bookmarkStart w:id="22" w:name="__Fieldmark__241_1129172694"/>
      <w:r w:rsidRPr="00E37E8B">
        <w:rPr>
          <w:sz w:val="22"/>
          <w:szCs w:val="22"/>
          <w:lang w:val="en-US"/>
        </w:rPr>
        <w:t>​</w:t>
      </w:r>
      <w:bookmarkStart w:id="23" w:name="__Fieldmark__238_1129172694"/>
      <w:bookmarkEnd w:id="22"/>
      <w:r w:rsidRPr="00E37E8B">
        <w:rPr>
          <w:sz w:val="22"/>
          <w:szCs w:val="22"/>
          <w:lang w:val="en-US"/>
        </w:rPr>
        <w:t xml:space="preserve"> </w:t>
      </w:r>
      <w:r w:rsidR="00541A92" w:rsidRPr="00E37E8B">
        <w:rPr>
          <w:sz w:val="22"/>
          <w:szCs w:val="22"/>
        </w:rPr>
        <w:fldChar w:fldCharType="begin"/>
      </w:r>
      <w:r w:rsidRPr="00E37E8B">
        <w:rPr>
          <w:sz w:val="22"/>
          <w:szCs w:val="22"/>
        </w:rPr>
        <w:instrText>ADDIN BEC{van Hessen, 2017, #4294}</w:instrText>
      </w:r>
      <w:r w:rsidR="00541A92" w:rsidRPr="00E37E8B">
        <w:rPr>
          <w:sz w:val="22"/>
          <w:szCs w:val="22"/>
        </w:rPr>
        <w:fldChar w:fldCharType="separate"/>
      </w:r>
      <w:r w:rsidRPr="00E37E8B">
        <w:rPr>
          <w:sz w:val="22"/>
          <w:szCs w:val="22"/>
        </w:rPr>
        <w:t>(van Hessen, 2017)</w:t>
      </w:r>
      <w:r w:rsidR="00541A92" w:rsidRPr="00E37E8B">
        <w:rPr>
          <w:sz w:val="22"/>
          <w:szCs w:val="22"/>
        </w:rPr>
        <w:fldChar w:fldCharType="end"/>
      </w:r>
      <w:bookmarkEnd w:id="23"/>
      <w:r w:rsidRPr="00E37E8B">
        <w:rPr>
          <w:sz w:val="22"/>
          <w:szCs w:val="22"/>
        </w:rPr>
        <w:t xml:space="preserve">. </w:t>
      </w:r>
      <w:r w:rsidRPr="00E37E8B">
        <w:rPr>
          <w:sz w:val="22"/>
          <w:szCs w:val="22"/>
          <w:lang w:val="en-US"/>
        </w:rPr>
        <w:t xml:space="preserve">Other closed projects include Thesaurus </w:t>
      </w:r>
      <w:proofErr w:type="spellStart"/>
      <w:r w:rsidRPr="00E37E8B">
        <w:rPr>
          <w:sz w:val="22"/>
          <w:szCs w:val="22"/>
          <w:lang w:val="en-US"/>
        </w:rPr>
        <w:t>Linguae</w:t>
      </w:r>
      <w:proofErr w:type="spellEnd"/>
      <w:r w:rsidRPr="00E37E8B">
        <w:rPr>
          <w:sz w:val="22"/>
          <w:szCs w:val="22"/>
          <w:lang w:val="en-US"/>
        </w:rPr>
        <w:t xml:space="preserve"> </w:t>
      </w:r>
      <w:proofErr w:type="spellStart"/>
      <w:r w:rsidRPr="00E37E8B">
        <w:rPr>
          <w:sz w:val="22"/>
          <w:szCs w:val="22"/>
          <w:lang w:val="en-US"/>
        </w:rPr>
        <w:t>Latinae</w:t>
      </w:r>
      <w:proofErr w:type="spellEnd"/>
      <w:r w:rsidRPr="00E37E8B">
        <w:rPr>
          <w:sz w:val="22"/>
          <w:szCs w:val="22"/>
          <w:lang w:val="en-US"/>
        </w:rPr>
        <w:t xml:space="preserve">, Duke Documentary Papyri and </w:t>
      </w:r>
      <w:proofErr w:type="spellStart"/>
      <w:r w:rsidRPr="00E37E8B">
        <w:rPr>
          <w:sz w:val="22"/>
          <w:szCs w:val="22"/>
          <w:lang w:val="en-US"/>
        </w:rPr>
        <w:t>Responsa</w:t>
      </w:r>
      <w:proofErr w:type="spellEnd"/>
      <w:r w:rsidRPr="00E37E8B">
        <w:rPr>
          <w:sz w:val="22"/>
          <w:szCs w:val="22"/>
          <w:lang w:val="en-US"/>
        </w:rPr>
        <w:t xml:space="preserve"> (ancient and medieval Jewish Literature with an emphasis on rabbinical works). They are maintained without access to third parties and their usage has a significant cost on individual researchers and academic institutions.</w:t>
      </w:r>
    </w:p>
    <w:p w:rsidR="00066B22" w:rsidRPr="00E37E8B" w:rsidRDefault="00066B22" w:rsidP="00DF0DA0">
      <w:pPr>
        <w:tabs>
          <w:tab w:val="left" w:pos="284"/>
        </w:tabs>
        <w:rPr>
          <w:sz w:val="22"/>
          <w:szCs w:val="22"/>
          <w:lang w:val="en-US"/>
        </w:rPr>
      </w:pPr>
      <w:r w:rsidRPr="00E37E8B">
        <w:rPr>
          <w:sz w:val="22"/>
          <w:szCs w:val="22"/>
          <w:lang w:val="en-US"/>
        </w:rPr>
        <w:t>The lemmas of Romans will be indexed in an electronic database and the source text will follow the widely accepted critical text of the New Testament</w:t>
      </w:r>
      <w:bookmarkStart w:id="24" w:name="__Fieldmark__253_1129172694"/>
      <w:r w:rsidRPr="00E37E8B">
        <w:rPr>
          <w:sz w:val="22"/>
          <w:szCs w:val="22"/>
          <w:lang w:val="en-US"/>
        </w:rPr>
        <w:t>​</w:t>
      </w:r>
      <w:bookmarkStart w:id="25" w:name="__Fieldmark__250_1129172694"/>
      <w:bookmarkEnd w:id="24"/>
      <w:r w:rsidRPr="00E37E8B">
        <w:rPr>
          <w:sz w:val="22"/>
          <w:szCs w:val="22"/>
          <w:lang w:val="en-US"/>
        </w:rPr>
        <w:t xml:space="preserve"> </w:t>
      </w:r>
      <w:r w:rsidR="00541A92" w:rsidRPr="00E37E8B">
        <w:rPr>
          <w:sz w:val="22"/>
          <w:szCs w:val="22"/>
        </w:rPr>
        <w:fldChar w:fldCharType="begin"/>
      </w:r>
      <w:r w:rsidRPr="00E37E8B">
        <w:rPr>
          <w:sz w:val="22"/>
          <w:szCs w:val="22"/>
        </w:rPr>
        <w:instrText>ADDIN BEC{Nestle et al., 2012, #37835}</w:instrText>
      </w:r>
      <w:r w:rsidR="00541A92" w:rsidRPr="00E37E8B">
        <w:rPr>
          <w:sz w:val="22"/>
          <w:szCs w:val="22"/>
        </w:rPr>
        <w:fldChar w:fldCharType="separate"/>
      </w:r>
      <w:r w:rsidRPr="00E37E8B">
        <w:rPr>
          <w:sz w:val="22"/>
          <w:szCs w:val="22"/>
        </w:rPr>
        <w:t>(Nestle et al., 2012)</w:t>
      </w:r>
      <w:r w:rsidR="00541A92" w:rsidRPr="00E37E8B">
        <w:rPr>
          <w:sz w:val="22"/>
          <w:szCs w:val="22"/>
        </w:rPr>
        <w:fldChar w:fldCharType="end"/>
      </w:r>
      <w:bookmarkEnd w:id="25"/>
      <w:r w:rsidRPr="00E37E8B">
        <w:rPr>
          <w:sz w:val="22"/>
          <w:szCs w:val="22"/>
          <w:lang w:val="en-US"/>
        </w:rPr>
        <w:t xml:space="preserve">. Each lemma will be illustrated with a plethora of excerpts that will highlight the context in which it is used (e.g. Hellenistic authors, texts from the Septuagint, ancient Jewish and Latin terminology) as well as accompanied by a select number of references to recent studies (articles and monographs). As stylistics is an important part of a text, there is a provision for statistical data (frequency, single occurrences) in regards to syntactical structures that deviate from typical Hellenistic Greek. This basic part of the project will contribute to a </w:t>
      </w:r>
      <w:r w:rsidRPr="00E37E8B">
        <w:rPr>
          <w:i/>
          <w:iCs/>
          <w:sz w:val="22"/>
          <w:szCs w:val="22"/>
          <w:lang w:val="en-US"/>
        </w:rPr>
        <w:t xml:space="preserve">Lexicon </w:t>
      </w:r>
      <w:proofErr w:type="spellStart"/>
      <w:r w:rsidRPr="00E37E8B">
        <w:rPr>
          <w:i/>
          <w:iCs/>
          <w:sz w:val="22"/>
          <w:szCs w:val="22"/>
          <w:lang w:val="en-US"/>
        </w:rPr>
        <w:t>Paulinum</w:t>
      </w:r>
      <w:proofErr w:type="spellEnd"/>
      <w:r w:rsidRPr="00E37E8B">
        <w:rPr>
          <w:sz w:val="22"/>
          <w:szCs w:val="22"/>
          <w:lang w:val="en-US"/>
        </w:rPr>
        <w:t xml:space="preserve"> and provide the necessary data for the semantic analysis of important theological terms that are found in the epistle. The need for contemporary, comprehensive lexicon of the New Testament is widely acknowledged; this project will remain open and available to all interested lexicographers and take into account recent research that suggests that its scope should expand to earlier (e.g. Hellenistic literature, Septuagint) and later resources</w:t>
      </w:r>
      <w:bookmarkStart w:id="26" w:name="__Fieldmark__265_1129172694"/>
      <w:r w:rsidRPr="00E37E8B">
        <w:rPr>
          <w:sz w:val="22"/>
          <w:szCs w:val="22"/>
          <w:lang w:val="en-US"/>
        </w:rPr>
        <w:t>​</w:t>
      </w:r>
      <w:bookmarkStart w:id="27" w:name="__Fieldmark__262_1129172694"/>
      <w:bookmarkEnd w:id="26"/>
      <w:r w:rsidRPr="00E37E8B">
        <w:rPr>
          <w:sz w:val="22"/>
          <w:szCs w:val="22"/>
          <w:lang w:val="en-US"/>
        </w:rPr>
        <w:t xml:space="preserve"> </w:t>
      </w:r>
      <w:r w:rsidR="00541A92" w:rsidRPr="00E37E8B">
        <w:rPr>
          <w:sz w:val="22"/>
          <w:szCs w:val="22"/>
        </w:rPr>
        <w:fldChar w:fldCharType="begin"/>
      </w:r>
      <w:r w:rsidRPr="00E37E8B">
        <w:rPr>
          <w:sz w:val="22"/>
          <w:szCs w:val="22"/>
        </w:rPr>
        <w:instrText>ADDIN BEC{Hasselbrook, 2011, #17492}{Lee, 2003, #50460}{Gathercole, 1999, #94831}</w:instrText>
      </w:r>
      <w:r w:rsidR="00541A92" w:rsidRPr="00E37E8B">
        <w:rPr>
          <w:sz w:val="22"/>
          <w:szCs w:val="22"/>
        </w:rPr>
        <w:fldChar w:fldCharType="separate"/>
      </w:r>
      <w:r w:rsidRPr="00E37E8B">
        <w:rPr>
          <w:sz w:val="22"/>
          <w:szCs w:val="22"/>
        </w:rPr>
        <w:t>(Hasselbrook, 2011; Lee, 2003; Gathercole, 1999)</w:t>
      </w:r>
      <w:r w:rsidR="00541A92" w:rsidRPr="00E37E8B">
        <w:rPr>
          <w:sz w:val="22"/>
          <w:szCs w:val="22"/>
        </w:rPr>
        <w:fldChar w:fldCharType="end"/>
      </w:r>
      <w:bookmarkEnd w:id="27"/>
      <w:r w:rsidRPr="00E37E8B">
        <w:rPr>
          <w:sz w:val="22"/>
          <w:szCs w:val="22"/>
          <w:lang w:val="en-US"/>
        </w:rPr>
        <w:t>. Moreover, another point raised by researchers will be partly addressed: the need for updated evidence on definitions and semantic notions</w:t>
      </w:r>
      <w:bookmarkStart w:id="28" w:name="__Fieldmark__274_1129172694"/>
      <w:r w:rsidRPr="00E37E8B">
        <w:rPr>
          <w:sz w:val="22"/>
          <w:szCs w:val="22"/>
          <w:lang w:val="en-US"/>
        </w:rPr>
        <w:t>​</w:t>
      </w:r>
      <w:bookmarkStart w:id="29" w:name="__Fieldmark__271_1129172694"/>
      <w:bookmarkEnd w:id="28"/>
      <w:r w:rsidRPr="00E37E8B">
        <w:rPr>
          <w:sz w:val="22"/>
          <w:szCs w:val="22"/>
          <w:lang w:val="en-US"/>
        </w:rPr>
        <w:t xml:space="preserve"> </w:t>
      </w:r>
      <w:r w:rsidR="00541A92" w:rsidRPr="00E37E8B">
        <w:rPr>
          <w:sz w:val="22"/>
          <w:szCs w:val="22"/>
        </w:rPr>
        <w:fldChar w:fldCharType="begin"/>
      </w:r>
      <w:r w:rsidRPr="00E37E8B">
        <w:rPr>
          <w:sz w:val="22"/>
          <w:szCs w:val="22"/>
        </w:rPr>
        <w:instrText>ADDIN BEC{Bromiley et al., 1964, #58220}{Louw and Nida, 1989, #44653}</w:instrText>
      </w:r>
      <w:r w:rsidR="00541A92" w:rsidRPr="00E37E8B">
        <w:rPr>
          <w:sz w:val="22"/>
          <w:szCs w:val="22"/>
        </w:rPr>
        <w:fldChar w:fldCharType="separate"/>
      </w:r>
      <w:r w:rsidRPr="00E37E8B">
        <w:rPr>
          <w:sz w:val="22"/>
          <w:szCs w:val="22"/>
        </w:rPr>
        <w:t>(Bromiley, Friedrich, Kittel, &amp; Pitkin, 1964; Louw &amp; Nida, 1989)</w:t>
      </w:r>
      <w:r w:rsidR="00541A92" w:rsidRPr="00E37E8B">
        <w:rPr>
          <w:sz w:val="22"/>
          <w:szCs w:val="22"/>
        </w:rPr>
        <w:fldChar w:fldCharType="end"/>
      </w:r>
      <w:r w:rsidRPr="00E37E8B">
        <w:rPr>
          <w:sz w:val="22"/>
          <w:szCs w:val="22"/>
        </w:rPr>
        <w:t xml:space="preserve"> </w:t>
      </w:r>
      <w:bookmarkEnd w:id="29"/>
      <w:r w:rsidRPr="00E37E8B">
        <w:rPr>
          <w:sz w:val="22"/>
          <w:szCs w:val="22"/>
          <w:lang w:val="en-US"/>
        </w:rPr>
        <w:t>in the light of new textual discoveries</w:t>
      </w:r>
      <w:bookmarkStart w:id="30" w:name="__Fieldmark__283_1129172694"/>
      <w:r w:rsidRPr="00E37E8B">
        <w:rPr>
          <w:sz w:val="22"/>
          <w:szCs w:val="22"/>
          <w:lang w:val="en-US"/>
        </w:rPr>
        <w:t xml:space="preserve"> </w:t>
      </w:r>
      <w:r w:rsidR="00541A92" w:rsidRPr="00E37E8B">
        <w:rPr>
          <w:sz w:val="22"/>
          <w:szCs w:val="22"/>
          <w:lang w:val="en-US"/>
        </w:rPr>
        <w:fldChar w:fldCharType="begin"/>
      </w:r>
      <w:r w:rsidRPr="00E37E8B">
        <w:rPr>
          <w:sz w:val="22"/>
          <w:szCs w:val="22"/>
          <w:lang w:val="en-US"/>
        </w:rPr>
        <w:instrText>ADDIN BEC{Collins, 2012, #87665; Volodymyr and Larysa, 2015, #94767; Zsupan-Jerome, 2017, #32559}</w:instrText>
      </w:r>
      <w:r w:rsidR="00541A92" w:rsidRPr="00E37E8B">
        <w:rPr>
          <w:sz w:val="22"/>
          <w:szCs w:val="22"/>
          <w:lang w:val="en-US"/>
        </w:rPr>
        <w:fldChar w:fldCharType="separate"/>
      </w:r>
      <w:r w:rsidRPr="00E37E8B">
        <w:rPr>
          <w:sz w:val="22"/>
          <w:szCs w:val="22"/>
          <w:lang w:val="en-US"/>
        </w:rPr>
        <w:t>(Collins, 2012; Volodymyr &amp; Larysa, 2015; Zsupan-Jerome, 2017)</w:t>
      </w:r>
      <w:r w:rsidR="00541A92" w:rsidRPr="00E37E8B">
        <w:rPr>
          <w:sz w:val="22"/>
          <w:szCs w:val="22"/>
          <w:lang w:val="en-US"/>
        </w:rPr>
        <w:fldChar w:fldCharType="end"/>
      </w:r>
      <w:r w:rsidRPr="00E37E8B">
        <w:rPr>
          <w:sz w:val="22"/>
          <w:szCs w:val="22"/>
          <w:lang w:val="en-US"/>
        </w:rPr>
        <w:t>​</w:t>
      </w:r>
      <w:bookmarkEnd w:id="30"/>
      <w:r w:rsidRPr="00E37E8B">
        <w:rPr>
          <w:sz w:val="22"/>
          <w:szCs w:val="22"/>
          <w:lang w:val="en-US"/>
        </w:rPr>
        <w:t>.</w:t>
      </w:r>
      <w:r w:rsidR="005115AD" w:rsidRPr="00E37E8B">
        <w:rPr>
          <w:sz w:val="22"/>
          <w:szCs w:val="22"/>
          <w:lang w:val="en-US"/>
        </w:rPr>
        <w:t xml:space="preserve"> </w:t>
      </w:r>
    </w:p>
    <w:p w:rsidR="00E02660" w:rsidRPr="00E37E8B" w:rsidRDefault="00066B22" w:rsidP="00E02660">
      <w:pPr>
        <w:tabs>
          <w:tab w:val="left" w:pos="284"/>
        </w:tabs>
        <w:rPr>
          <w:sz w:val="22"/>
          <w:szCs w:val="22"/>
          <w:lang w:val="en-US"/>
        </w:rPr>
      </w:pPr>
      <w:r w:rsidRPr="00E37E8B">
        <w:rPr>
          <w:sz w:val="22"/>
          <w:szCs w:val="22"/>
          <w:lang w:val="en-US"/>
        </w:rPr>
        <w:t>To illustrate the possible outcomes of such a research proposed by this project, we will be briefly examining some key terms that need further elucidation</w:t>
      </w:r>
      <w:r w:rsidR="00E02660" w:rsidRPr="00E37E8B">
        <w:rPr>
          <w:sz w:val="22"/>
          <w:szCs w:val="22"/>
          <w:lang w:val="en-US"/>
        </w:rPr>
        <w:t>. The following graph is a proof of concept of the digital lexicon and its usage.</w:t>
      </w:r>
    </w:p>
    <w:p w:rsidR="00066B22" w:rsidRPr="00E37E8B" w:rsidRDefault="00E02660" w:rsidP="00E37E8B">
      <w:pPr>
        <w:tabs>
          <w:tab w:val="left" w:pos="284"/>
        </w:tabs>
        <w:jc w:val="left"/>
        <w:rPr>
          <w:sz w:val="22"/>
          <w:szCs w:val="22"/>
          <w:lang w:val="en-US"/>
        </w:rPr>
      </w:pPr>
      <w:r w:rsidRPr="00E37E8B">
        <w:rPr>
          <w:noProof/>
          <w:sz w:val="22"/>
          <w:szCs w:val="22"/>
          <w:lang w:val="el-GR" w:eastAsia="el-GR"/>
        </w:rPr>
        <w:drawing>
          <wp:inline distT="0" distB="0" distL="0" distR="0">
            <wp:extent cx="4929893" cy="1697111"/>
            <wp:effectExtent l="152400" t="152400" r="150495" b="1828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panagiotis/Desktop/1.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4995021" cy="171953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66B22" w:rsidRPr="00E37E8B" w:rsidRDefault="00066B22" w:rsidP="00E02660">
      <w:pPr>
        <w:tabs>
          <w:tab w:val="left" w:pos="284"/>
        </w:tabs>
        <w:rPr>
          <w:sz w:val="22"/>
          <w:szCs w:val="22"/>
          <w:lang w:val="en-US"/>
        </w:rPr>
      </w:pPr>
      <w:r w:rsidRPr="00E37E8B">
        <w:rPr>
          <w:sz w:val="22"/>
          <w:szCs w:val="22"/>
          <w:lang w:val="en-US"/>
        </w:rPr>
        <w:t xml:space="preserve">The term </w:t>
      </w:r>
      <w:proofErr w:type="spellStart"/>
      <w:r w:rsidRPr="00E37E8B">
        <w:rPr>
          <w:b/>
          <w:bCs/>
          <w:i/>
          <w:iCs/>
          <w:sz w:val="22"/>
          <w:szCs w:val="22"/>
          <w:lang w:val="en-US"/>
        </w:rPr>
        <w:t>δικαιοσύνη</w:t>
      </w:r>
      <w:proofErr w:type="spellEnd"/>
      <w:r w:rsidRPr="00E37E8B">
        <w:rPr>
          <w:b/>
          <w:bCs/>
          <w:i/>
          <w:iCs/>
          <w:sz w:val="22"/>
          <w:szCs w:val="22"/>
          <w:lang w:val="en-US"/>
        </w:rPr>
        <w:t xml:space="preserve"> </w:t>
      </w:r>
      <w:r w:rsidRPr="00E37E8B">
        <w:rPr>
          <w:sz w:val="22"/>
          <w:szCs w:val="22"/>
          <w:lang w:val="en-US"/>
        </w:rPr>
        <w:t>in Biblical Greek does not convey the meaning of following and practicing the law (in contrast to Ancient / Hellenistic Greek and Latin), but focuses on the response of someone in a relationship. In the Bible, it can have a diverse array of meanings: 1) kindness, mercy, charity, benevolence (</w:t>
      </w:r>
      <w:r w:rsidRPr="00E37E8B">
        <w:rPr>
          <w:i/>
          <w:iCs/>
          <w:sz w:val="22"/>
          <w:szCs w:val="22"/>
          <w:lang w:val="en-US"/>
        </w:rPr>
        <w:t>Zech</w:t>
      </w:r>
      <w:r w:rsidRPr="00E37E8B">
        <w:rPr>
          <w:sz w:val="22"/>
          <w:szCs w:val="22"/>
          <w:lang w:val="en-US"/>
        </w:rPr>
        <w:t xml:space="preserve"> 9:9; </w:t>
      </w:r>
      <w:r w:rsidRPr="00E37E8B">
        <w:rPr>
          <w:i/>
          <w:iCs/>
          <w:sz w:val="22"/>
          <w:szCs w:val="22"/>
          <w:lang w:val="en-US"/>
        </w:rPr>
        <w:t>Is</w:t>
      </w:r>
      <w:r w:rsidRPr="00E37E8B">
        <w:rPr>
          <w:sz w:val="22"/>
          <w:szCs w:val="22"/>
          <w:lang w:val="en-US"/>
        </w:rPr>
        <w:t xml:space="preserve"> 45:1). So, </w:t>
      </w:r>
      <w:proofErr w:type="spellStart"/>
      <w:r w:rsidRPr="00E37E8B">
        <w:rPr>
          <w:b/>
          <w:bCs/>
          <w:i/>
          <w:iCs/>
          <w:sz w:val="22"/>
          <w:szCs w:val="22"/>
          <w:lang w:val="en-US"/>
        </w:rPr>
        <w:t>δικαιοσύνη</w:t>
      </w:r>
      <w:proofErr w:type="spellEnd"/>
      <w:r w:rsidRPr="00E37E8B">
        <w:rPr>
          <w:sz w:val="22"/>
          <w:szCs w:val="22"/>
          <w:lang w:val="en-US"/>
        </w:rPr>
        <w:t xml:space="preserve"> of God can refer to the acts of kindness and salvation for the benefit of God’s people / the righteous. 2) the mode of salvation / justification (</w:t>
      </w:r>
      <w:r w:rsidRPr="00E37E8B">
        <w:rPr>
          <w:i/>
          <w:iCs/>
          <w:sz w:val="22"/>
          <w:szCs w:val="22"/>
          <w:lang w:val="en-US"/>
        </w:rPr>
        <w:t>Rom</w:t>
      </w:r>
      <w:r w:rsidRPr="00E37E8B">
        <w:rPr>
          <w:sz w:val="22"/>
          <w:szCs w:val="22"/>
          <w:lang w:val="en-US"/>
        </w:rPr>
        <w:t xml:space="preserve"> 10:3). 3) salvation / glory / richness (</w:t>
      </w:r>
      <w:r w:rsidRPr="00E37E8B">
        <w:rPr>
          <w:i/>
          <w:iCs/>
          <w:sz w:val="22"/>
          <w:szCs w:val="22"/>
          <w:lang w:val="en-US"/>
        </w:rPr>
        <w:t>Rom</w:t>
      </w:r>
      <w:r w:rsidRPr="00E37E8B">
        <w:rPr>
          <w:sz w:val="22"/>
          <w:szCs w:val="22"/>
          <w:lang w:val="en-US"/>
        </w:rPr>
        <w:t xml:space="preserve"> 1:16). 4) «</w:t>
      </w:r>
      <w:proofErr w:type="spellStart"/>
      <w:r w:rsidRPr="00E37E8B">
        <w:rPr>
          <w:sz w:val="22"/>
          <w:szCs w:val="22"/>
          <w:lang w:val="en-US"/>
        </w:rPr>
        <w:t>δικαιοσύνη</w:t>
      </w:r>
      <w:proofErr w:type="spellEnd"/>
      <w:r w:rsidRPr="00E37E8B">
        <w:rPr>
          <w:sz w:val="22"/>
          <w:szCs w:val="22"/>
          <w:lang w:val="en-US"/>
        </w:rPr>
        <w:t>» and «</w:t>
      </w:r>
      <w:proofErr w:type="spellStart"/>
      <w:r w:rsidRPr="00E37E8B">
        <w:rPr>
          <w:sz w:val="22"/>
          <w:szCs w:val="22"/>
          <w:lang w:val="en-US"/>
        </w:rPr>
        <w:t>δικαιοῦσθαι</w:t>
      </w:r>
      <w:proofErr w:type="spellEnd"/>
      <w:r w:rsidRPr="00E37E8B">
        <w:rPr>
          <w:sz w:val="22"/>
          <w:szCs w:val="22"/>
          <w:lang w:val="en-US"/>
        </w:rPr>
        <w:t xml:space="preserve">» </w:t>
      </w:r>
      <w:proofErr w:type="spellStart"/>
      <w:r w:rsidRPr="00E37E8B">
        <w:rPr>
          <w:sz w:val="22"/>
          <w:szCs w:val="22"/>
          <w:lang w:val="en-US"/>
        </w:rPr>
        <w:t>ἐκ</w:t>
      </w:r>
      <w:proofErr w:type="spellEnd"/>
      <w:r w:rsidRPr="00E37E8B">
        <w:rPr>
          <w:sz w:val="22"/>
          <w:szCs w:val="22"/>
          <w:lang w:val="en-US"/>
        </w:rPr>
        <w:t xml:space="preserve"> </w:t>
      </w:r>
      <w:proofErr w:type="spellStart"/>
      <w:r w:rsidRPr="00E37E8B">
        <w:rPr>
          <w:sz w:val="22"/>
          <w:szCs w:val="22"/>
          <w:lang w:val="en-US"/>
        </w:rPr>
        <w:t>πίστεως</w:t>
      </w:r>
      <w:proofErr w:type="spellEnd"/>
      <w:r w:rsidRPr="00E37E8B">
        <w:rPr>
          <w:sz w:val="22"/>
          <w:szCs w:val="22"/>
          <w:lang w:val="en-US"/>
        </w:rPr>
        <w:t xml:space="preserve"> / </w:t>
      </w:r>
      <w:proofErr w:type="spellStart"/>
      <w:r w:rsidRPr="00E37E8B">
        <w:rPr>
          <w:sz w:val="22"/>
          <w:szCs w:val="22"/>
          <w:lang w:val="en-US"/>
        </w:rPr>
        <w:t>ἐκ</w:t>
      </w:r>
      <w:proofErr w:type="spellEnd"/>
      <w:r w:rsidRPr="00E37E8B">
        <w:rPr>
          <w:sz w:val="22"/>
          <w:szCs w:val="22"/>
          <w:lang w:val="en-US"/>
        </w:rPr>
        <w:t xml:space="preserve"> </w:t>
      </w:r>
      <w:proofErr w:type="spellStart"/>
      <w:r w:rsidRPr="00E37E8B">
        <w:rPr>
          <w:sz w:val="22"/>
          <w:szCs w:val="22"/>
          <w:lang w:val="en-US"/>
        </w:rPr>
        <w:t>Θεοῦ</w:t>
      </w:r>
      <w:proofErr w:type="spellEnd"/>
      <w:r w:rsidRPr="00E37E8B">
        <w:rPr>
          <w:sz w:val="22"/>
          <w:szCs w:val="22"/>
          <w:lang w:val="en-US"/>
        </w:rPr>
        <w:t xml:space="preserve">» in early patristic tradition have a wide array of meanings that cannot be easily incorporated in a single definition. They refer to a </w:t>
      </w:r>
      <w:r w:rsidRPr="00E37E8B">
        <w:rPr>
          <w:sz w:val="22"/>
          <w:szCs w:val="22"/>
          <w:lang w:val="en-US"/>
        </w:rPr>
        <w:lastRenderedPageBreak/>
        <w:t xml:space="preserve">dynamic state which begins by the conversion to Christ, is understood by participating in ecclesiastical life and mysteries, is characterized by morality and is perfected in the world to come (eschatological reference). It is condition that characterizes the individual; the faith that leads to </w:t>
      </w:r>
      <w:proofErr w:type="spellStart"/>
      <w:r w:rsidRPr="00E37E8B">
        <w:rPr>
          <w:b/>
          <w:bCs/>
          <w:i/>
          <w:iCs/>
          <w:sz w:val="22"/>
          <w:szCs w:val="22"/>
          <w:lang w:val="en-US"/>
        </w:rPr>
        <w:t>δικαιοσύνη</w:t>
      </w:r>
      <w:proofErr w:type="spellEnd"/>
      <w:r w:rsidRPr="00E37E8B">
        <w:rPr>
          <w:sz w:val="22"/>
          <w:szCs w:val="22"/>
          <w:lang w:val="en-US"/>
        </w:rPr>
        <w:t xml:space="preserve"> is not only a mental state, but it is inherently connected to his/her morality (cf. </w:t>
      </w:r>
      <w:proofErr w:type="spellStart"/>
      <w:r w:rsidRPr="00E37E8B">
        <w:rPr>
          <w:sz w:val="22"/>
          <w:szCs w:val="22"/>
          <w:lang w:val="en-US"/>
        </w:rPr>
        <w:t>Chrystostomus</w:t>
      </w:r>
      <w:proofErr w:type="spellEnd"/>
      <w:r w:rsidRPr="00E37E8B">
        <w:rPr>
          <w:sz w:val="22"/>
          <w:szCs w:val="22"/>
          <w:lang w:val="en-US"/>
        </w:rPr>
        <w:t xml:space="preserve">). </w:t>
      </w:r>
    </w:p>
    <w:p w:rsidR="00B14E5C" w:rsidRPr="00E37E8B" w:rsidRDefault="00B14E5C" w:rsidP="00066B22">
      <w:pPr>
        <w:tabs>
          <w:tab w:val="left" w:pos="284"/>
        </w:tabs>
        <w:rPr>
          <w:sz w:val="22"/>
          <w:szCs w:val="22"/>
          <w:lang w:val="en-US"/>
        </w:rPr>
      </w:pPr>
    </w:p>
    <w:p w:rsidR="00066B22" w:rsidRPr="00E37E8B" w:rsidRDefault="00066B22" w:rsidP="00066B22">
      <w:pPr>
        <w:pStyle w:val="2"/>
        <w:rPr>
          <w:sz w:val="22"/>
          <w:szCs w:val="22"/>
        </w:rPr>
      </w:pPr>
      <w:bookmarkStart w:id="31" w:name="_Toc5fa55728"/>
      <w:r w:rsidRPr="00E37E8B">
        <w:rPr>
          <w:sz w:val="22"/>
          <w:szCs w:val="22"/>
        </w:rPr>
        <w:t>Timetable, budget</w:t>
      </w:r>
      <w:bookmarkEnd w:id="31"/>
    </w:p>
    <w:p w:rsidR="00066B22" w:rsidRPr="00E37E8B" w:rsidRDefault="00066B22" w:rsidP="00066B22">
      <w:pPr>
        <w:tabs>
          <w:tab w:val="left" w:pos="284"/>
        </w:tabs>
        <w:rPr>
          <w:sz w:val="22"/>
          <w:szCs w:val="22"/>
        </w:rPr>
      </w:pPr>
      <w:r w:rsidRPr="00E37E8B">
        <w:rPr>
          <w:sz w:val="22"/>
          <w:szCs w:val="22"/>
          <w:lang w:val="en-US"/>
        </w:rPr>
        <w:t xml:space="preserve">The basic timetable for the proposal is the following and it is </w:t>
      </w:r>
      <w:proofErr w:type="spellStart"/>
      <w:r w:rsidRPr="00E37E8B">
        <w:rPr>
          <w:sz w:val="22"/>
          <w:szCs w:val="22"/>
          <w:lang w:val="en-US"/>
        </w:rPr>
        <w:t>organised</w:t>
      </w:r>
      <w:proofErr w:type="spellEnd"/>
      <w:r w:rsidRPr="00E37E8B">
        <w:rPr>
          <w:sz w:val="22"/>
          <w:szCs w:val="22"/>
          <w:lang w:val="en-US"/>
        </w:rPr>
        <w:t xml:space="preserve"> in six (6) six-month terms:</w:t>
      </w:r>
    </w:p>
    <w:p w:rsidR="00066B22" w:rsidRPr="00E37E8B" w:rsidRDefault="00066B22" w:rsidP="00E02660">
      <w:pPr>
        <w:pStyle w:val="aa"/>
        <w:numPr>
          <w:ilvl w:val="0"/>
          <w:numId w:val="3"/>
        </w:numPr>
        <w:tabs>
          <w:tab w:val="left" w:pos="1080"/>
          <w:tab w:val="left" w:pos="1440"/>
        </w:tabs>
        <w:ind w:left="284"/>
        <w:rPr>
          <w:sz w:val="22"/>
          <w:szCs w:val="22"/>
        </w:rPr>
      </w:pPr>
      <w:r w:rsidRPr="00E37E8B">
        <w:rPr>
          <w:sz w:val="22"/>
          <w:szCs w:val="22"/>
          <w:lang w:val="en-US"/>
        </w:rPr>
        <w:t>1</w:t>
      </w:r>
      <w:r w:rsidRPr="00E37E8B">
        <w:rPr>
          <w:sz w:val="22"/>
          <w:szCs w:val="22"/>
          <w:vertAlign w:val="superscript"/>
          <w:lang w:val="en-US"/>
        </w:rPr>
        <w:t>st</w:t>
      </w:r>
      <w:r w:rsidRPr="00E37E8B">
        <w:rPr>
          <w:sz w:val="22"/>
          <w:szCs w:val="22"/>
          <w:lang w:val="en-US"/>
        </w:rPr>
        <w:t xml:space="preserve"> term: access and collection to bibliography, commencement and initial setup of the electronic platform using the infrastructure of </w:t>
      </w:r>
      <w:proofErr w:type="spellStart"/>
      <w:r w:rsidRPr="00E37E8B">
        <w:rPr>
          <w:sz w:val="22"/>
          <w:szCs w:val="22"/>
          <w:lang w:val="en-US"/>
        </w:rPr>
        <w:t>Okeanos</w:t>
      </w:r>
      <w:proofErr w:type="spellEnd"/>
      <w:r w:rsidRPr="00E37E8B">
        <w:rPr>
          <w:sz w:val="22"/>
          <w:szCs w:val="22"/>
          <w:lang w:val="en-US"/>
        </w:rPr>
        <w:t xml:space="preserve"> (GRNET's cloud service, for the Greek Research and Academic Community)</w:t>
      </w:r>
    </w:p>
    <w:p w:rsidR="00066B22" w:rsidRPr="00E37E8B" w:rsidRDefault="00066B22" w:rsidP="00E02660">
      <w:pPr>
        <w:pStyle w:val="aa"/>
        <w:numPr>
          <w:ilvl w:val="0"/>
          <w:numId w:val="4"/>
        </w:numPr>
        <w:tabs>
          <w:tab w:val="left" w:pos="1080"/>
          <w:tab w:val="left" w:pos="1440"/>
        </w:tabs>
        <w:ind w:left="284"/>
        <w:rPr>
          <w:sz w:val="22"/>
          <w:szCs w:val="22"/>
        </w:rPr>
      </w:pPr>
      <w:r w:rsidRPr="00E37E8B">
        <w:rPr>
          <w:sz w:val="22"/>
          <w:szCs w:val="22"/>
          <w:lang w:val="en-US"/>
        </w:rPr>
        <w:t>2</w:t>
      </w:r>
      <w:r w:rsidRPr="00E37E8B">
        <w:rPr>
          <w:sz w:val="22"/>
          <w:szCs w:val="22"/>
          <w:vertAlign w:val="superscript"/>
          <w:lang w:val="en-US"/>
        </w:rPr>
        <w:t>nd</w:t>
      </w:r>
      <w:r w:rsidRPr="00E37E8B">
        <w:rPr>
          <w:sz w:val="22"/>
          <w:szCs w:val="22"/>
          <w:lang w:val="en-US"/>
        </w:rPr>
        <w:t xml:space="preserve"> – 5</w:t>
      </w:r>
      <w:r w:rsidRPr="00E37E8B">
        <w:rPr>
          <w:sz w:val="22"/>
          <w:szCs w:val="22"/>
          <w:vertAlign w:val="superscript"/>
          <w:lang w:val="en-US"/>
        </w:rPr>
        <w:t>th</w:t>
      </w:r>
      <w:r w:rsidRPr="00E37E8B">
        <w:rPr>
          <w:sz w:val="22"/>
          <w:szCs w:val="22"/>
          <w:lang w:val="en-US"/>
        </w:rPr>
        <w:t xml:space="preserve"> term: synchronic methodology and hermeneutics, collection of data for the lexicographical and semantic study of </w:t>
      </w:r>
      <w:r w:rsidRPr="00E37E8B">
        <w:rPr>
          <w:i/>
          <w:iCs/>
          <w:sz w:val="22"/>
          <w:szCs w:val="22"/>
          <w:lang w:val="en-US"/>
        </w:rPr>
        <w:t>Romans</w:t>
      </w:r>
      <w:r w:rsidRPr="00E37E8B">
        <w:rPr>
          <w:sz w:val="22"/>
          <w:szCs w:val="22"/>
          <w:lang w:val="en-US"/>
        </w:rPr>
        <w:t xml:space="preserve">. The research team will also fully utilize the infrastructure of the Host Institution (National and </w:t>
      </w:r>
      <w:proofErr w:type="spellStart"/>
      <w:r w:rsidRPr="00E37E8B">
        <w:rPr>
          <w:sz w:val="22"/>
          <w:szCs w:val="22"/>
          <w:lang w:val="en-US"/>
        </w:rPr>
        <w:t>Kapodistrian</w:t>
      </w:r>
      <w:proofErr w:type="spellEnd"/>
      <w:r w:rsidRPr="00E37E8B">
        <w:rPr>
          <w:sz w:val="22"/>
          <w:szCs w:val="22"/>
          <w:lang w:val="en-US"/>
        </w:rPr>
        <w:t xml:space="preserve"> University of Athens) to disseminate the ongoing research (bilateral Erasmus agreements, IT services for the project’s website and the multimedia platform on which the material will be presented</w:t>
      </w:r>
      <w:r w:rsidR="00B14E5C" w:rsidRPr="00E37E8B">
        <w:rPr>
          <w:sz w:val="22"/>
          <w:szCs w:val="22"/>
          <w:lang w:val="en-US"/>
        </w:rPr>
        <w:t>.</w:t>
      </w:r>
    </w:p>
    <w:p w:rsidR="00066B22" w:rsidRPr="00E37E8B" w:rsidRDefault="00066B22" w:rsidP="00E02660">
      <w:pPr>
        <w:pStyle w:val="aa"/>
        <w:numPr>
          <w:ilvl w:val="0"/>
          <w:numId w:val="4"/>
        </w:numPr>
        <w:tabs>
          <w:tab w:val="left" w:pos="1080"/>
          <w:tab w:val="left" w:pos="1440"/>
        </w:tabs>
        <w:ind w:left="284"/>
        <w:rPr>
          <w:sz w:val="22"/>
          <w:szCs w:val="22"/>
        </w:rPr>
      </w:pPr>
      <w:r w:rsidRPr="00E37E8B">
        <w:rPr>
          <w:sz w:val="22"/>
          <w:szCs w:val="22"/>
          <w:lang w:val="en-US"/>
        </w:rPr>
        <w:t>4</w:t>
      </w:r>
      <w:r w:rsidRPr="00E37E8B">
        <w:rPr>
          <w:sz w:val="22"/>
          <w:szCs w:val="22"/>
          <w:vertAlign w:val="superscript"/>
          <w:lang w:val="en-US"/>
        </w:rPr>
        <w:t>th</w:t>
      </w:r>
      <w:r w:rsidRPr="00E37E8B">
        <w:rPr>
          <w:sz w:val="22"/>
          <w:szCs w:val="22"/>
          <w:lang w:val="en-US"/>
        </w:rPr>
        <w:t xml:space="preserve"> and 5</w:t>
      </w:r>
      <w:r w:rsidRPr="00E37E8B">
        <w:rPr>
          <w:sz w:val="22"/>
          <w:szCs w:val="22"/>
          <w:vertAlign w:val="superscript"/>
          <w:lang w:val="en-US"/>
        </w:rPr>
        <w:t>th</w:t>
      </w:r>
      <w:r w:rsidRPr="00E37E8B">
        <w:rPr>
          <w:sz w:val="22"/>
          <w:szCs w:val="22"/>
          <w:lang w:val="en-US"/>
        </w:rPr>
        <w:t xml:space="preserve"> term: international conference on the Bible and Digital Humanities</w:t>
      </w:r>
    </w:p>
    <w:p w:rsidR="00066B22" w:rsidRPr="00E37E8B" w:rsidRDefault="00066B22" w:rsidP="00E02660">
      <w:pPr>
        <w:pStyle w:val="aa"/>
        <w:numPr>
          <w:ilvl w:val="0"/>
          <w:numId w:val="4"/>
        </w:numPr>
        <w:tabs>
          <w:tab w:val="left" w:pos="1080"/>
          <w:tab w:val="left" w:pos="1440"/>
        </w:tabs>
        <w:ind w:left="284"/>
        <w:rPr>
          <w:sz w:val="22"/>
          <w:szCs w:val="22"/>
        </w:rPr>
      </w:pPr>
      <w:r w:rsidRPr="00E37E8B">
        <w:rPr>
          <w:sz w:val="22"/>
          <w:szCs w:val="22"/>
          <w:lang w:val="en-US"/>
        </w:rPr>
        <w:t>6</w:t>
      </w:r>
      <w:r w:rsidRPr="00E37E8B">
        <w:rPr>
          <w:sz w:val="22"/>
          <w:szCs w:val="22"/>
          <w:vertAlign w:val="superscript"/>
          <w:lang w:val="en-US"/>
        </w:rPr>
        <w:t>th</w:t>
      </w:r>
      <w:r w:rsidRPr="00E37E8B">
        <w:rPr>
          <w:sz w:val="22"/>
          <w:szCs w:val="22"/>
          <w:lang w:val="en-US"/>
        </w:rPr>
        <w:t xml:space="preserve"> term: editing and publication of the proceedings of the conference, as well as the final version of the research project. Article submission to academic journals in fields pertinent to the research (indicatively: Biblical Studies, Digital Humanities, Semiology, Lexicography, Sociology of Religion) </w:t>
      </w:r>
    </w:p>
    <w:p w:rsidR="00066B22" w:rsidRPr="00E37E8B" w:rsidRDefault="00066B22" w:rsidP="00066B22">
      <w:pPr>
        <w:tabs>
          <w:tab w:val="left" w:pos="284"/>
        </w:tabs>
        <w:rPr>
          <w:sz w:val="22"/>
          <w:szCs w:val="22"/>
          <w:lang w:val="en-US"/>
        </w:rPr>
      </w:pPr>
      <w:r w:rsidRPr="00E37E8B">
        <w:rPr>
          <w:sz w:val="22"/>
          <w:szCs w:val="22"/>
          <w:lang w:val="en-US"/>
        </w:rPr>
        <w:t xml:space="preserve">The draft budget of the proposed project is 200.000 euros. The main expenses are geared towards the salaries of upcoming researchers (doctoral and postdoctoral), so as to provide them with incentives to produce high-caliber work, publish their findings in academic journals, and participate in international conferences. Special provisions have been made for the percentage the host institution receives (10% of the predicted budget, according to ELIDEK guidelines) and the possibility of a researcher receiving her/his Ph.D. and continuing as a postdoctoral fellow in the project. The remaining sums are geared towards obtaining access to electronic resources (i.e. TLG) and basic equipment for the development of the e-corpus and database (computers). The software will be open-source; therefore, it will not incur further costs and will abide by the </w:t>
      </w:r>
      <w:r w:rsidR="009E085A" w:rsidRPr="00E37E8B">
        <w:rPr>
          <w:sz w:val="22"/>
          <w:szCs w:val="22"/>
          <w:lang w:val="en-US"/>
        </w:rPr>
        <w:t xml:space="preserve">research </w:t>
      </w:r>
      <w:r w:rsidRPr="00E37E8B">
        <w:rPr>
          <w:sz w:val="22"/>
          <w:szCs w:val="22"/>
          <w:lang w:val="en-US"/>
        </w:rPr>
        <w:t xml:space="preserve">principles set forth by the EU, as discussed in this proposal. Hosting will be provided by the </w:t>
      </w:r>
      <w:proofErr w:type="spellStart"/>
      <w:r w:rsidRPr="00E37E8B">
        <w:rPr>
          <w:sz w:val="22"/>
          <w:szCs w:val="22"/>
          <w:lang w:val="en-US"/>
        </w:rPr>
        <w:t>Okeanos</w:t>
      </w:r>
      <w:proofErr w:type="spellEnd"/>
      <w:r w:rsidRPr="00E37E8B">
        <w:rPr>
          <w:sz w:val="22"/>
          <w:szCs w:val="22"/>
          <w:lang w:val="en-US"/>
        </w:rPr>
        <w:t xml:space="preserve"> infrastructure / National and </w:t>
      </w:r>
      <w:proofErr w:type="spellStart"/>
      <w:r w:rsidRPr="00E37E8B">
        <w:rPr>
          <w:sz w:val="22"/>
          <w:szCs w:val="22"/>
          <w:lang w:val="en-US"/>
        </w:rPr>
        <w:t>Kapodistrian</w:t>
      </w:r>
      <w:proofErr w:type="spellEnd"/>
      <w:r w:rsidRPr="00E37E8B">
        <w:rPr>
          <w:sz w:val="22"/>
          <w:szCs w:val="22"/>
          <w:lang w:val="en-US"/>
        </w:rPr>
        <w:t xml:space="preserve"> University of Athens, and will not incur any budget increases.</w:t>
      </w:r>
    </w:p>
    <w:p w:rsidR="00066B22" w:rsidRPr="00E37E8B" w:rsidRDefault="00066B22" w:rsidP="00066B22">
      <w:pPr>
        <w:tabs>
          <w:tab w:val="left" w:pos="284"/>
        </w:tabs>
        <w:rPr>
          <w:sz w:val="22"/>
          <w:szCs w:val="22"/>
        </w:rPr>
      </w:pPr>
    </w:p>
    <w:tbl>
      <w:tblPr>
        <w:tblStyle w:val="PlainTable1"/>
        <w:tblW w:w="8788" w:type="dxa"/>
        <w:jc w:val="center"/>
        <w:tblLook w:val="04A0"/>
      </w:tblPr>
      <w:tblGrid>
        <w:gridCol w:w="4109"/>
        <w:gridCol w:w="2126"/>
        <w:gridCol w:w="2553"/>
      </w:tblGrid>
      <w:tr w:rsidR="00E02660" w:rsidRPr="00E37E8B" w:rsidTr="00E02660">
        <w:trPr>
          <w:cnfStyle w:val="100000000000"/>
          <w:trHeight w:val="255"/>
          <w:jc w:val="center"/>
        </w:trPr>
        <w:tc>
          <w:tcPr>
            <w:cnfStyle w:val="001000000000"/>
            <w:tcW w:w="4109" w:type="dxa"/>
            <w:noWrap/>
            <w:hideMark/>
          </w:tcPr>
          <w:p w:rsidR="00F8113D" w:rsidRPr="00E37E8B" w:rsidRDefault="00F8113D" w:rsidP="00F8113D">
            <w:pPr>
              <w:suppressAutoHyphens w:val="0"/>
              <w:autoSpaceDE/>
              <w:autoSpaceDN/>
              <w:adjustRightInd/>
              <w:jc w:val="left"/>
              <w:rPr>
                <w:color w:val="000000"/>
                <w:sz w:val="22"/>
                <w:szCs w:val="22"/>
              </w:rPr>
            </w:pPr>
            <w:r w:rsidRPr="00E37E8B">
              <w:rPr>
                <w:color w:val="000000"/>
                <w:sz w:val="22"/>
                <w:szCs w:val="22"/>
              </w:rPr>
              <w:t>Expense</w:t>
            </w:r>
          </w:p>
        </w:tc>
        <w:tc>
          <w:tcPr>
            <w:tcW w:w="2126" w:type="dxa"/>
            <w:noWrap/>
            <w:hideMark/>
          </w:tcPr>
          <w:p w:rsidR="00F8113D" w:rsidRPr="00E37E8B" w:rsidRDefault="00F8113D" w:rsidP="00F8113D">
            <w:pPr>
              <w:suppressAutoHyphens w:val="0"/>
              <w:autoSpaceDE/>
              <w:autoSpaceDN/>
              <w:adjustRightInd/>
              <w:jc w:val="left"/>
              <w:cnfStyle w:val="100000000000"/>
              <w:rPr>
                <w:color w:val="000000"/>
                <w:sz w:val="22"/>
                <w:szCs w:val="22"/>
              </w:rPr>
            </w:pPr>
            <w:r w:rsidRPr="00E37E8B">
              <w:rPr>
                <w:color w:val="000000"/>
                <w:sz w:val="22"/>
                <w:szCs w:val="22"/>
              </w:rPr>
              <w:t>Cost per month</w:t>
            </w:r>
          </w:p>
        </w:tc>
        <w:tc>
          <w:tcPr>
            <w:tcW w:w="2553" w:type="dxa"/>
            <w:noWrap/>
            <w:hideMark/>
          </w:tcPr>
          <w:p w:rsidR="00F8113D" w:rsidRPr="00E37E8B" w:rsidRDefault="00F8113D" w:rsidP="00F8113D">
            <w:pPr>
              <w:suppressAutoHyphens w:val="0"/>
              <w:autoSpaceDE/>
              <w:autoSpaceDN/>
              <w:adjustRightInd/>
              <w:jc w:val="left"/>
              <w:cnfStyle w:val="100000000000"/>
              <w:rPr>
                <w:color w:val="000000"/>
                <w:sz w:val="22"/>
                <w:szCs w:val="22"/>
              </w:rPr>
            </w:pPr>
            <w:r w:rsidRPr="00E37E8B">
              <w:rPr>
                <w:color w:val="000000"/>
                <w:sz w:val="22"/>
                <w:szCs w:val="22"/>
              </w:rPr>
              <w:t>Total cost</w:t>
            </w:r>
          </w:p>
        </w:tc>
      </w:tr>
      <w:tr w:rsidR="00E02660" w:rsidRPr="00E37E8B" w:rsidTr="00E02660">
        <w:trPr>
          <w:cnfStyle w:val="000000100000"/>
          <w:trHeight w:val="255"/>
          <w:jc w:val="center"/>
        </w:trPr>
        <w:tc>
          <w:tcPr>
            <w:cnfStyle w:val="001000000000"/>
            <w:tcW w:w="4109" w:type="dxa"/>
            <w:noWrap/>
            <w:hideMark/>
          </w:tcPr>
          <w:p w:rsidR="00F8113D" w:rsidRPr="00E37E8B" w:rsidRDefault="00F8113D" w:rsidP="00F8113D">
            <w:pPr>
              <w:suppressAutoHyphens w:val="0"/>
              <w:autoSpaceDE/>
              <w:autoSpaceDN/>
              <w:adjustRightInd/>
              <w:jc w:val="left"/>
              <w:rPr>
                <w:color w:val="000000"/>
                <w:sz w:val="22"/>
                <w:szCs w:val="22"/>
              </w:rPr>
            </w:pPr>
            <w:r w:rsidRPr="00E37E8B">
              <w:rPr>
                <w:color w:val="000000"/>
                <w:sz w:val="22"/>
                <w:szCs w:val="22"/>
              </w:rPr>
              <w:t>Principal Investigator</w:t>
            </w:r>
          </w:p>
        </w:tc>
        <w:tc>
          <w:tcPr>
            <w:tcW w:w="2126" w:type="dxa"/>
            <w:noWrap/>
            <w:hideMark/>
          </w:tcPr>
          <w:p w:rsidR="00F8113D" w:rsidRPr="00E37E8B" w:rsidRDefault="00F8113D" w:rsidP="00F8113D">
            <w:pPr>
              <w:suppressAutoHyphens w:val="0"/>
              <w:autoSpaceDE/>
              <w:autoSpaceDN/>
              <w:adjustRightInd/>
              <w:jc w:val="right"/>
              <w:cnfStyle w:val="000000100000"/>
              <w:rPr>
                <w:color w:val="000000"/>
                <w:sz w:val="22"/>
                <w:szCs w:val="22"/>
              </w:rPr>
            </w:pPr>
            <w:r w:rsidRPr="00E37E8B">
              <w:rPr>
                <w:color w:val="000000"/>
                <w:sz w:val="22"/>
                <w:szCs w:val="22"/>
              </w:rPr>
              <w:t>800</w:t>
            </w:r>
          </w:p>
        </w:tc>
        <w:tc>
          <w:tcPr>
            <w:tcW w:w="2553" w:type="dxa"/>
            <w:noWrap/>
            <w:hideMark/>
          </w:tcPr>
          <w:p w:rsidR="00F8113D" w:rsidRPr="00E37E8B" w:rsidRDefault="00F8113D" w:rsidP="00F8113D">
            <w:pPr>
              <w:suppressAutoHyphens w:val="0"/>
              <w:autoSpaceDE/>
              <w:autoSpaceDN/>
              <w:adjustRightInd/>
              <w:jc w:val="right"/>
              <w:cnfStyle w:val="000000100000"/>
              <w:rPr>
                <w:color w:val="000000"/>
                <w:sz w:val="22"/>
                <w:szCs w:val="22"/>
              </w:rPr>
            </w:pPr>
            <w:r w:rsidRPr="00E37E8B">
              <w:rPr>
                <w:color w:val="000000"/>
                <w:sz w:val="22"/>
                <w:szCs w:val="22"/>
              </w:rPr>
              <w:t>28800</w:t>
            </w:r>
          </w:p>
        </w:tc>
      </w:tr>
      <w:tr w:rsidR="00E02660" w:rsidRPr="00E37E8B" w:rsidTr="00E02660">
        <w:trPr>
          <w:trHeight w:val="255"/>
          <w:jc w:val="center"/>
        </w:trPr>
        <w:tc>
          <w:tcPr>
            <w:cnfStyle w:val="001000000000"/>
            <w:tcW w:w="4109" w:type="dxa"/>
            <w:noWrap/>
            <w:hideMark/>
          </w:tcPr>
          <w:p w:rsidR="00F8113D" w:rsidRPr="00E37E8B" w:rsidRDefault="00F8113D" w:rsidP="00F8113D">
            <w:pPr>
              <w:suppressAutoHyphens w:val="0"/>
              <w:autoSpaceDE/>
              <w:autoSpaceDN/>
              <w:adjustRightInd/>
              <w:jc w:val="left"/>
              <w:rPr>
                <w:color w:val="000000"/>
                <w:sz w:val="22"/>
                <w:szCs w:val="22"/>
              </w:rPr>
            </w:pPr>
            <w:r w:rsidRPr="00E37E8B">
              <w:rPr>
                <w:color w:val="000000"/>
                <w:sz w:val="22"/>
                <w:szCs w:val="22"/>
              </w:rPr>
              <w:t>Postdoctoral Researcher (Dr. Stamatopoulos)</w:t>
            </w:r>
          </w:p>
        </w:tc>
        <w:tc>
          <w:tcPr>
            <w:tcW w:w="2126" w:type="dxa"/>
            <w:noWrap/>
            <w:hideMark/>
          </w:tcPr>
          <w:p w:rsidR="00F8113D" w:rsidRPr="00E37E8B" w:rsidRDefault="00F8113D" w:rsidP="00F8113D">
            <w:pPr>
              <w:suppressAutoHyphens w:val="0"/>
              <w:autoSpaceDE/>
              <w:autoSpaceDN/>
              <w:adjustRightInd/>
              <w:jc w:val="right"/>
              <w:cnfStyle w:val="000000000000"/>
              <w:rPr>
                <w:color w:val="000000"/>
                <w:sz w:val="22"/>
                <w:szCs w:val="22"/>
              </w:rPr>
            </w:pPr>
            <w:r w:rsidRPr="00E37E8B">
              <w:rPr>
                <w:color w:val="000000"/>
                <w:sz w:val="22"/>
                <w:szCs w:val="22"/>
              </w:rPr>
              <w:t>1800</w:t>
            </w:r>
          </w:p>
        </w:tc>
        <w:tc>
          <w:tcPr>
            <w:tcW w:w="2553" w:type="dxa"/>
            <w:noWrap/>
            <w:hideMark/>
          </w:tcPr>
          <w:p w:rsidR="00F8113D" w:rsidRPr="00E37E8B" w:rsidRDefault="00F8113D" w:rsidP="00F8113D">
            <w:pPr>
              <w:suppressAutoHyphens w:val="0"/>
              <w:autoSpaceDE/>
              <w:autoSpaceDN/>
              <w:adjustRightInd/>
              <w:jc w:val="right"/>
              <w:cnfStyle w:val="000000000000"/>
              <w:rPr>
                <w:color w:val="000000"/>
                <w:sz w:val="22"/>
                <w:szCs w:val="22"/>
              </w:rPr>
            </w:pPr>
            <w:r w:rsidRPr="00E37E8B">
              <w:rPr>
                <w:color w:val="000000"/>
                <w:sz w:val="22"/>
                <w:szCs w:val="22"/>
              </w:rPr>
              <w:t>64800</w:t>
            </w:r>
          </w:p>
        </w:tc>
      </w:tr>
      <w:tr w:rsidR="00E02660" w:rsidRPr="00E37E8B" w:rsidTr="00E02660">
        <w:trPr>
          <w:cnfStyle w:val="000000100000"/>
          <w:trHeight w:val="255"/>
          <w:jc w:val="center"/>
        </w:trPr>
        <w:tc>
          <w:tcPr>
            <w:cnfStyle w:val="001000000000"/>
            <w:tcW w:w="4109" w:type="dxa"/>
            <w:noWrap/>
            <w:hideMark/>
          </w:tcPr>
          <w:p w:rsidR="00F8113D" w:rsidRPr="00E37E8B" w:rsidRDefault="00F8113D" w:rsidP="00F8113D">
            <w:pPr>
              <w:suppressAutoHyphens w:val="0"/>
              <w:autoSpaceDE/>
              <w:autoSpaceDN/>
              <w:adjustRightInd/>
              <w:jc w:val="left"/>
              <w:rPr>
                <w:color w:val="000000"/>
                <w:sz w:val="22"/>
                <w:szCs w:val="22"/>
              </w:rPr>
            </w:pPr>
            <w:r w:rsidRPr="00E37E8B">
              <w:rPr>
                <w:color w:val="000000"/>
                <w:sz w:val="22"/>
                <w:szCs w:val="22"/>
              </w:rPr>
              <w:t>Doctoral Researcher 1 (full-time)</w:t>
            </w:r>
          </w:p>
        </w:tc>
        <w:tc>
          <w:tcPr>
            <w:tcW w:w="2126" w:type="dxa"/>
            <w:noWrap/>
            <w:hideMark/>
          </w:tcPr>
          <w:p w:rsidR="00F8113D" w:rsidRPr="00E37E8B" w:rsidRDefault="00F8113D" w:rsidP="00F8113D">
            <w:pPr>
              <w:suppressAutoHyphens w:val="0"/>
              <w:autoSpaceDE/>
              <w:autoSpaceDN/>
              <w:adjustRightInd/>
              <w:jc w:val="right"/>
              <w:cnfStyle w:val="000000100000"/>
              <w:rPr>
                <w:color w:val="000000"/>
                <w:sz w:val="22"/>
                <w:szCs w:val="22"/>
              </w:rPr>
            </w:pPr>
            <w:r w:rsidRPr="00E37E8B">
              <w:rPr>
                <w:color w:val="000000"/>
                <w:sz w:val="22"/>
                <w:szCs w:val="22"/>
              </w:rPr>
              <w:t>900</w:t>
            </w:r>
          </w:p>
        </w:tc>
        <w:tc>
          <w:tcPr>
            <w:tcW w:w="2553" w:type="dxa"/>
            <w:noWrap/>
            <w:hideMark/>
          </w:tcPr>
          <w:p w:rsidR="00F8113D" w:rsidRPr="00E37E8B" w:rsidRDefault="00F8113D" w:rsidP="00F8113D">
            <w:pPr>
              <w:suppressAutoHyphens w:val="0"/>
              <w:autoSpaceDE/>
              <w:autoSpaceDN/>
              <w:adjustRightInd/>
              <w:jc w:val="right"/>
              <w:cnfStyle w:val="000000100000"/>
              <w:rPr>
                <w:color w:val="000000"/>
                <w:sz w:val="22"/>
                <w:szCs w:val="22"/>
              </w:rPr>
            </w:pPr>
            <w:r w:rsidRPr="00E37E8B">
              <w:rPr>
                <w:color w:val="000000"/>
                <w:sz w:val="22"/>
                <w:szCs w:val="22"/>
              </w:rPr>
              <w:t>32400</w:t>
            </w:r>
          </w:p>
        </w:tc>
      </w:tr>
      <w:tr w:rsidR="00E02660" w:rsidRPr="00E37E8B" w:rsidTr="00E02660">
        <w:trPr>
          <w:trHeight w:val="255"/>
          <w:jc w:val="center"/>
        </w:trPr>
        <w:tc>
          <w:tcPr>
            <w:cnfStyle w:val="001000000000"/>
            <w:tcW w:w="4109" w:type="dxa"/>
            <w:noWrap/>
            <w:hideMark/>
          </w:tcPr>
          <w:p w:rsidR="00F8113D" w:rsidRPr="00E37E8B" w:rsidRDefault="00F8113D" w:rsidP="00F8113D">
            <w:pPr>
              <w:suppressAutoHyphens w:val="0"/>
              <w:autoSpaceDE/>
              <w:autoSpaceDN/>
              <w:adjustRightInd/>
              <w:jc w:val="left"/>
              <w:rPr>
                <w:color w:val="000000"/>
                <w:sz w:val="22"/>
                <w:szCs w:val="22"/>
              </w:rPr>
            </w:pPr>
            <w:r w:rsidRPr="00E37E8B">
              <w:rPr>
                <w:color w:val="000000"/>
                <w:sz w:val="22"/>
                <w:szCs w:val="22"/>
              </w:rPr>
              <w:t xml:space="preserve">Doctoral Researcher 2 (Mr. </w:t>
            </w:r>
            <w:proofErr w:type="spellStart"/>
            <w:r w:rsidRPr="00E37E8B">
              <w:rPr>
                <w:color w:val="000000"/>
                <w:sz w:val="22"/>
                <w:szCs w:val="22"/>
              </w:rPr>
              <w:t>Vasilakis</w:t>
            </w:r>
            <w:proofErr w:type="spellEnd"/>
            <w:r w:rsidRPr="00E37E8B">
              <w:rPr>
                <w:color w:val="000000"/>
                <w:sz w:val="22"/>
                <w:szCs w:val="22"/>
              </w:rPr>
              <w:t xml:space="preserve"> - part-time over a 36-month period) – not eligible for funding (working abroad)</w:t>
            </w:r>
          </w:p>
        </w:tc>
        <w:tc>
          <w:tcPr>
            <w:tcW w:w="2126" w:type="dxa"/>
            <w:noWrap/>
            <w:hideMark/>
          </w:tcPr>
          <w:p w:rsidR="00F8113D" w:rsidRPr="00E37E8B" w:rsidRDefault="00F8113D" w:rsidP="00F8113D">
            <w:pPr>
              <w:suppressAutoHyphens w:val="0"/>
              <w:autoSpaceDE/>
              <w:autoSpaceDN/>
              <w:adjustRightInd/>
              <w:jc w:val="right"/>
              <w:cnfStyle w:val="000000000000"/>
              <w:rPr>
                <w:color w:val="000000"/>
                <w:sz w:val="22"/>
                <w:szCs w:val="22"/>
              </w:rPr>
            </w:pPr>
            <w:r w:rsidRPr="00E37E8B">
              <w:rPr>
                <w:color w:val="000000"/>
                <w:sz w:val="22"/>
                <w:szCs w:val="22"/>
              </w:rPr>
              <w:t>0</w:t>
            </w:r>
          </w:p>
        </w:tc>
        <w:tc>
          <w:tcPr>
            <w:tcW w:w="2553" w:type="dxa"/>
            <w:noWrap/>
            <w:hideMark/>
          </w:tcPr>
          <w:p w:rsidR="00F8113D" w:rsidRPr="00E37E8B" w:rsidRDefault="00F8113D" w:rsidP="00F8113D">
            <w:pPr>
              <w:suppressAutoHyphens w:val="0"/>
              <w:autoSpaceDE/>
              <w:autoSpaceDN/>
              <w:adjustRightInd/>
              <w:jc w:val="right"/>
              <w:cnfStyle w:val="000000000000"/>
              <w:rPr>
                <w:color w:val="000000"/>
                <w:sz w:val="22"/>
                <w:szCs w:val="22"/>
              </w:rPr>
            </w:pPr>
            <w:r w:rsidRPr="00E37E8B">
              <w:rPr>
                <w:color w:val="000000"/>
                <w:sz w:val="22"/>
                <w:szCs w:val="22"/>
              </w:rPr>
              <w:t>0</w:t>
            </w:r>
          </w:p>
        </w:tc>
      </w:tr>
      <w:tr w:rsidR="00E02660" w:rsidRPr="00E37E8B" w:rsidTr="00E02660">
        <w:trPr>
          <w:cnfStyle w:val="000000100000"/>
          <w:trHeight w:val="255"/>
          <w:jc w:val="center"/>
        </w:trPr>
        <w:tc>
          <w:tcPr>
            <w:cnfStyle w:val="001000000000"/>
            <w:tcW w:w="4109" w:type="dxa"/>
            <w:noWrap/>
            <w:hideMark/>
          </w:tcPr>
          <w:p w:rsidR="00F8113D" w:rsidRPr="00E37E8B" w:rsidRDefault="00F8113D" w:rsidP="00F8113D">
            <w:pPr>
              <w:suppressAutoHyphens w:val="0"/>
              <w:autoSpaceDE/>
              <w:autoSpaceDN/>
              <w:adjustRightInd/>
              <w:jc w:val="left"/>
              <w:rPr>
                <w:color w:val="000000"/>
                <w:sz w:val="22"/>
                <w:szCs w:val="22"/>
              </w:rPr>
            </w:pPr>
            <w:r w:rsidRPr="00E37E8B">
              <w:rPr>
                <w:color w:val="000000"/>
                <w:sz w:val="22"/>
                <w:szCs w:val="22"/>
              </w:rPr>
              <w:t>Host Institution (ELKE)</w:t>
            </w:r>
          </w:p>
        </w:tc>
        <w:tc>
          <w:tcPr>
            <w:tcW w:w="2126" w:type="dxa"/>
            <w:noWrap/>
            <w:hideMark/>
          </w:tcPr>
          <w:p w:rsidR="00F8113D" w:rsidRPr="00E37E8B" w:rsidRDefault="00F8113D" w:rsidP="00F8113D">
            <w:pPr>
              <w:suppressAutoHyphens w:val="0"/>
              <w:autoSpaceDE/>
              <w:autoSpaceDN/>
              <w:adjustRightInd/>
              <w:jc w:val="right"/>
              <w:cnfStyle w:val="000000100000"/>
              <w:rPr>
                <w:color w:val="000000"/>
                <w:sz w:val="22"/>
                <w:szCs w:val="22"/>
              </w:rPr>
            </w:pPr>
            <w:r w:rsidRPr="00E37E8B">
              <w:rPr>
                <w:color w:val="000000"/>
                <w:sz w:val="22"/>
                <w:szCs w:val="22"/>
              </w:rPr>
              <w:t>n/a</w:t>
            </w:r>
          </w:p>
        </w:tc>
        <w:tc>
          <w:tcPr>
            <w:tcW w:w="2553" w:type="dxa"/>
            <w:noWrap/>
            <w:hideMark/>
          </w:tcPr>
          <w:p w:rsidR="00F8113D" w:rsidRPr="00E37E8B" w:rsidRDefault="00F8113D" w:rsidP="00F8113D">
            <w:pPr>
              <w:suppressAutoHyphens w:val="0"/>
              <w:autoSpaceDE/>
              <w:autoSpaceDN/>
              <w:adjustRightInd/>
              <w:jc w:val="right"/>
              <w:cnfStyle w:val="000000100000"/>
              <w:rPr>
                <w:color w:val="000000"/>
                <w:sz w:val="22"/>
                <w:szCs w:val="22"/>
              </w:rPr>
            </w:pPr>
            <w:r w:rsidRPr="00E37E8B">
              <w:rPr>
                <w:color w:val="000000"/>
                <w:sz w:val="22"/>
                <w:szCs w:val="22"/>
              </w:rPr>
              <w:t>20000</w:t>
            </w:r>
          </w:p>
        </w:tc>
      </w:tr>
      <w:tr w:rsidR="00E02660" w:rsidRPr="00E37E8B" w:rsidTr="00E02660">
        <w:trPr>
          <w:trHeight w:val="255"/>
          <w:jc w:val="center"/>
        </w:trPr>
        <w:tc>
          <w:tcPr>
            <w:cnfStyle w:val="001000000000"/>
            <w:tcW w:w="4109" w:type="dxa"/>
            <w:noWrap/>
            <w:hideMark/>
          </w:tcPr>
          <w:p w:rsidR="00F8113D" w:rsidRPr="00E37E8B" w:rsidRDefault="00F8113D" w:rsidP="00F8113D">
            <w:pPr>
              <w:suppressAutoHyphens w:val="0"/>
              <w:autoSpaceDE/>
              <w:autoSpaceDN/>
              <w:adjustRightInd/>
              <w:jc w:val="left"/>
              <w:rPr>
                <w:color w:val="000000"/>
                <w:sz w:val="22"/>
                <w:szCs w:val="22"/>
              </w:rPr>
            </w:pPr>
            <w:r w:rsidRPr="00E37E8B">
              <w:rPr>
                <w:color w:val="000000"/>
                <w:sz w:val="22"/>
                <w:szCs w:val="22"/>
              </w:rPr>
              <w:t>Equipment</w:t>
            </w:r>
          </w:p>
        </w:tc>
        <w:tc>
          <w:tcPr>
            <w:tcW w:w="2126" w:type="dxa"/>
            <w:noWrap/>
            <w:hideMark/>
          </w:tcPr>
          <w:p w:rsidR="00F8113D" w:rsidRPr="00E37E8B" w:rsidRDefault="00F8113D" w:rsidP="00F8113D">
            <w:pPr>
              <w:suppressAutoHyphens w:val="0"/>
              <w:autoSpaceDE/>
              <w:autoSpaceDN/>
              <w:adjustRightInd/>
              <w:jc w:val="right"/>
              <w:cnfStyle w:val="000000000000"/>
              <w:rPr>
                <w:color w:val="000000"/>
                <w:sz w:val="22"/>
                <w:szCs w:val="22"/>
              </w:rPr>
            </w:pPr>
            <w:r w:rsidRPr="00E37E8B">
              <w:rPr>
                <w:color w:val="000000"/>
                <w:sz w:val="22"/>
                <w:szCs w:val="22"/>
              </w:rPr>
              <w:t>n/a</w:t>
            </w:r>
          </w:p>
        </w:tc>
        <w:tc>
          <w:tcPr>
            <w:tcW w:w="2553" w:type="dxa"/>
            <w:noWrap/>
            <w:hideMark/>
          </w:tcPr>
          <w:p w:rsidR="00F8113D" w:rsidRPr="00E37E8B" w:rsidRDefault="00F8113D" w:rsidP="00F8113D">
            <w:pPr>
              <w:suppressAutoHyphens w:val="0"/>
              <w:autoSpaceDE/>
              <w:autoSpaceDN/>
              <w:adjustRightInd/>
              <w:jc w:val="right"/>
              <w:cnfStyle w:val="000000000000"/>
              <w:rPr>
                <w:color w:val="000000"/>
                <w:sz w:val="22"/>
                <w:szCs w:val="22"/>
              </w:rPr>
            </w:pPr>
            <w:r w:rsidRPr="00E37E8B">
              <w:rPr>
                <w:color w:val="000000"/>
                <w:sz w:val="22"/>
                <w:szCs w:val="22"/>
              </w:rPr>
              <w:t>10000</w:t>
            </w:r>
          </w:p>
        </w:tc>
      </w:tr>
      <w:tr w:rsidR="00E02660" w:rsidRPr="00E37E8B" w:rsidTr="00E02660">
        <w:trPr>
          <w:cnfStyle w:val="000000100000"/>
          <w:trHeight w:val="234"/>
          <w:jc w:val="center"/>
        </w:trPr>
        <w:tc>
          <w:tcPr>
            <w:cnfStyle w:val="001000000000"/>
            <w:tcW w:w="4109" w:type="dxa"/>
            <w:noWrap/>
            <w:hideMark/>
          </w:tcPr>
          <w:p w:rsidR="00F8113D" w:rsidRPr="00E37E8B" w:rsidRDefault="00F8113D" w:rsidP="00F8113D">
            <w:pPr>
              <w:suppressAutoHyphens w:val="0"/>
              <w:autoSpaceDE/>
              <w:autoSpaceDN/>
              <w:adjustRightInd/>
              <w:jc w:val="left"/>
              <w:rPr>
                <w:color w:val="000000"/>
                <w:sz w:val="22"/>
                <w:szCs w:val="22"/>
              </w:rPr>
            </w:pPr>
            <w:r w:rsidRPr="00E37E8B">
              <w:rPr>
                <w:color w:val="000000"/>
                <w:sz w:val="22"/>
                <w:szCs w:val="22"/>
              </w:rPr>
              <w:t>Access to TLG (three-year period)</w:t>
            </w:r>
          </w:p>
        </w:tc>
        <w:tc>
          <w:tcPr>
            <w:tcW w:w="2126" w:type="dxa"/>
            <w:noWrap/>
            <w:hideMark/>
          </w:tcPr>
          <w:p w:rsidR="00F8113D" w:rsidRPr="00E37E8B" w:rsidRDefault="00F8113D" w:rsidP="00F8113D">
            <w:pPr>
              <w:suppressAutoHyphens w:val="0"/>
              <w:autoSpaceDE/>
              <w:autoSpaceDN/>
              <w:adjustRightInd/>
              <w:jc w:val="right"/>
              <w:cnfStyle w:val="000000100000"/>
              <w:rPr>
                <w:color w:val="000000"/>
                <w:sz w:val="22"/>
                <w:szCs w:val="22"/>
              </w:rPr>
            </w:pPr>
            <w:r w:rsidRPr="00E37E8B">
              <w:rPr>
                <w:color w:val="000000"/>
                <w:sz w:val="22"/>
                <w:szCs w:val="22"/>
              </w:rPr>
              <w:t>n/a</w:t>
            </w:r>
          </w:p>
        </w:tc>
        <w:tc>
          <w:tcPr>
            <w:tcW w:w="2553" w:type="dxa"/>
            <w:noWrap/>
            <w:hideMark/>
          </w:tcPr>
          <w:p w:rsidR="00F8113D" w:rsidRPr="00E37E8B" w:rsidRDefault="00F8113D" w:rsidP="00F8113D">
            <w:pPr>
              <w:suppressAutoHyphens w:val="0"/>
              <w:autoSpaceDE/>
              <w:autoSpaceDN/>
              <w:adjustRightInd/>
              <w:jc w:val="right"/>
              <w:cnfStyle w:val="000000100000"/>
              <w:rPr>
                <w:color w:val="000000"/>
                <w:sz w:val="22"/>
                <w:szCs w:val="22"/>
              </w:rPr>
            </w:pPr>
            <w:r w:rsidRPr="00E37E8B">
              <w:rPr>
                <w:color w:val="000000"/>
                <w:sz w:val="22"/>
                <w:szCs w:val="22"/>
              </w:rPr>
              <w:t>380</w:t>
            </w:r>
          </w:p>
        </w:tc>
      </w:tr>
      <w:tr w:rsidR="00E02660" w:rsidRPr="00E37E8B" w:rsidTr="00E02660">
        <w:trPr>
          <w:trHeight w:val="234"/>
          <w:jc w:val="center"/>
        </w:trPr>
        <w:tc>
          <w:tcPr>
            <w:cnfStyle w:val="001000000000"/>
            <w:tcW w:w="4109" w:type="dxa"/>
            <w:noWrap/>
            <w:hideMark/>
          </w:tcPr>
          <w:p w:rsidR="00F8113D" w:rsidRPr="00E37E8B" w:rsidRDefault="00F8113D" w:rsidP="00F8113D">
            <w:pPr>
              <w:suppressAutoHyphens w:val="0"/>
              <w:autoSpaceDE/>
              <w:autoSpaceDN/>
              <w:adjustRightInd/>
              <w:jc w:val="left"/>
              <w:rPr>
                <w:color w:val="000000"/>
                <w:sz w:val="22"/>
                <w:szCs w:val="22"/>
              </w:rPr>
            </w:pPr>
            <w:r w:rsidRPr="00E37E8B">
              <w:rPr>
                <w:color w:val="000000"/>
                <w:sz w:val="22"/>
                <w:szCs w:val="22"/>
              </w:rPr>
              <w:t>Travel Costs (Research Team)</w:t>
            </w:r>
          </w:p>
        </w:tc>
        <w:tc>
          <w:tcPr>
            <w:tcW w:w="2126" w:type="dxa"/>
            <w:noWrap/>
            <w:hideMark/>
          </w:tcPr>
          <w:p w:rsidR="00F8113D" w:rsidRPr="00E37E8B" w:rsidRDefault="00F8113D" w:rsidP="00F8113D">
            <w:pPr>
              <w:suppressAutoHyphens w:val="0"/>
              <w:autoSpaceDE/>
              <w:autoSpaceDN/>
              <w:adjustRightInd/>
              <w:jc w:val="right"/>
              <w:cnfStyle w:val="000000000000"/>
              <w:rPr>
                <w:color w:val="000000"/>
                <w:sz w:val="22"/>
                <w:szCs w:val="22"/>
              </w:rPr>
            </w:pPr>
            <w:r w:rsidRPr="00E37E8B">
              <w:rPr>
                <w:color w:val="000000"/>
                <w:sz w:val="22"/>
                <w:szCs w:val="22"/>
              </w:rPr>
              <w:t>n/a</w:t>
            </w:r>
          </w:p>
        </w:tc>
        <w:tc>
          <w:tcPr>
            <w:tcW w:w="2553" w:type="dxa"/>
            <w:noWrap/>
            <w:hideMark/>
          </w:tcPr>
          <w:p w:rsidR="00F8113D" w:rsidRPr="00E37E8B" w:rsidRDefault="00F8113D" w:rsidP="00F8113D">
            <w:pPr>
              <w:suppressAutoHyphens w:val="0"/>
              <w:autoSpaceDE/>
              <w:autoSpaceDN/>
              <w:adjustRightInd/>
              <w:jc w:val="right"/>
              <w:cnfStyle w:val="000000000000"/>
              <w:rPr>
                <w:color w:val="000000"/>
                <w:sz w:val="22"/>
                <w:szCs w:val="22"/>
              </w:rPr>
            </w:pPr>
            <w:r w:rsidRPr="00E37E8B">
              <w:rPr>
                <w:color w:val="000000"/>
                <w:sz w:val="22"/>
                <w:szCs w:val="22"/>
              </w:rPr>
              <w:t>7000</w:t>
            </w:r>
          </w:p>
        </w:tc>
      </w:tr>
      <w:tr w:rsidR="00E02660" w:rsidRPr="00E37E8B" w:rsidTr="00E02660">
        <w:trPr>
          <w:cnfStyle w:val="000000100000"/>
          <w:trHeight w:val="234"/>
          <w:jc w:val="center"/>
        </w:trPr>
        <w:tc>
          <w:tcPr>
            <w:cnfStyle w:val="001000000000"/>
            <w:tcW w:w="4109" w:type="dxa"/>
            <w:noWrap/>
            <w:hideMark/>
          </w:tcPr>
          <w:p w:rsidR="00F8113D" w:rsidRPr="00E37E8B" w:rsidRDefault="00EE3522" w:rsidP="00F8113D">
            <w:pPr>
              <w:suppressAutoHyphens w:val="0"/>
              <w:autoSpaceDE/>
              <w:autoSpaceDN/>
              <w:adjustRightInd/>
              <w:jc w:val="left"/>
              <w:rPr>
                <w:color w:val="000000"/>
                <w:sz w:val="22"/>
                <w:szCs w:val="22"/>
              </w:rPr>
            </w:pPr>
            <w:r w:rsidRPr="00E37E8B">
              <w:rPr>
                <w:color w:val="000000"/>
                <w:sz w:val="22"/>
                <w:szCs w:val="22"/>
              </w:rPr>
              <w:t>Operating Expenses</w:t>
            </w:r>
          </w:p>
        </w:tc>
        <w:tc>
          <w:tcPr>
            <w:tcW w:w="2126" w:type="dxa"/>
            <w:noWrap/>
            <w:hideMark/>
          </w:tcPr>
          <w:p w:rsidR="00F8113D" w:rsidRPr="00E37E8B" w:rsidRDefault="00F8113D" w:rsidP="00F8113D">
            <w:pPr>
              <w:suppressAutoHyphens w:val="0"/>
              <w:autoSpaceDE/>
              <w:autoSpaceDN/>
              <w:adjustRightInd/>
              <w:jc w:val="right"/>
              <w:cnfStyle w:val="000000100000"/>
              <w:rPr>
                <w:color w:val="000000"/>
                <w:sz w:val="22"/>
                <w:szCs w:val="22"/>
              </w:rPr>
            </w:pPr>
            <w:r w:rsidRPr="00E37E8B">
              <w:rPr>
                <w:color w:val="000000"/>
                <w:sz w:val="22"/>
                <w:szCs w:val="22"/>
              </w:rPr>
              <w:t>n/a</w:t>
            </w:r>
          </w:p>
        </w:tc>
        <w:tc>
          <w:tcPr>
            <w:tcW w:w="2553" w:type="dxa"/>
            <w:noWrap/>
            <w:hideMark/>
          </w:tcPr>
          <w:p w:rsidR="00F8113D" w:rsidRPr="00E37E8B" w:rsidRDefault="00F8113D" w:rsidP="00F8113D">
            <w:pPr>
              <w:suppressAutoHyphens w:val="0"/>
              <w:autoSpaceDE/>
              <w:autoSpaceDN/>
              <w:adjustRightInd/>
              <w:jc w:val="right"/>
              <w:cnfStyle w:val="000000100000"/>
              <w:rPr>
                <w:color w:val="000000"/>
                <w:sz w:val="22"/>
                <w:szCs w:val="22"/>
              </w:rPr>
            </w:pPr>
            <w:r w:rsidRPr="00E37E8B">
              <w:rPr>
                <w:color w:val="000000"/>
                <w:sz w:val="22"/>
                <w:szCs w:val="22"/>
              </w:rPr>
              <w:t>2220</w:t>
            </w:r>
          </w:p>
        </w:tc>
      </w:tr>
      <w:tr w:rsidR="00E02660" w:rsidRPr="00E37E8B" w:rsidTr="00E02660">
        <w:trPr>
          <w:trHeight w:val="234"/>
          <w:jc w:val="center"/>
        </w:trPr>
        <w:tc>
          <w:tcPr>
            <w:cnfStyle w:val="001000000000"/>
            <w:tcW w:w="4109" w:type="dxa"/>
            <w:noWrap/>
            <w:hideMark/>
          </w:tcPr>
          <w:p w:rsidR="00F8113D" w:rsidRPr="00E37E8B" w:rsidRDefault="00F8113D" w:rsidP="00F8113D">
            <w:pPr>
              <w:suppressAutoHyphens w:val="0"/>
              <w:autoSpaceDE/>
              <w:autoSpaceDN/>
              <w:adjustRightInd/>
              <w:jc w:val="left"/>
              <w:rPr>
                <w:color w:val="000000"/>
                <w:sz w:val="22"/>
                <w:szCs w:val="22"/>
              </w:rPr>
            </w:pPr>
            <w:r w:rsidRPr="00E37E8B">
              <w:rPr>
                <w:color w:val="000000"/>
                <w:sz w:val="22"/>
                <w:szCs w:val="22"/>
              </w:rPr>
              <w:t>Access to e-resources</w:t>
            </w:r>
          </w:p>
        </w:tc>
        <w:tc>
          <w:tcPr>
            <w:tcW w:w="2126" w:type="dxa"/>
            <w:noWrap/>
            <w:hideMark/>
          </w:tcPr>
          <w:p w:rsidR="00F8113D" w:rsidRPr="00E37E8B" w:rsidRDefault="00F8113D" w:rsidP="00F8113D">
            <w:pPr>
              <w:suppressAutoHyphens w:val="0"/>
              <w:autoSpaceDE/>
              <w:autoSpaceDN/>
              <w:adjustRightInd/>
              <w:jc w:val="right"/>
              <w:cnfStyle w:val="000000000000"/>
              <w:rPr>
                <w:color w:val="000000"/>
                <w:sz w:val="22"/>
                <w:szCs w:val="22"/>
              </w:rPr>
            </w:pPr>
            <w:r w:rsidRPr="00E37E8B">
              <w:rPr>
                <w:color w:val="000000"/>
                <w:sz w:val="22"/>
                <w:szCs w:val="22"/>
              </w:rPr>
              <w:t>n/a</w:t>
            </w:r>
          </w:p>
        </w:tc>
        <w:tc>
          <w:tcPr>
            <w:tcW w:w="2553" w:type="dxa"/>
            <w:noWrap/>
            <w:hideMark/>
          </w:tcPr>
          <w:p w:rsidR="00F8113D" w:rsidRPr="00E37E8B" w:rsidRDefault="00F8113D" w:rsidP="00F8113D">
            <w:pPr>
              <w:suppressAutoHyphens w:val="0"/>
              <w:autoSpaceDE/>
              <w:autoSpaceDN/>
              <w:adjustRightInd/>
              <w:jc w:val="right"/>
              <w:cnfStyle w:val="000000000000"/>
              <w:rPr>
                <w:color w:val="000000"/>
                <w:sz w:val="22"/>
                <w:szCs w:val="22"/>
              </w:rPr>
            </w:pPr>
            <w:r w:rsidRPr="00E37E8B">
              <w:rPr>
                <w:color w:val="000000"/>
                <w:sz w:val="22"/>
                <w:szCs w:val="22"/>
              </w:rPr>
              <w:t>5000</w:t>
            </w:r>
          </w:p>
        </w:tc>
      </w:tr>
      <w:tr w:rsidR="00E02660" w:rsidRPr="00E37E8B" w:rsidTr="00E02660">
        <w:trPr>
          <w:cnfStyle w:val="000000100000"/>
          <w:trHeight w:val="234"/>
          <w:jc w:val="center"/>
        </w:trPr>
        <w:tc>
          <w:tcPr>
            <w:cnfStyle w:val="001000000000"/>
            <w:tcW w:w="4109" w:type="dxa"/>
            <w:noWrap/>
            <w:hideMark/>
          </w:tcPr>
          <w:p w:rsidR="00F8113D" w:rsidRPr="00E37E8B" w:rsidRDefault="00F8113D" w:rsidP="00F8113D">
            <w:pPr>
              <w:suppressAutoHyphens w:val="0"/>
              <w:autoSpaceDE/>
              <w:autoSpaceDN/>
              <w:adjustRightInd/>
              <w:jc w:val="left"/>
              <w:rPr>
                <w:color w:val="000000"/>
                <w:sz w:val="22"/>
                <w:szCs w:val="22"/>
              </w:rPr>
            </w:pPr>
            <w:r w:rsidRPr="00E37E8B">
              <w:rPr>
                <w:color w:val="000000"/>
                <w:sz w:val="22"/>
                <w:szCs w:val="22"/>
              </w:rPr>
              <w:t xml:space="preserve">Other costs </w:t>
            </w:r>
          </w:p>
        </w:tc>
        <w:tc>
          <w:tcPr>
            <w:tcW w:w="2126" w:type="dxa"/>
            <w:noWrap/>
            <w:hideMark/>
          </w:tcPr>
          <w:p w:rsidR="00F8113D" w:rsidRPr="00E37E8B" w:rsidRDefault="00F8113D" w:rsidP="00F8113D">
            <w:pPr>
              <w:suppressAutoHyphens w:val="0"/>
              <w:autoSpaceDE/>
              <w:autoSpaceDN/>
              <w:adjustRightInd/>
              <w:jc w:val="right"/>
              <w:cnfStyle w:val="000000100000"/>
              <w:rPr>
                <w:color w:val="000000"/>
                <w:sz w:val="22"/>
                <w:szCs w:val="22"/>
              </w:rPr>
            </w:pPr>
            <w:r w:rsidRPr="00E37E8B">
              <w:rPr>
                <w:color w:val="000000"/>
                <w:sz w:val="22"/>
                <w:szCs w:val="22"/>
              </w:rPr>
              <w:t>n/a</w:t>
            </w:r>
          </w:p>
        </w:tc>
        <w:tc>
          <w:tcPr>
            <w:tcW w:w="2553" w:type="dxa"/>
            <w:noWrap/>
            <w:hideMark/>
          </w:tcPr>
          <w:p w:rsidR="00F8113D" w:rsidRPr="00E37E8B" w:rsidRDefault="00F8113D" w:rsidP="00F8113D">
            <w:pPr>
              <w:suppressAutoHyphens w:val="0"/>
              <w:autoSpaceDE/>
              <w:autoSpaceDN/>
              <w:adjustRightInd/>
              <w:jc w:val="right"/>
              <w:cnfStyle w:val="000000100000"/>
              <w:rPr>
                <w:color w:val="000000"/>
                <w:sz w:val="22"/>
                <w:szCs w:val="22"/>
              </w:rPr>
            </w:pPr>
            <w:r w:rsidRPr="00E37E8B">
              <w:rPr>
                <w:color w:val="000000"/>
                <w:sz w:val="22"/>
                <w:szCs w:val="22"/>
              </w:rPr>
              <w:t>13000</w:t>
            </w:r>
          </w:p>
        </w:tc>
      </w:tr>
      <w:tr w:rsidR="00E02660" w:rsidRPr="00E37E8B" w:rsidTr="00E02660">
        <w:trPr>
          <w:trHeight w:val="234"/>
          <w:jc w:val="center"/>
        </w:trPr>
        <w:tc>
          <w:tcPr>
            <w:cnfStyle w:val="001000000000"/>
            <w:tcW w:w="4109" w:type="dxa"/>
            <w:noWrap/>
            <w:hideMark/>
          </w:tcPr>
          <w:p w:rsidR="00F8113D" w:rsidRPr="00E37E8B" w:rsidRDefault="00F8113D" w:rsidP="00F8113D">
            <w:pPr>
              <w:suppressAutoHyphens w:val="0"/>
              <w:autoSpaceDE/>
              <w:autoSpaceDN/>
              <w:adjustRightInd/>
              <w:jc w:val="left"/>
              <w:rPr>
                <w:color w:val="000000"/>
                <w:sz w:val="22"/>
                <w:szCs w:val="22"/>
              </w:rPr>
            </w:pPr>
            <w:r w:rsidRPr="00E37E8B">
              <w:rPr>
                <w:color w:val="000000"/>
                <w:sz w:val="22"/>
                <w:szCs w:val="22"/>
              </w:rPr>
              <w:t>Books (print editions)</w:t>
            </w:r>
          </w:p>
        </w:tc>
        <w:tc>
          <w:tcPr>
            <w:tcW w:w="2126" w:type="dxa"/>
            <w:noWrap/>
            <w:hideMark/>
          </w:tcPr>
          <w:p w:rsidR="00F8113D" w:rsidRPr="00E37E8B" w:rsidRDefault="00F8113D" w:rsidP="00F8113D">
            <w:pPr>
              <w:suppressAutoHyphens w:val="0"/>
              <w:autoSpaceDE/>
              <w:autoSpaceDN/>
              <w:adjustRightInd/>
              <w:jc w:val="right"/>
              <w:cnfStyle w:val="000000000000"/>
              <w:rPr>
                <w:color w:val="000000"/>
                <w:sz w:val="22"/>
                <w:szCs w:val="22"/>
              </w:rPr>
            </w:pPr>
            <w:r w:rsidRPr="00E37E8B">
              <w:rPr>
                <w:color w:val="000000"/>
                <w:sz w:val="22"/>
                <w:szCs w:val="22"/>
              </w:rPr>
              <w:t>n/a</w:t>
            </w:r>
          </w:p>
        </w:tc>
        <w:tc>
          <w:tcPr>
            <w:tcW w:w="2553" w:type="dxa"/>
            <w:noWrap/>
            <w:hideMark/>
          </w:tcPr>
          <w:p w:rsidR="00F8113D" w:rsidRPr="00E37E8B" w:rsidRDefault="00F8113D" w:rsidP="00F8113D">
            <w:pPr>
              <w:suppressAutoHyphens w:val="0"/>
              <w:autoSpaceDE/>
              <w:autoSpaceDN/>
              <w:adjustRightInd/>
              <w:jc w:val="right"/>
              <w:cnfStyle w:val="000000000000"/>
              <w:rPr>
                <w:color w:val="000000"/>
                <w:sz w:val="22"/>
                <w:szCs w:val="22"/>
              </w:rPr>
            </w:pPr>
            <w:r w:rsidRPr="00E37E8B">
              <w:rPr>
                <w:color w:val="000000"/>
                <w:sz w:val="22"/>
                <w:szCs w:val="22"/>
              </w:rPr>
              <w:t>5400</w:t>
            </w:r>
          </w:p>
        </w:tc>
      </w:tr>
      <w:tr w:rsidR="00E02660" w:rsidRPr="00E37E8B" w:rsidTr="00E02660">
        <w:trPr>
          <w:cnfStyle w:val="000000100000"/>
          <w:trHeight w:val="234"/>
          <w:jc w:val="center"/>
        </w:trPr>
        <w:tc>
          <w:tcPr>
            <w:cnfStyle w:val="001000000000"/>
            <w:tcW w:w="4109" w:type="dxa"/>
            <w:noWrap/>
            <w:hideMark/>
          </w:tcPr>
          <w:p w:rsidR="00F8113D" w:rsidRPr="00E37E8B" w:rsidRDefault="00F8113D" w:rsidP="00F8113D">
            <w:pPr>
              <w:suppressAutoHyphens w:val="0"/>
              <w:autoSpaceDE/>
              <w:autoSpaceDN/>
              <w:adjustRightInd/>
              <w:jc w:val="left"/>
              <w:rPr>
                <w:color w:val="000000"/>
                <w:sz w:val="22"/>
                <w:szCs w:val="22"/>
              </w:rPr>
            </w:pPr>
            <w:r w:rsidRPr="00E37E8B">
              <w:rPr>
                <w:color w:val="000000"/>
                <w:sz w:val="22"/>
                <w:szCs w:val="22"/>
              </w:rPr>
              <w:t>Conference, Publications</w:t>
            </w:r>
          </w:p>
        </w:tc>
        <w:tc>
          <w:tcPr>
            <w:tcW w:w="2126" w:type="dxa"/>
            <w:noWrap/>
            <w:hideMark/>
          </w:tcPr>
          <w:p w:rsidR="00F8113D" w:rsidRPr="00E37E8B" w:rsidRDefault="00F8113D" w:rsidP="00F8113D">
            <w:pPr>
              <w:suppressAutoHyphens w:val="0"/>
              <w:autoSpaceDE/>
              <w:autoSpaceDN/>
              <w:adjustRightInd/>
              <w:jc w:val="right"/>
              <w:cnfStyle w:val="000000100000"/>
              <w:rPr>
                <w:color w:val="000000"/>
                <w:sz w:val="22"/>
                <w:szCs w:val="22"/>
              </w:rPr>
            </w:pPr>
            <w:r w:rsidRPr="00E37E8B">
              <w:rPr>
                <w:color w:val="000000"/>
                <w:sz w:val="22"/>
                <w:szCs w:val="22"/>
              </w:rPr>
              <w:t>n/a</w:t>
            </w:r>
          </w:p>
        </w:tc>
        <w:tc>
          <w:tcPr>
            <w:tcW w:w="2553" w:type="dxa"/>
            <w:noWrap/>
            <w:hideMark/>
          </w:tcPr>
          <w:p w:rsidR="00F8113D" w:rsidRPr="00E37E8B" w:rsidRDefault="00F8113D" w:rsidP="00F8113D">
            <w:pPr>
              <w:suppressAutoHyphens w:val="0"/>
              <w:autoSpaceDE/>
              <w:autoSpaceDN/>
              <w:adjustRightInd/>
              <w:jc w:val="right"/>
              <w:cnfStyle w:val="000000100000"/>
              <w:rPr>
                <w:color w:val="000000"/>
                <w:sz w:val="22"/>
                <w:szCs w:val="22"/>
              </w:rPr>
            </w:pPr>
            <w:r w:rsidRPr="00E37E8B">
              <w:rPr>
                <w:color w:val="000000"/>
                <w:sz w:val="22"/>
                <w:szCs w:val="22"/>
              </w:rPr>
              <w:t>11000</w:t>
            </w:r>
          </w:p>
        </w:tc>
      </w:tr>
      <w:tr w:rsidR="00E37E8B" w:rsidRPr="00E37E8B" w:rsidTr="00782C71">
        <w:trPr>
          <w:trHeight w:val="234"/>
          <w:jc w:val="center"/>
        </w:trPr>
        <w:tc>
          <w:tcPr>
            <w:cnfStyle w:val="001000000000"/>
            <w:tcW w:w="4109" w:type="dxa"/>
            <w:noWrap/>
            <w:hideMark/>
          </w:tcPr>
          <w:p w:rsidR="00E37E8B" w:rsidRPr="00E37E8B" w:rsidRDefault="00E37E8B" w:rsidP="00F8113D">
            <w:pPr>
              <w:suppressAutoHyphens w:val="0"/>
              <w:autoSpaceDE/>
              <w:autoSpaceDN/>
              <w:adjustRightInd/>
              <w:jc w:val="left"/>
              <w:rPr>
                <w:color w:val="000000"/>
                <w:sz w:val="22"/>
                <w:szCs w:val="22"/>
              </w:rPr>
            </w:pPr>
            <w:r w:rsidRPr="00E37E8B">
              <w:rPr>
                <w:color w:val="000000"/>
                <w:sz w:val="22"/>
                <w:szCs w:val="22"/>
              </w:rPr>
              <w:t>Total Budget</w:t>
            </w:r>
          </w:p>
        </w:tc>
        <w:tc>
          <w:tcPr>
            <w:tcW w:w="4679" w:type="dxa"/>
            <w:gridSpan w:val="2"/>
            <w:noWrap/>
            <w:hideMark/>
          </w:tcPr>
          <w:p w:rsidR="00E37E8B" w:rsidRPr="00E37E8B" w:rsidRDefault="00E37E8B" w:rsidP="00F8113D">
            <w:pPr>
              <w:suppressAutoHyphens w:val="0"/>
              <w:autoSpaceDE/>
              <w:autoSpaceDN/>
              <w:adjustRightInd/>
              <w:jc w:val="right"/>
              <w:cnfStyle w:val="000000000000"/>
              <w:rPr>
                <w:color w:val="000000"/>
                <w:sz w:val="22"/>
                <w:szCs w:val="22"/>
              </w:rPr>
            </w:pPr>
            <w:r w:rsidRPr="00E37E8B">
              <w:rPr>
                <w:color w:val="000000"/>
                <w:sz w:val="22"/>
                <w:szCs w:val="22"/>
              </w:rPr>
              <w:t> </w:t>
            </w:r>
          </w:p>
          <w:p w:rsidR="00E37E8B" w:rsidRPr="00E37E8B" w:rsidRDefault="00E37E8B" w:rsidP="00F8113D">
            <w:pPr>
              <w:suppressAutoHyphens w:val="0"/>
              <w:autoSpaceDE/>
              <w:autoSpaceDN/>
              <w:adjustRightInd/>
              <w:jc w:val="right"/>
              <w:cnfStyle w:val="000000000000"/>
              <w:rPr>
                <w:color w:val="000000"/>
                <w:sz w:val="22"/>
                <w:szCs w:val="22"/>
              </w:rPr>
            </w:pPr>
            <w:r w:rsidRPr="00E37E8B">
              <w:rPr>
                <w:color w:val="000000"/>
                <w:sz w:val="22"/>
                <w:szCs w:val="22"/>
              </w:rPr>
              <w:t>200000</w:t>
            </w:r>
          </w:p>
        </w:tc>
      </w:tr>
    </w:tbl>
    <w:p w:rsidR="00066B22" w:rsidRPr="00E37E8B" w:rsidRDefault="00066B22" w:rsidP="00066B22">
      <w:pPr>
        <w:suppressAutoHyphens w:val="0"/>
        <w:autoSpaceDE/>
        <w:autoSpaceDN/>
        <w:adjustRightInd/>
        <w:jc w:val="left"/>
        <w:rPr>
          <w:b/>
          <w:bCs/>
          <w:sz w:val="22"/>
          <w:szCs w:val="22"/>
          <w:lang w:val="el-GR"/>
        </w:rPr>
      </w:pPr>
      <w:bookmarkStart w:id="32" w:name="_GoBack"/>
      <w:bookmarkStart w:id="33" w:name="_Toc4db28b4"/>
      <w:bookmarkEnd w:id="32"/>
      <w:r w:rsidRPr="00E37E8B">
        <w:rPr>
          <w:sz w:val="22"/>
          <w:szCs w:val="22"/>
          <w:lang w:val="el-GR"/>
        </w:rPr>
        <w:br w:type="page"/>
      </w:r>
    </w:p>
    <w:p w:rsidR="00066B22" w:rsidRPr="00E37E8B" w:rsidRDefault="00066B22" w:rsidP="00066B22">
      <w:pPr>
        <w:pStyle w:val="2"/>
        <w:rPr>
          <w:sz w:val="22"/>
          <w:szCs w:val="22"/>
        </w:rPr>
      </w:pPr>
      <w:r w:rsidRPr="00E37E8B">
        <w:rPr>
          <w:sz w:val="22"/>
          <w:szCs w:val="22"/>
        </w:rPr>
        <w:lastRenderedPageBreak/>
        <w:t>References</w:t>
      </w:r>
      <w:bookmarkEnd w:id="33"/>
    </w:p>
    <w:p w:rsidR="00066B22" w:rsidRPr="00E37E8B" w:rsidRDefault="00066B22" w:rsidP="00066B22">
      <w:pPr>
        <w:tabs>
          <w:tab w:val="left" w:pos="284"/>
        </w:tabs>
        <w:rPr>
          <w:sz w:val="22"/>
          <w:szCs w:val="22"/>
        </w:rPr>
      </w:pPr>
    </w:p>
    <w:p w:rsidR="00066B22" w:rsidRPr="00E37E8B" w:rsidRDefault="00541A92" w:rsidP="00066B22">
      <w:pPr>
        <w:widowControl w:val="0"/>
        <w:suppressAutoHyphens w:val="0"/>
        <w:ind w:left="540" w:hanging="540"/>
        <w:jc w:val="left"/>
        <w:rPr>
          <w:sz w:val="22"/>
          <w:szCs w:val="22"/>
          <w:lang w:val="el-GR"/>
        </w:rPr>
      </w:pPr>
      <w:r w:rsidRPr="00E37E8B">
        <w:rPr>
          <w:sz w:val="22"/>
          <w:szCs w:val="22"/>
        </w:rPr>
        <w:fldChar w:fldCharType="begin"/>
      </w:r>
      <w:r w:rsidR="00066B22" w:rsidRPr="00E37E8B">
        <w:rPr>
          <w:sz w:val="22"/>
          <w:szCs w:val="22"/>
        </w:rPr>
        <w:instrText>ADDIN BB</w:instrText>
      </w:r>
      <w:r w:rsidRPr="00E37E8B">
        <w:rPr>
          <w:sz w:val="22"/>
          <w:szCs w:val="22"/>
        </w:rPr>
        <w:fldChar w:fldCharType="separate"/>
      </w:r>
      <w:r w:rsidR="00066B22" w:rsidRPr="00E37E8B">
        <w:rPr>
          <w:sz w:val="22"/>
          <w:szCs w:val="22"/>
        </w:rPr>
        <w:t xml:space="preserve">Almas, B., &amp; Berti, M. (2013). </w:t>
      </w:r>
      <w:r w:rsidR="00066B22" w:rsidRPr="00E37E8B">
        <w:rPr>
          <w:i/>
          <w:sz w:val="22"/>
          <w:szCs w:val="22"/>
        </w:rPr>
        <w:t>Perseids collaborative platform for annotating text re-uses of fragmentary authors</w:t>
      </w:r>
      <w:r w:rsidR="00066B22" w:rsidRPr="00E37E8B">
        <w:rPr>
          <w:sz w:val="22"/>
          <w:szCs w:val="22"/>
        </w:rPr>
        <w:t>. New</w:t>
      </w:r>
      <w:r w:rsidR="00066B22" w:rsidRPr="00E37E8B">
        <w:rPr>
          <w:sz w:val="22"/>
          <w:szCs w:val="22"/>
          <w:lang w:val="el-GR"/>
        </w:rPr>
        <w:t xml:space="preserve"> </w:t>
      </w:r>
      <w:r w:rsidR="00066B22" w:rsidRPr="00E37E8B">
        <w:rPr>
          <w:sz w:val="22"/>
          <w:szCs w:val="22"/>
        </w:rPr>
        <w:t>York</w:t>
      </w:r>
      <w:r w:rsidR="00066B22" w:rsidRPr="00E37E8B">
        <w:rPr>
          <w:sz w:val="22"/>
          <w:szCs w:val="22"/>
          <w:lang w:val="el-GR"/>
        </w:rPr>
        <w:t xml:space="preserve">, </w:t>
      </w:r>
      <w:r w:rsidR="00066B22" w:rsidRPr="00E37E8B">
        <w:rPr>
          <w:sz w:val="22"/>
          <w:szCs w:val="22"/>
        </w:rPr>
        <w:t>New</w:t>
      </w:r>
      <w:r w:rsidR="00066B22" w:rsidRPr="00E37E8B">
        <w:rPr>
          <w:sz w:val="22"/>
          <w:szCs w:val="22"/>
          <w:lang w:val="el-GR"/>
        </w:rPr>
        <w:t xml:space="preserve"> </w:t>
      </w:r>
      <w:r w:rsidR="00066B22" w:rsidRPr="00E37E8B">
        <w:rPr>
          <w:sz w:val="22"/>
          <w:szCs w:val="22"/>
        </w:rPr>
        <w:t>York</w:t>
      </w:r>
      <w:r w:rsidR="00066B22" w:rsidRPr="00E37E8B">
        <w:rPr>
          <w:sz w:val="22"/>
          <w:szCs w:val="22"/>
          <w:lang w:val="el-GR"/>
        </w:rPr>
        <w:t xml:space="preserve">, </w:t>
      </w:r>
      <w:r w:rsidR="00066B22" w:rsidRPr="00E37E8B">
        <w:rPr>
          <w:sz w:val="22"/>
          <w:szCs w:val="22"/>
        </w:rPr>
        <w:t>USA</w:t>
      </w:r>
      <w:r w:rsidR="00066B22" w:rsidRPr="00E37E8B">
        <w:rPr>
          <w:sz w:val="22"/>
          <w:szCs w:val="22"/>
          <w:lang w:val="el-GR"/>
        </w:rPr>
        <w:t>.</w:t>
      </w:r>
    </w:p>
    <w:p w:rsidR="00066B22" w:rsidRPr="00E37E8B" w:rsidRDefault="00066B22" w:rsidP="00066B22">
      <w:pPr>
        <w:widowControl w:val="0"/>
        <w:suppressAutoHyphens w:val="0"/>
        <w:ind w:left="540" w:hanging="540"/>
        <w:jc w:val="left"/>
        <w:rPr>
          <w:sz w:val="22"/>
          <w:szCs w:val="22"/>
          <w:lang w:val="el-GR"/>
        </w:rPr>
      </w:pPr>
      <w:r w:rsidRPr="00E37E8B">
        <w:rPr>
          <w:sz w:val="22"/>
          <w:szCs w:val="22"/>
        </w:rPr>
        <w:t>Atmatzides</w:t>
      </w:r>
      <w:r w:rsidRPr="00E37E8B">
        <w:rPr>
          <w:sz w:val="22"/>
          <w:szCs w:val="22"/>
          <w:lang w:val="el-GR"/>
        </w:rPr>
        <w:t xml:space="preserve">, </w:t>
      </w:r>
      <w:r w:rsidRPr="00E37E8B">
        <w:rPr>
          <w:sz w:val="22"/>
          <w:szCs w:val="22"/>
        </w:rPr>
        <w:t>C</w:t>
      </w:r>
      <w:r w:rsidRPr="00E37E8B">
        <w:rPr>
          <w:sz w:val="22"/>
          <w:szCs w:val="22"/>
          <w:lang w:val="el-GR"/>
        </w:rPr>
        <w:t xml:space="preserve">. (2007). Η δικαιοσύνη του Θεού και ο άνθρωπος. Σκιαγράφηση ενός τρόπου σωτηρίας κατά την παύλεια θεολογία. </w:t>
      </w:r>
      <w:r w:rsidRPr="00E37E8B">
        <w:rPr>
          <w:i/>
          <w:sz w:val="22"/>
          <w:szCs w:val="22"/>
          <w:lang w:val="el-GR"/>
        </w:rPr>
        <w:t>Δελτίο Βιβλικών Μελετών</w:t>
      </w:r>
      <w:r w:rsidRPr="00E37E8B">
        <w:rPr>
          <w:sz w:val="22"/>
          <w:szCs w:val="22"/>
          <w:lang w:val="el-GR"/>
        </w:rPr>
        <w:t xml:space="preserve">, </w:t>
      </w:r>
      <w:r w:rsidRPr="00E37E8B">
        <w:rPr>
          <w:i/>
          <w:sz w:val="22"/>
          <w:szCs w:val="22"/>
          <w:lang w:val="el-GR"/>
        </w:rPr>
        <w:t>35</w:t>
      </w:r>
      <w:r w:rsidRPr="00E37E8B">
        <w:rPr>
          <w:sz w:val="22"/>
          <w:szCs w:val="22"/>
          <w:lang w:val="el-GR"/>
        </w:rPr>
        <w:t>, 75-107.</w:t>
      </w:r>
    </w:p>
    <w:p w:rsidR="00066B22" w:rsidRPr="00E37E8B" w:rsidRDefault="00066B22" w:rsidP="00066B22">
      <w:pPr>
        <w:widowControl w:val="0"/>
        <w:suppressAutoHyphens w:val="0"/>
        <w:ind w:left="540" w:hanging="540"/>
        <w:jc w:val="left"/>
        <w:rPr>
          <w:sz w:val="22"/>
          <w:szCs w:val="22"/>
          <w:lang w:val="el-GR"/>
        </w:rPr>
      </w:pPr>
      <w:r w:rsidRPr="00E37E8B">
        <w:rPr>
          <w:sz w:val="22"/>
          <w:szCs w:val="22"/>
        </w:rPr>
        <w:t>Barth</w:t>
      </w:r>
      <w:r w:rsidRPr="00E37E8B">
        <w:rPr>
          <w:sz w:val="22"/>
          <w:szCs w:val="22"/>
          <w:lang w:val="el-GR"/>
        </w:rPr>
        <w:t xml:space="preserve">, </w:t>
      </w:r>
      <w:r w:rsidRPr="00E37E8B">
        <w:rPr>
          <w:sz w:val="22"/>
          <w:szCs w:val="22"/>
        </w:rPr>
        <w:t>K</w:t>
      </w:r>
      <w:r w:rsidRPr="00E37E8B">
        <w:rPr>
          <w:sz w:val="22"/>
          <w:szCs w:val="22"/>
          <w:lang w:val="el-GR"/>
        </w:rPr>
        <w:t xml:space="preserve">. (2015). </w:t>
      </w:r>
      <w:r w:rsidRPr="00E37E8B">
        <w:rPr>
          <w:i/>
          <w:sz w:val="22"/>
          <w:szCs w:val="22"/>
          <w:lang w:val="el-GR"/>
        </w:rPr>
        <w:t>Η Προς Ρωμαίους επιστολή</w:t>
      </w:r>
      <w:r w:rsidRPr="00E37E8B">
        <w:rPr>
          <w:sz w:val="22"/>
          <w:szCs w:val="22"/>
          <w:lang w:val="el-GR"/>
        </w:rPr>
        <w:t xml:space="preserve"> (Γ. Βλαντής, </w:t>
      </w:r>
      <w:r w:rsidRPr="00E37E8B">
        <w:rPr>
          <w:sz w:val="22"/>
          <w:szCs w:val="22"/>
        </w:rPr>
        <w:t>Trans</w:t>
      </w:r>
      <w:r w:rsidRPr="00E37E8B">
        <w:rPr>
          <w:sz w:val="22"/>
          <w:szCs w:val="22"/>
          <w:lang w:val="el-GR"/>
        </w:rPr>
        <w:t>.). Αθήνα: Άρτος Ζωής.</w:t>
      </w:r>
    </w:p>
    <w:p w:rsidR="00066B22" w:rsidRPr="00E37E8B" w:rsidRDefault="00066B22" w:rsidP="00066B22">
      <w:pPr>
        <w:widowControl w:val="0"/>
        <w:suppressAutoHyphens w:val="0"/>
        <w:ind w:left="540" w:hanging="540"/>
        <w:jc w:val="left"/>
        <w:rPr>
          <w:sz w:val="22"/>
          <w:szCs w:val="22"/>
          <w:lang w:val="el-GR"/>
        </w:rPr>
      </w:pPr>
      <w:r w:rsidRPr="00E37E8B">
        <w:rPr>
          <w:sz w:val="22"/>
          <w:szCs w:val="22"/>
        </w:rPr>
        <w:t>Bathrellos</w:t>
      </w:r>
      <w:r w:rsidRPr="00E37E8B">
        <w:rPr>
          <w:sz w:val="22"/>
          <w:szCs w:val="22"/>
          <w:lang w:val="el-GR"/>
        </w:rPr>
        <w:t xml:space="preserve">, </w:t>
      </w:r>
      <w:r w:rsidRPr="00E37E8B">
        <w:rPr>
          <w:sz w:val="22"/>
          <w:szCs w:val="22"/>
        </w:rPr>
        <w:t>D</w:t>
      </w:r>
      <w:r w:rsidRPr="00E37E8B">
        <w:rPr>
          <w:sz w:val="22"/>
          <w:szCs w:val="22"/>
          <w:lang w:val="el-GR"/>
        </w:rPr>
        <w:t xml:space="preserve">. (2016). Ο Παύλος, ο Μπαρτ, η Θεολογία και ο Πολιτισμός. Σχόλια στη Σχέση Θεολογίας και Πολιτισμού με αφορμή την Προς Ρωμαίους Επιστολή του Καρλ Μπαρτ. </w:t>
      </w:r>
      <w:r w:rsidRPr="00E37E8B">
        <w:rPr>
          <w:i/>
          <w:sz w:val="22"/>
          <w:szCs w:val="22"/>
          <w:lang w:val="el-GR"/>
        </w:rPr>
        <w:t>Δελτίο Βιβλικών Μελετών</w:t>
      </w:r>
      <w:r w:rsidRPr="00E37E8B">
        <w:rPr>
          <w:sz w:val="22"/>
          <w:szCs w:val="22"/>
          <w:lang w:val="el-GR"/>
        </w:rPr>
        <w:t xml:space="preserve">, </w:t>
      </w:r>
      <w:r w:rsidRPr="00E37E8B">
        <w:rPr>
          <w:i/>
          <w:sz w:val="22"/>
          <w:szCs w:val="22"/>
          <w:lang w:val="el-GR"/>
        </w:rPr>
        <w:t>31</w:t>
      </w:r>
      <w:r w:rsidRPr="00E37E8B">
        <w:rPr>
          <w:sz w:val="22"/>
          <w:szCs w:val="22"/>
          <w:lang w:val="el-GR"/>
        </w:rPr>
        <w:t>, 71-95.</w:t>
      </w:r>
    </w:p>
    <w:p w:rsidR="00066B22" w:rsidRPr="00E37E8B" w:rsidRDefault="00066B22" w:rsidP="00066B22">
      <w:pPr>
        <w:widowControl w:val="0"/>
        <w:suppressAutoHyphens w:val="0"/>
        <w:ind w:left="540" w:hanging="540"/>
        <w:jc w:val="left"/>
        <w:rPr>
          <w:sz w:val="22"/>
          <w:szCs w:val="22"/>
        </w:rPr>
      </w:pPr>
      <w:r w:rsidRPr="00E37E8B">
        <w:rPr>
          <w:sz w:val="22"/>
          <w:szCs w:val="22"/>
        </w:rPr>
        <w:t>Bromiley</w:t>
      </w:r>
      <w:r w:rsidRPr="00E37E8B">
        <w:rPr>
          <w:sz w:val="22"/>
          <w:szCs w:val="22"/>
          <w:lang w:val="el-GR"/>
        </w:rPr>
        <w:t xml:space="preserve">, </w:t>
      </w:r>
      <w:r w:rsidRPr="00E37E8B">
        <w:rPr>
          <w:sz w:val="22"/>
          <w:szCs w:val="22"/>
        </w:rPr>
        <w:t>G</w:t>
      </w:r>
      <w:r w:rsidRPr="00E37E8B">
        <w:rPr>
          <w:sz w:val="22"/>
          <w:szCs w:val="22"/>
          <w:lang w:val="el-GR"/>
        </w:rPr>
        <w:t xml:space="preserve">. </w:t>
      </w:r>
      <w:r w:rsidRPr="00E37E8B">
        <w:rPr>
          <w:sz w:val="22"/>
          <w:szCs w:val="22"/>
        </w:rPr>
        <w:t>W</w:t>
      </w:r>
      <w:r w:rsidRPr="00E37E8B">
        <w:rPr>
          <w:sz w:val="22"/>
          <w:szCs w:val="22"/>
          <w:lang w:val="el-GR"/>
        </w:rPr>
        <w:t xml:space="preserve">., </w:t>
      </w:r>
      <w:r w:rsidRPr="00E37E8B">
        <w:rPr>
          <w:sz w:val="22"/>
          <w:szCs w:val="22"/>
        </w:rPr>
        <w:t>Friedrich</w:t>
      </w:r>
      <w:r w:rsidRPr="00E37E8B">
        <w:rPr>
          <w:sz w:val="22"/>
          <w:szCs w:val="22"/>
          <w:lang w:val="el-GR"/>
        </w:rPr>
        <w:t xml:space="preserve">, </w:t>
      </w:r>
      <w:r w:rsidRPr="00E37E8B">
        <w:rPr>
          <w:sz w:val="22"/>
          <w:szCs w:val="22"/>
        </w:rPr>
        <w:t>G</w:t>
      </w:r>
      <w:r w:rsidRPr="00E37E8B">
        <w:rPr>
          <w:sz w:val="22"/>
          <w:szCs w:val="22"/>
          <w:lang w:val="el-GR"/>
        </w:rPr>
        <w:t xml:space="preserve">., </w:t>
      </w:r>
      <w:r w:rsidRPr="00E37E8B">
        <w:rPr>
          <w:sz w:val="22"/>
          <w:szCs w:val="22"/>
        </w:rPr>
        <w:t>Kittel</w:t>
      </w:r>
      <w:r w:rsidRPr="00E37E8B">
        <w:rPr>
          <w:sz w:val="22"/>
          <w:szCs w:val="22"/>
          <w:lang w:val="el-GR"/>
        </w:rPr>
        <w:t xml:space="preserve">, </w:t>
      </w:r>
      <w:r w:rsidRPr="00E37E8B">
        <w:rPr>
          <w:sz w:val="22"/>
          <w:szCs w:val="22"/>
        </w:rPr>
        <w:t>G</w:t>
      </w:r>
      <w:r w:rsidRPr="00E37E8B">
        <w:rPr>
          <w:sz w:val="22"/>
          <w:szCs w:val="22"/>
          <w:lang w:val="el-GR"/>
        </w:rPr>
        <w:t xml:space="preserve">., &amp; </w:t>
      </w:r>
      <w:r w:rsidRPr="00E37E8B">
        <w:rPr>
          <w:sz w:val="22"/>
          <w:szCs w:val="22"/>
        </w:rPr>
        <w:t>Pitkin</w:t>
      </w:r>
      <w:r w:rsidRPr="00E37E8B">
        <w:rPr>
          <w:sz w:val="22"/>
          <w:szCs w:val="22"/>
          <w:lang w:val="el-GR"/>
        </w:rPr>
        <w:t xml:space="preserve">, </w:t>
      </w:r>
      <w:r w:rsidRPr="00E37E8B">
        <w:rPr>
          <w:sz w:val="22"/>
          <w:szCs w:val="22"/>
        </w:rPr>
        <w:t>R</w:t>
      </w:r>
      <w:r w:rsidRPr="00E37E8B">
        <w:rPr>
          <w:sz w:val="22"/>
          <w:szCs w:val="22"/>
          <w:lang w:val="el-GR"/>
        </w:rPr>
        <w:t xml:space="preserve">. </w:t>
      </w:r>
      <w:r w:rsidRPr="00E37E8B">
        <w:rPr>
          <w:sz w:val="22"/>
          <w:szCs w:val="22"/>
        </w:rPr>
        <w:t>E</w:t>
      </w:r>
      <w:r w:rsidRPr="00E37E8B">
        <w:rPr>
          <w:sz w:val="22"/>
          <w:szCs w:val="22"/>
          <w:lang w:val="el-GR"/>
        </w:rPr>
        <w:t xml:space="preserve">. (1964). </w:t>
      </w:r>
      <w:r w:rsidRPr="00E37E8B">
        <w:rPr>
          <w:i/>
          <w:sz w:val="22"/>
          <w:szCs w:val="22"/>
        </w:rPr>
        <w:t>Theological dictionary of the New Testament</w:t>
      </w:r>
      <w:r w:rsidRPr="00E37E8B">
        <w:rPr>
          <w:sz w:val="22"/>
          <w:szCs w:val="22"/>
        </w:rPr>
        <w:t>. Grand Rapids, Michigan: Eerdmans.</w:t>
      </w:r>
    </w:p>
    <w:p w:rsidR="00066B22" w:rsidRPr="00E37E8B" w:rsidRDefault="00066B22" w:rsidP="00066B22">
      <w:pPr>
        <w:widowControl w:val="0"/>
        <w:suppressAutoHyphens w:val="0"/>
        <w:ind w:left="540" w:hanging="540"/>
        <w:jc w:val="left"/>
        <w:rPr>
          <w:sz w:val="22"/>
          <w:szCs w:val="22"/>
        </w:rPr>
      </w:pPr>
      <w:r w:rsidRPr="00E37E8B">
        <w:rPr>
          <w:sz w:val="22"/>
          <w:szCs w:val="22"/>
        </w:rPr>
        <w:t xml:space="preserve">Clines, D. J. A. (Ed.). (1993). </w:t>
      </w:r>
      <w:r w:rsidRPr="00E37E8B">
        <w:rPr>
          <w:i/>
          <w:sz w:val="22"/>
          <w:szCs w:val="22"/>
        </w:rPr>
        <w:t>The dictionary of classical Hebrew</w:t>
      </w:r>
      <w:r w:rsidRPr="00E37E8B">
        <w:rPr>
          <w:sz w:val="22"/>
          <w:szCs w:val="22"/>
        </w:rPr>
        <w:t>. (Vol. 1-9). Sheffield: Sheffield Phoenix Press.</w:t>
      </w:r>
    </w:p>
    <w:p w:rsidR="00066B22" w:rsidRPr="00E37E8B" w:rsidRDefault="00066B22" w:rsidP="00066B22">
      <w:pPr>
        <w:widowControl w:val="0"/>
        <w:suppressAutoHyphens w:val="0"/>
        <w:ind w:left="540" w:hanging="540"/>
        <w:jc w:val="left"/>
        <w:rPr>
          <w:sz w:val="22"/>
          <w:szCs w:val="22"/>
        </w:rPr>
      </w:pPr>
      <w:r w:rsidRPr="00E37E8B">
        <w:rPr>
          <w:sz w:val="22"/>
          <w:szCs w:val="22"/>
        </w:rPr>
        <w:t xml:space="preserve">Collins, J. N. (2012). A Monocultural Usage: διακου-words in Classical, Hellenistic, and Patristic Sources. </w:t>
      </w:r>
      <w:r w:rsidRPr="00E37E8B">
        <w:rPr>
          <w:i/>
          <w:sz w:val="22"/>
          <w:szCs w:val="22"/>
        </w:rPr>
        <w:t>Vigiliae Christianae</w:t>
      </w:r>
      <w:r w:rsidRPr="00E37E8B">
        <w:rPr>
          <w:sz w:val="22"/>
          <w:szCs w:val="22"/>
        </w:rPr>
        <w:t xml:space="preserve">, </w:t>
      </w:r>
      <w:r w:rsidRPr="00E37E8B">
        <w:rPr>
          <w:i/>
          <w:sz w:val="22"/>
          <w:szCs w:val="22"/>
        </w:rPr>
        <w:t>66</w:t>
      </w:r>
      <w:r w:rsidRPr="00E37E8B">
        <w:rPr>
          <w:sz w:val="22"/>
          <w:szCs w:val="22"/>
        </w:rPr>
        <w:t>(3), 287-309.</w:t>
      </w:r>
    </w:p>
    <w:p w:rsidR="00066B22" w:rsidRPr="00E37E8B" w:rsidRDefault="00066B22" w:rsidP="00066B22">
      <w:pPr>
        <w:widowControl w:val="0"/>
        <w:suppressAutoHyphens w:val="0"/>
        <w:ind w:left="540" w:hanging="540"/>
        <w:jc w:val="left"/>
        <w:rPr>
          <w:sz w:val="22"/>
          <w:szCs w:val="22"/>
        </w:rPr>
      </w:pPr>
      <w:r w:rsidRPr="00E37E8B">
        <w:rPr>
          <w:sz w:val="22"/>
          <w:szCs w:val="22"/>
        </w:rPr>
        <w:t xml:space="preserve">Cremer, D. J. (1995). Protestant Theology in Early Weimar Germany: Barth, Tillich, and Bultmann. </w:t>
      </w:r>
      <w:r w:rsidRPr="00E37E8B">
        <w:rPr>
          <w:i/>
          <w:sz w:val="22"/>
          <w:szCs w:val="22"/>
        </w:rPr>
        <w:t>Journal of the History of Ideas</w:t>
      </w:r>
      <w:r w:rsidRPr="00E37E8B">
        <w:rPr>
          <w:sz w:val="22"/>
          <w:szCs w:val="22"/>
        </w:rPr>
        <w:t xml:space="preserve">, </w:t>
      </w:r>
      <w:r w:rsidRPr="00E37E8B">
        <w:rPr>
          <w:i/>
          <w:sz w:val="22"/>
          <w:szCs w:val="22"/>
        </w:rPr>
        <w:t>56</w:t>
      </w:r>
      <w:r w:rsidRPr="00E37E8B">
        <w:rPr>
          <w:sz w:val="22"/>
          <w:szCs w:val="22"/>
        </w:rPr>
        <w:t>(2), 289-307.</w:t>
      </w:r>
    </w:p>
    <w:p w:rsidR="00066B22" w:rsidRPr="00E37E8B" w:rsidRDefault="00066B22" w:rsidP="00066B22">
      <w:pPr>
        <w:widowControl w:val="0"/>
        <w:suppressAutoHyphens w:val="0"/>
        <w:ind w:left="540" w:hanging="540"/>
        <w:jc w:val="left"/>
        <w:rPr>
          <w:sz w:val="22"/>
          <w:szCs w:val="22"/>
        </w:rPr>
      </w:pPr>
      <w:r w:rsidRPr="00E37E8B">
        <w:rPr>
          <w:sz w:val="22"/>
          <w:szCs w:val="22"/>
        </w:rPr>
        <w:t xml:space="preserve">Despotis, A. (2014). </w:t>
      </w:r>
      <w:r w:rsidRPr="00E37E8B">
        <w:rPr>
          <w:i/>
          <w:sz w:val="22"/>
          <w:szCs w:val="22"/>
        </w:rPr>
        <w:t>Die “New Perspective on Paul” und die griechisch-orthodoxe Paulusinterpretation</w:t>
      </w:r>
      <w:r w:rsidRPr="00E37E8B">
        <w:rPr>
          <w:sz w:val="22"/>
          <w:szCs w:val="22"/>
        </w:rPr>
        <w:t>. St. Ottilien: EOS Verlag.</w:t>
      </w:r>
    </w:p>
    <w:p w:rsidR="00066B22" w:rsidRPr="00E37E8B" w:rsidRDefault="00066B22" w:rsidP="00066B22">
      <w:pPr>
        <w:widowControl w:val="0"/>
        <w:suppressAutoHyphens w:val="0"/>
        <w:ind w:left="540" w:hanging="540"/>
        <w:jc w:val="left"/>
        <w:rPr>
          <w:sz w:val="22"/>
          <w:szCs w:val="22"/>
          <w:lang w:val="el-GR"/>
        </w:rPr>
      </w:pPr>
      <w:r w:rsidRPr="00E37E8B">
        <w:rPr>
          <w:sz w:val="22"/>
          <w:szCs w:val="22"/>
        </w:rPr>
        <w:t xml:space="preserve">Despotis, A. (Ed.). (2017). </w:t>
      </w:r>
      <w:r w:rsidRPr="00E37E8B">
        <w:rPr>
          <w:i/>
          <w:sz w:val="22"/>
          <w:szCs w:val="22"/>
        </w:rPr>
        <w:t>Participation, Justification, and Conversion: Eastern Orthodox Interpretation of Paul and the Debate between “Old and New Perspectives on Paul”</w:t>
      </w:r>
      <w:r w:rsidRPr="00E37E8B">
        <w:rPr>
          <w:sz w:val="22"/>
          <w:szCs w:val="22"/>
        </w:rPr>
        <w:t>. T</w:t>
      </w:r>
      <w:r w:rsidRPr="00E37E8B">
        <w:rPr>
          <w:sz w:val="22"/>
          <w:szCs w:val="22"/>
          <w:lang w:val="el-GR"/>
        </w:rPr>
        <w:t>ü</w:t>
      </w:r>
      <w:r w:rsidRPr="00E37E8B">
        <w:rPr>
          <w:sz w:val="22"/>
          <w:szCs w:val="22"/>
        </w:rPr>
        <w:t>bingen</w:t>
      </w:r>
      <w:r w:rsidRPr="00E37E8B">
        <w:rPr>
          <w:sz w:val="22"/>
          <w:szCs w:val="22"/>
          <w:lang w:val="el-GR"/>
        </w:rPr>
        <w:t xml:space="preserve">: </w:t>
      </w:r>
      <w:r w:rsidRPr="00E37E8B">
        <w:rPr>
          <w:sz w:val="22"/>
          <w:szCs w:val="22"/>
        </w:rPr>
        <w:t>Mohr</w:t>
      </w:r>
      <w:r w:rsidRPr="00E37E8B">
        <w:rPr>
          <w:sz w:val="22"/>
          <w:szCs w:val="22"/>
          <w:lang w:val="el-GR"/>
        </w:rPr>
        <w:t xml:space="preserve"> </w:t>
      </w:r>
      <w:r w:rsidRPr="00E37E8B">
        <w:rPr>
          <w:sz w:val="22"/>
          <w:szCs w:val="22"/>
        </w:rPr>
        <w:t>Siebeck</w:t>
      </w:r>
      <w:r w:rsidRPr="00E37E8B">
        <w:rPr>
          <w:sz w:val="22"/>
          <w:szCs w:val="22"/>
          <w:lang w:val="el-GR"/>
        </w:rPr>
        <w:t>.</w:t>
      </w:r>
    </w:p>
    <w:p w:rsidR="00066B22" w:rsidRPr="00E37E8B" w:rsidRDefault="00066B22" w:rsidP="00066B22">
      <w:pPr>
        <w:widowControl w:val="0"/>
        <w:suppressAutoHyphens w:val="0"/>
        <w:ind w:left="540" w:hanging="540"/>
        <w:jc w:val="left"/>
        <w:rPr>
          <w:sz w:val="22"/>
          <w:szCs w:val="22"/>
        </w:rPr>
      </w:pPr>
      <w:r w:rsidRPr="00E37E8B">
        <w:rPr>
          <w:sz w:val="22"/>
          <w:szCs w:val="22"/>
        </w:rPr>
        <w:t>Despotis</w:t>
      </w:r>
      <w:r w:rsidRPr="00E37E8B">
        <w:rPr>
          <w:sz w:val="22"/>
          <w:szCs w:val="22"/>
          <w:lang w:val="el-GR"/>
        </w:rPr>
        <w:t xml:space="preserve">, </w:t>
      </w:r>
      <w:r w:rsidRPr="00E37E8B">
        <w:rPr>
          <w:sz w:val="22"/>
          <w:szCs w:val="22"/>
        </w:rPr>
        <w:t>S</w:t>
      </w:r>
      <w:r w:rsidRPr="00E37E8B">
        <w:rPr>
          <w:sz w:val="22"/>
          <w:szCs w:val="22"/>
          <w:lang w:val="el-GR"/>
        </w:rPr>
        <w:t xml:space="preserve">. (2009). </w:t>
      </w:r>
      <w:r w:rsidRPr="00E37E8B">
        <w:rPr>
          <w:i/>
          <w:sz w:val="22"/>
          <w:szCs w:val="22"/>
          <w:lang w:val="el-GR"/>
        </w:rPr>
        <w:t>Ο Κώδικας των Ευαγγελίων. Εισαγωγή στα Συνοπτικά Ευαγγέλια και Πρακτική Μέθοδος Ερμηνείας τους</w:t>
      </w:r>
      <w:r w:rsidRPr="00E37E8B">
        <w:rPr>
          <w:sz w:val="22"/>
          <w:szCs w:val="22"/>
          <w:lang w:val="el-GR"/>
        </w:rPr>
        <w:t xml:space="preserve">. </w:t>
      </w:r>
      <w:r w:rsidRPr="00E37E8B">
        <w:rPr>
          <w:sz w:val="22"/>
          <w:szCs w:val="22"/>
        </w:rPr>
        <w:t>Αθήνα: Άθως.</w:t>
      </w:r>
    </w:p>
    <w:p w:rsidR="00066B22" w:rsidRPr="00E37E8B" w:rsidRDefault="00066B22" w:rsidP="00066B22">
      <w:pPr>
        <w:widowControl w:val="0"/>
        <w:suppressAutoHyphens w:val="0"/>
        <w:ind w:left="540" w:hanging="540"/>
        <w:jc w:val="left"/>
        <w:rPr>
          <w:sz w:val="22"/>
          <w:szCs w:val="22"/>
        </w:rPr>
      </w:pPr>
      <w:r w:rsidRPr="00E37E8B">
        <w:rPr>
          <w:sz w:val="22"/>
          <w:szCs w:val="22"/>
        </w:rPr>
        <w:t xml:space="preserve">Feder, Y. (2013). Contagion and Cognition: Bodily Experience and the Conceptualization of Pollution (ṭumʾah) in the Hebrew Bible. </w:t>
      </w:r>
      <w:r w:rsidRPr="00E37E8B">
        <w:rPr>
          <w:i/>
          <w:sz w:val="22"/>
          <w:szCs w:val="22"/>
        </w:rPr>
        <w:t>Journal of Near Eastern Studies</w:t>
      </w:r>
      <w:r w:rsidRPr="00E37E8B">
        <w:rPr>
          <w:sz w:val="22"/>
          <w:szCs w:val="22"/>
        </w:rPr>
        <w:t xml:space="preserve">, </w:t>
      </w:r>
      <w:r w:rsidRPr="00E37E8B">
        <w:rPr>
          <w:i/>
          <w:sz w:val="22"/>
          <w:szCs w:val="22"/>
        </w:rPr>
        <w:t>72</w:t>
      </w:r>
      <w:r w:rsidRPr="00E37E8B">
        <w:rPr>
          <w:sz w:val="22"/>
          <w:szCs w:val="22"/>
        </w:rPr>
        <w:t>(2), 151-167.</w:t>
      </w:r>
    </w:p>
    <w:p w:rsidR="00066B22" w:rsidRPr="00E37E8B" w:rsidRDefault="00066B22" w:rsidP="00066B22">
      <w:pPr>
        <w:widowControl w:val="0"/>
        <w:suppressAutoHyphens w:val="0"/>
        <w:ind w:left="540" w:hanging="540"/>
        <w:jc w:val="left"/>
        <w:rPr>
          <w:sz w:val="22"/>
          <w:szCs w:val="22"/>
        </w:rPr>
      </w:pPr>
      <w:r w:rsidRPr="00E37E8B">
        <w:rPr>
          <w:sz w:val="22"/>
          <w:szCs w:val="22"/>
        </w:rPr>
        <w:t xml:space="preserve">Gathercole, S. (1999). A history of New Testament lexicography. By John A. L. Lee. </w:t>
      </w:r>
      <w:r w:rsidRPr="00E37E8B">
        <w:rPr>
          <w:i/>
          <w:sz w:val="22"/>
          <w:szCs w:val="22"/>
        </w:rPr>
        <w:t>Journal of Ecclesiastical History</w:t>
      </w:r>
      <w:r w:rsidRPr="00E37E8B">
        <w:rPr>
          <w:sz w:val="22"/>
          <w:szCs w:val="22"/>
        </w:rPr>
        <w:t xml:space="preserve">, </w:t>
      </w:r>
      <w:r w:rsidRPr="00E37E8B">
        <w:rPr>
          <w:i/>
          <w:sz w:val="22"/>
          <w:szCs w:val="22"/>
        </w:rPr>
        <w:t>56</w:t>
      </w:r>
      <w:r w:rsidRPr="00E37E8B">
        <w:rPr>
          <w:sz w:val="22"/>
          <w:szCs w:val="22"/>
        </w:rPr>
        <w:t>(1), 116-117.</w:t>
      </w:r>
    </w:p>
    <w:p w:rsidR="00066B22" w:rsidRPr="00E37E8B" w:rsidRDefault="00066B22" w:rsidP="00066B22">
      <w:pPr>
        <w:widowControl w:val="0"/>
        <w:suppressAutoHyphens w:val="0"/>
        <w:ind w:left="540" w:hanging="540"/>
        <w:jc w:val="left"/>
        <w:rPr>
          <w:sz w:val="22"/>
          <w:szCs w:val="22"/>
        </w:rPr>
      </w:pPr>
      <w:r w:rsidRPr="00E37E8B">
        <w:rPr>
          <w:sz w:val="22"/>
          <w:szCs w:val="22"/>
        </w:rPr>
        <w:t xml:space="preserve">Greenman, J. P., &amp; Larsen, T. (Eds.). (2005). </w:t>
      </w:r>
      <w:r w:rsidRPr="00E37E8B">
        <w:rPr>
          <w:i/>
          <w:sz w:val="22"/>
          <w:szCs w:val="22"/>
        </w:rPr>
        <w:t>Reading Romans through the centuries: from the early church to Karl Barth</w:t>
      </w:r>
      <w:r w:rsidRPr="00E37E8B">
        <w:rPr>
          <w:sz w:val="22"/>
          <w:szCs w:val="22"/>
        </w:rPr>
        <w:t>. Grand Rapids, Michigan: Brazos Press.</w:t>
      </w:r>
    </w:p>
    <w:p w:rsidR="00066B22" w:rsidRPr="00E37E8B" w:rsidRDefault="00066B22" w:rsidP="00066B22">
      <w:pPr>
        <w:widowControl w:val="0"/>
        <w:suppressAutoHyphens w:val="0"/>
        <w:ind w:left="540" w:hanging="540"/>
        <w:jc w:val="left"/>
        <w:rPr>
          <w:sz w:val="22"/>
          <w:szCs w:val="22"/>
        </w:rPr>
      </w:pPr>
      <w:r w:rsidRPr="00E37E8B">
        <w:rPr>
          <w:sz w:val="22"/>
          <w:szCs w:val="22"/>
        </w:rPr>
        <w:t xml:space="preserve">Hasselbrook, D. S. (2011). </w:t>
      </w:r>
      <w:r w:rsidRPr="00E37E8B">
        <w:rPr>
          <w:i/>
          <w:sz w:val="22"/>
          <w:szCs w:val="22"/>
        </w:rPr>
        <w:t>Studies in New Testament lexicography: advancing toward a full diachronic approach with the Greek language</w:t>
      </w:r>
      <w:r w:rsidRPr="00E37E8B">
        <w:rPr>
          <w:sz w:val="22"/>
          <w:szCs w:val="22"/>
        </w:rPr>
        <w:t>. Tübingen: Mohr Siebeck.</w:t>
      </w:r>
    </w:p>
    <w:p w:rsidR="00066B22" w:rsidRPr="00E37E8B" w:rsidRDefault="00066B22" w:rsidP="00066B22">
      <w:pPr>
        <w:widowControl w:val="0"/>
        <w:suppressAutoHyphens w:val="0"/>
        <w:ind w:left="540" w:hanging="540"/>
        <w:jc w:val="left"/>
        <w:rPr>
          <w:sz w:val="22"/>
          <w:szCs w:val="22"/>
        </w:rPr>
      </w:pPr>
      <w:r w:rsidRPr="00E37E8B">
        <w:rPr>
          <w:sz w:val="22"/>
          <w:szCs w:val="22"/>
        </w:rPr>
        <w:t xml:space="preserve">Hunsinger, G. (1976). </w:t>
      </w:r>
      <w:r w:rsidRPr="00E37E8B">
        <w:rPr>
          <w:i/>
          <w:sz w:val="22"/>
          <w:szCs w:val="22"/>
        </w:rPr>
        <w:t>Karl Barth and radical politics</w:t>
      </w:r>
      <w:r w:rsidRPr="00E37E8B">
        <w:rPr>
          <w:sz w:val="22"/>
          <w:szCs w:val="22"/>
        </w:rPr>
        <w:t>. Philadelphia: Westminster Press.</w:t>
      </w:r>
    </w:p>
    <w:p w:rsidR="00066B22" w:rsidRPr="00E37E8B" w:rsidRDefault="00066B22" w:rsidP="00066B22">
      <w:pPr>
        <w:widowControl w:val="0"/>
        <w:suppressAutoHyphens w:val="0"/>
        <w:ind w:left="540" w:hanging="540"/>
        <w:jc w:val="left"/>
        <w:rPr>
          <w:sz w:val="22"/>
          <w:szCs w:val="22"/>
        </w:rPr>
      </w:pPr>
      <w:r w:rsidRPr="00E37E8B">
        <w:rPr>
          <w:sz w:val="22"/>
          <w:szCs w:val="22"/>
        </w:rPr>
        <w:t xml:space="preserve">Hunsinger, G. (2000). </w:t>
      </w:r>
      <w:r w:rsidRPr="00E37E8B">
        <w:rPr>
          <w:i/>
          <w:sz w:val="22"/>
          <w:szCs w:val="22"/>
        </w:rPr>
        <w:t>Disruptive grace: studies in the theology of Karl Barth</w:t>
      </w:r>
      <w:r w:rsidRPr="00E37E8B">
        <w:rPr>
          <w:sz w:val="22"/>
          <w:szCs w:val="22"/>
        </w:rPr>
        <w:t>. Grand Rapids, Michigan: W.B. Eerdmans.</w:t>
      </w:r>
    </w:p>
    <w:p w:rsidR="00066B22" w:rsidRPr="00E37E8B" w:rsidRDefault="00066B22" w:rsidP="00066B22">
      <w:pPr>
        <w:widowControl w:val="0"/>
        <w:suppressAutoHyphens w:val="0"/>
        <w:ind w:left="540" w:hanging="540"/>
        <w:jc w:val="left"/>
        <w:rPr>
          <w:sz w:val="22"/>
          <w:szCs w:val="22"/>
        </w:rPr>
      </w:pPr>
      <w:r w:rsidRPr="00E37E8B">
        <w:rPr>
          <w:sz w:val="22"/>
          <w:szCs w:val="22"/>
        </w:rPr>
        <w:t xml:space="preserve">Hutchings, T. (2017). Design and the digital Bible: persuasive technology and religious reading. </w:t>
      </w:r>
      <w:r w:rsidRPr="00E37E8B">
        <w:rPr>
          <w:i/>
          <w:sz w:val="22"/>
          <w:szCs w:val="22"/>
        </w:rPr>
        <w:t>Journal of Contemporary Religion</w:t>
      </w:r>
      <w:r w:rsidRPr="00E37E8B">
        <w:rPr>
          <w:sz w:val="22"/>
          <w:szCs w:val="22"/>
        </w:rPr>
        <w:t xml:space="preserve">, </w:t>
      </w:r>
      <w:r w:rsidRPr="00E37E8B">
        <w:rPr>
          <w:i/>
          <w:sz w:val="22"/>
          <w:szCs w:val="22"/>
        </w:rPr>
        <w:t>32</w:t>
      </w:r>
      <w:r w:rsidRPr="00E37E8B">
        <w:rPr>
          <w:sz w:val="22"/>
          <w:szCs w:val="22"/>
        </w:rPr>
        <w:t>(2), 205-219.</w:t>
      </w:r>
    </w:p>
    <w:p w:rsidR="00066B22" w:rsidRPr="00E37E8B" w:rsidRDefault="00066B22" w:rsidP="00066B22">
      <w:pPr>
        <w:widowControl w:val="0"/>
        <w:suppressAutoHyphens w:val="0"/>
        <w:ind w:left="540" w:hanging="540"/>
        <w:jc w:val="left"/>
        <w:rPr>
          <w:sz w:val="22"/>
          <w:szCs w:val="22"/>
        </w:rPr>
      </w:pPr>
      <w:r w:rsidRPr="00E37E8B">
        <w:rPr>
          <w:sz w:val="22"/>
          <w:szCs w:val="22"/>
        </w:rPr>
        <w:t xml:space="preserve">Johnson, M., &amp; Lakoff, G. (2002). Why cognitive linguistics requires embodied realism. </w:t>
      </w:r>
      <w:r w:rsidRPr="00E37E8B">
        <w:rPr>
          <w:i/>
          <w:sz w:val="22"/>
          <w:szCs w:val="22"/>
        </w:rPr>
        <w:t>Cognitive Linguistics</w:t>
      </w:r>
      <w:r w:rsidRPr="00E37E8B">
        <w:rPr>
          <w:sz w:val="22"/>
          <w:szCs w:val="22"/>
        </w:rPr>
        <w:t xml:space="preserve">, </w:t>
      </w:r>
      <w:r w:rsidRPr="00E37E8B">
        <w:rPr>
          <w:i/>
          <w:sz w:val="22"/>
          <w:szCs w:val="22"/>
        </w:rPr>
        <w:t>13</w:t>
      </w:r>
      <w:r w:rsidRPr="00E37E8B">
        <w:rPr>
          <w:sz w:val="22"/>
          <w:szCs w:val="22"/>
        </w:rPr>
        <w:t>(3), 245-263.</w:t>
      </w:r>
    </w:p>
    <w:p w:rsidR="00066B22" w:rsidRPr="00E37E8B" w:rsidRDefault="00066B22" w:rsidP="00066B22">
      <w:pPr>
        <w:widowControl w:val="0"/>
        <w:suppressAutoHyphens w:val="0"/>
        <w:ind w:left="540" w:hanging="540"/>
        <w:jc w:val="left"/>
        <w:rPr>
          <w:sz w:val="22"/>
          <w:szCs w:val="22"/>
          <w:lang w:val="el-GR"/>
        </w:rPr>
      </w:pPr>
      <w:r w:rsidRPr="00E37E8B">
        <w:rPr>
          <w:sz w:val="22"/>
          <w:szCs w:val="22"/>
        </w:rPr>
        <w:t xml:space="preserve">Karakolis, C. (2004). </w:t>
      </w:r>
      <w:r w:rsidRPr="00E37E8B">
        <w:rPr>
          <w:i/>
          <w:sz w:val="22"/>
          <w:szCs w:val="22"/>
        </w:rPr>
        <w:t>Αμαρτία - Bάπτισμα - Xάρις (Pωμ. 6,1-14). Συμβολή στην παύλεια Σωτηριολογία</w:t>
      </w:r>
      <w:r w:rsidRPr="00E37E8B">
        <w:rPr>
          <w:sz w:val="22"/>
          <w:szCs w:val="22"/>
        </w:rPr>
        <w:t xml:space="preserve">. </w:t>
      </w:r>
      <w:r w:rsidRPr="00E37E8B">
        <w:rPr>
          <w:sz w:val="22"/>
          <w:szCs w:val="22"/>
          <w:lang w:val="el-GR"/>
        </w:rPr>
        <w:t>Θεσσαλονίκη: Πουρναράς.</w:t>
      </w:r>
    </w:p>
    <w:p w:rsidR="00066B22" w:rsidRPr="00E37E8B" w:rsidRDefault="00066B22" w:rsidP="00066B22">
      <w:pPr>
        <w:widowControl w:val="0"/>
        <w:suppressAutoHyphens w:val="0"/>
        <w:ind w:left="540" w:hanging="540"/>
        <w:jc w:val="left"/>
        <w:rPr>
          <w:sz w:val="22"/>
          <w:szCs w:val="22"/>
          <w:lang w:val="el-GR"/>
        </w:rPr>
      </w:pPr>
      <w:r w:rsidRPr="00E37E8B">
        <w:rPr>
          <w:sz w:val="22"/>
          <w:szCs w:val="22"/>
        </w:rPr>
        <w:t>Khalil</w:t>
      </w:r>
      <w:r w:rsidRPr="00E37E8B">
        <w:rPr>
          <w:sz w:val="22"/>
          <w:szCs w:val="22"/>
          <w:lang w:val="el-GR"/>
        </w:rPr>
        <w:t xml:space="preserve">, </w:t>
      </w:r>
      <w:r w:rsidRPr="00E37E8B">
        <w:rPr>
          <w:sz w:val="22"/>
          <w:szCs w:val="22"/>
        </w:rPr>
        <w:t>J</w:t>
      </w:r>
      <w:r w:rsidRPr="00E37E8B">
        <w:rPr>
          <w:sz w:val="22"/>
          <w:szCs w:val="22"/>
          <w:lang w:val="el-GR"/>
        </w:rPr>
        <w:t xml:space="preserve">. (2004). </w:t>
      </w:r>
      <w:r w:rsidRPr="00E37E8B">
        <w:rPr>
          <w:i/>
          <w:sz w:val="22"/>
          <w:szCs w:val="22"/>
          <w:lang w:val="el-GR"/>
        </w:rPr>
        <w:t>Δικαίωση – Καταλλαγή – Τελική Κρίση στην προς Ρωμαίους Επιστολή. Συμβολή στην Παύλεια Σωτηριολογία</w:t>
      </w:r>
      <w:r w:rsidRPr="00E37E8B">
        <w:rPr>
          <w:sz w:val="22"/>
          <w:szCs w:val="22"/>
          <w:lang w:val="el-GR"/>
        </w:rPr>
        <w:t>. Θεσσαλονίκη: Πουρναράς.</w:t>
      </w:r>
    </w:p>
    <w:p w:rsidR="00066B22" w:rsidRPr="00E37E8B" w:rsidRDefault="00066B22" w:rsidP="00066B22">
      <w:pPr>
        <w:widowControl w:val="0"/>
        <w:suppressAutoHyphens w:val="0"/>
        <w:ind w:left="540" w:hanging="540"/>
        <w:jc w:val="left"/>
        <w:rPr>
          <w:sz w:val="22"/>
          <w:szCs w:val="22"/>
          <w:lang w:val="el-GR"/>
        </w:rPr>
      </w:pPr>
      <w:r w:rsidRPr="00E37E8B">
        <w:rPr>
          <w:sz w:val="22"/>
          <w:szCs w:val="22"/>
        </w:rPr>
        <w:t>Lakoff</w:t>
      </w:r>
      <w:r w:rsidRPr="00E37E8B">
        <w:rPr>
          <w:sz w:val="22"/>
          <w:szCs w:val="22"/>
          <w:lang w:val="el-GR"/>
        </w:rPr>
        <w:t xml:space="preserve">, </w:t>
      </w:r>
      <w:r w:rsidRPr="00E37E8B">
        <w:rPr>
          <w:sz w:val="22"/>
          <w:szCs w:val="22"/>
        </w:rPr>
        <w:t>G</w:t>
      </w:r>
      <w:r w:rsidRPr="00E37E8B">
        <w:rPr>
          <w:sz w:val="22"/>
          <w:szCs w:val="22"/>
          <w:lang w:val="el-GR"/>
        </w:rPr>
        <w:t xml:space="preserve">., &amp; </w:t>
      </w:r>
      <w:r w:rsidRPr="00E37E8B">
        <w:rPr>
          <w:sz w:val="22"/>
          <w:szCs w:val="22"/>
        </w:rPr>
        <w:t>Johnson</w:t>
      </w:r>
      <w:r w:rsidRPr="00E37E8B">
        <w:rPr>
          <w:sz w:val="22"/>
          <w:szCs w:val="22"/>
          <w:lang w:val="el-GR"/>
        </w:rPr>
        <w:t xml:space="preserve">, </w:t>
      </w:r>
      <w:r w:rsidRPr="00E37E8B">
        <w:rPr>
          <w:sz w:val="22"/>
          <w:szCs w:val="22"/>
        </w:rPr>
        <w:t>M</w:t>
      </w:r>
      <w:r w:rsidRPr="00E37E8B">
        <w:rPr>
          <w:sz w:val="22"/>
          <w:szCs w:val="22"/>
          <w:lang w:val="el-GR"/>
        </w:rPr>
        <w:t xml:space="preserve">. (1999). </w:t>
      </w:r>
      <w:r w:rsidRPr="00E37E8B">
        <w:rPr>
          <w:i/>
          <w:sz w:val="22"/>
          <w:szCs w:val="22"/>
        </w:rPr>
        <w:t>Philosophy in the flesh: the embodied mind and its challenge to Western thought</w:t>
      </w:r>
      <w:r w:rsidRPr="00E37E8B">
        <w:rPr>
          <w:sz w:val="22"/>
          <w:szCs w:val="22"/>
        </w:rPr>
        <w:t>. New</w:t>
      </w:r>
      <w:r w:rsidRPr="00E37E8B">
        <w:rPr>
          <w:sz w:val="22"/>
          <w:szCs w:val="22"/>
          <w:lang w:val="el-GR"/>
        </w:rPr>
        <w:t xml:space="preserve"> </w:t>
      </w:r>
      <w:r w:rsidRPr="00E37E8B">
        <w:rPr>
          <w:sz w:val="22"/>
          <w:szCs w:val="22"/>
        </w:rPr>
        <w:t>York</w:t>
      </w:r>
      <w:r w:rsidRPr="00E37E8B">
        <w:rPr>
          <w:sz w:val="22"/>
          <w:szCs w:val="22"/>
          <w:lang w:val="el-GR"/>
        </w:rPr>
        <w:t xml:space="preserve">: </w:t>
      </w:r>
      <w:r w:rsidRPr="00E37E8B">
        <w:rPr>
          <w:sz w:val="22"/>
          <w:szCs w:val="22"/>
        </w:rPr>
        <w:t>Basic</w:t>
      </w:r>
      <w:r w:rsidRPr="00E37E8B">
        <w:rPr>
          <w:sz w:val="22"/>
          <w:szCs w:val="22"/>
          <w:lang w:val="el-GR"/>
        </w:rPr>
        <w:t xml:space="preserve"> </w:t>
      </w:r>
      <w:r w:rsidRPr="00E37E8B">
        <w:rPr>
          <w:sz w:val="22"/>
          <w:szCs w:val="22"/>
        </w:rPr>
        <w:t>Books</w:t>
      </w:r>
      <w:r w:rsidRPr="00E37E8B">
        <w:rPr>
          <w:sz w:val="22"/>
          <w:szCs w:val="22"/>
          <w:lang w:val="el-GR"/>
        </w:rPr>
        <w:t>.</w:t>
      </w:r>
    </w:p>
    <w:p w:rsidR="00066B22" w:rsidRPr="00E37E8B" w:rsidRDefault="00066B22" w:rsidP="00066B22">
      <w:pPr>
        <w:widowControl w:val="0"/>
        <w:suppressAutoHyphens w:val="0"/>
        <w:ind w:left="540" w:hanging="540"/>
        <w:jc w:val="left"/>
        <w:rPr>
          <w:sz w:val="22"/>
          <w:szCs w:val="22"/>
        </w:rPr>
      </w:pPr>
      <w:r w:rsidRPr="00E37E8B">
        <w:rPr>
          <w:sz w:val="22"/>
          <w:szCs w:val="22"/>
        </w:rPr>
        <w:t>Lampousi</w:t>
      </w:r>
      <w:r w:rsidRPr="00E37E8B">
        <w:rPr>
          <w:sz w:val="22"/>
          <w:szCs w:val="22"/>
          <w:lang w:val="el-GR"/>
        </w:rPr>
        <w:t xml:space="preserve">, </w:t>
      </w:r>
      <w:r w:rsidRPr="00E37E8B">
        <w:rPr>
          <w:sz w:val="22"/>
          <w:szCs w:val="22"/>
        </w:rPr>
        <w:t>O</w:t>
      </w:r>
      <w:r w:rsidRPr="00E37E8B">
        <w:rPr>
          <w:sz w:val="22"/>
          <w:szCs w:val="22"/>
          <w:lang w:val="el-GR"/>
        </w:rPr>
        <w:t xml:space="preserve">. </w:t>
      </w:r>
      <w:r w:rsidRPr="00E37E8B">
        <w:rPr>
          <w:sz w:val="22"/>
          <w:szCs w:val="22"/>
        </w:rPr>
        <w:t>M</w:t>
      </w:r>
      <w:r w:rsidRPr="00E37E8B">
        <w:rPr>
          <w:sz w:val="22"/>
          <w:szCs w:val="22"/>
          <w:lang w:val="el-GR"/>
        </w:rPr>
        <w:t xml:space="preserve">. </w:t>
      </w:r>
      <w:r w:rsidRPr="00E37E8B">
        <w:rPr>
          <w:sz w:val="22"/>
          <w:szCs w:val="22"/>
        </w:rPr>
        <w:t>T</w:t>
      </w:r>
      <w:r w:rsidRPr="00E37E8B">
        <w:rPr>
          <w:sz w:val="22"/>
          <w:szCs w:val="22"/>
          <w:lang w:val="el-GR"/>
        </w:rPr>
        <w:t xml:space="preserve">. (2003). </w:t>
      </w:r>
      <w:r w:rsidRPr="00E37E8B">
        <w:rPr>
          <w:i/>
          <w:sz w:val="22"/>
          <w:szCs w:val="22"/>
          <w:lang w:val="el-GR"/>
        </w:rPr>
        <w:t>Η έννοια του πνεύματος στο Η΄ κεφάλαιο της προς Ρωμαίους Επιστολής (Ιστορική και ερμηνευτική προσέγγιση</w:t>
      </w:r>
      <w:r w:rsidRPr="00E37E8B">
        <w:rPr>
          <w:sz w:val="22"/>
          <w:szCs w:val="22"/>
          <w:lang w:val="el-GR"/>
        </w:rPr>
        <w:t xml:space="preserve">. </w:t>
      </w:r>
      <w:r w:rsidRPr="00E37E8B">
        <w:rPr>
          <w:sz w:val="22"/>
          <w:szCs w:val="22"/>
        </w:rPr>
        <w:t>Αθήνα.</w:t>
      </w:r>
    </w:p>
    <w:p w:rsidR="00066B22" w:rsidRPr="00E37E8B" w:rsidRDefault="00066B22" w:rsidP="00066B22">
      <w:pPr>
        <w:widowControl w:val="0"/>
        <w:suppressAutoHyphens w:val="0"/>
        <w:ind w:left="540" w:hanging="540"/>
        <w:jc w:val="left"/>
        <w:rPr>
          <w:sz w:val="22"/>
          <w:szCs w:val="22"/>
        </w:rPr>
      </w:pPr>
      <w:r w:rsidRPr="00E37E8B">
        <w:rPr>
          <w:sz w:val="22"/>
          <w:szCs w:val="22"/>
        </w:rPr>
        <w:t xml:space="preserve">Lee, J. A. (2003). </w:t>
      </w:r>
      <w:r w:rsidRPr="00E37E8B">
        <w:rPr>
          <w:i/>
          <w:sz w:val="22"/>
          <w:szCs w:val="22"/>
        </w:rPr>
        <w:t>A history of New Testament lexicography</w:t>
      </w:r>
      <w:r w:rsidRPr="00E37E8B">
        <w:rPr>
          <w:sz w:val="22"/>
          <w:szCs w:val="22"/>
        </w:rPr>
        <w:t>. New York, Oxford: Peter Lang.</w:t>
      </w:r>
    </w:p>
    <w:p w:rsidR="00066B22" w:rsidRPr="00E37E8B" w:rsidRDefault="00066B22" w:rsidP="00066B22">
      <w:pPr>
        <w:widowControl w:val="0"/>
        <w:suppressAutoHyphens w:val="0"/>
        <w:ind w:left="540" w:hanging="540"/>
        <w:jc w:val="left"/>
        <w:rPr>
          <w:sz w:val="22"/>
          <w:szCs w:val="22"/>
        </w:rPr>
      </w:pPr>
      <w:r w:rsidRPr="00E37E8B">
        <w:rPr>
          <w:sz w:val="22"/>
          <w:szCs w:val="22"/>
        </w:rPr>
        <w:t xml:space="preserve">Louw, J. P., &amp; Nida, E. A. (1989). </w:t>
      </w:r>
      <w:r w:rsidRPr="00E37E8B">
        <w:rPr>
          <w:i/>
          <w:sz w:val="22"/>
          <w:szCs w:val="22"/>
        </w:rPr>
        <w:t>Greek-English lexicon of the New Testament: based on semantic domains</w:t>
      </w:r>
      <w:r w:rsidRPr="00E37E8B">
        <w:rPr>
          <w:sz w:val="22"/>
          <w:szCs w:val="22"/>
        </w:rPr>
        <w:t xml:space="preserve"> (2nd ed.). New York: United Bible Societies.</w:t>
      </w:r>
    </w:p>
    <w:p w:rsidR="00066B22" w:rsidRPr="00E37E8B" w:rsidRDefault="00066B22" w:rsidP="00066B22">
      <w:pPr>
        <w:widowControl w:val="0"/>
        <w:suppressAutoHyphens w:val="0"/>
        <w:ind w:left="540" w:hanging="540"/>
        <w:jc w:val="left"/>
        <w:rPr>
          <w:sz w:val="22"/>
          <w:szCs w:val="22"/>
          <w:lang w:val="el-GR"/>
        </w:rPr>
      </w:pPr>
      <w:r w:rsidRPr="00E37E8B">
        <w:rPr>
          <w:sz w:val="22"/>
          <w:szCs w:val="22"/>
        </w:rPr>
        <w:t xml:space="preserve">Moor, J. C. D. (1995). </w:t>
      </w:r>
      <w:r w:rsidRPr="00E37E8B">
        <w:rPr>
          <w:i/>
          <w:sz w:val="22"/>
          <w:szCs w:val="22"/>
        </w:rPr>
        <w:t>Synchronic or diachronic? - a debate on method in Old Testament exegesis</w:t>
      </w:r>
      <w:r w:rsidRPr="00E37E8B">
        <w:rPr>
          <w:sz w:val="22"/>
          <w:szCs w:val="22"/>
        </w:rPr>
        <w:t>. Leiden</w:t>
      </w:r>
      <w:r w:rsidRPr="00E37E8B">
        <w:rPr>
          <w:sz w:val="22"/>
          <w:szCs w:val="22"/>
          <w:lang w:val="el-GR"/>
        </w:rPr>
        <w:t xml:space="preserve">: </w:t>
      </w:r>
      <w:r w:rsidRPr="00E37E8B">
        <w:rPr>
          <w:sz w:val="22"/>
          <w:szCs w:val="22"/>
        </w:rPr>
        <w:t>Brill</w:t>
      </w:r>
      <w:r w:rsidRPr="00E37E8B">
        <w:rPr>
          <w:sz w:val="22"/>
          <w:szCs w:val="22"/>
          <w:lang w:val="el-GR"/>
        </w:rPr>
        <w:t>.</w:t>
      </w:r>
    </w:p>
    <w:p w:rsidR="00066B22" w:rsidRPr="00F878DF" w:rsidRDefault="00066B22" w:rsidP="00066B22">
      <w:pPr>
        <w:widowControl w:val="0"/>
        <w:suppressAutoHyphens w:val="0"/>
        <w:ind w:left="540" w:hanging="540"/>
        <w:jc w:val="left"/>
        <w:rPr>
          <w:sz w:val="22"/>
          <w:szCs w:val="22"/>
          <w:lang w:val="de-DE"/>
        </w:rPr>
      </w:pPr>
      <w:r w:rsidRPr="00E37E8B">
        <w:rPr>
          <w:sz w:val="22"/>
          <w:szCs w:val="22"/>
        </w:rPr>
        <w:t>Mpouras</w:t>
      </w:r>
      <w:r w:rsidRPr="00E37E8B">
        <w:rPr>
          <w:sz w:val="22"/>
          <w:szCs w:val="22"/>
          <w:lang w:val="el-GR"/>
        </w:rPr>
        <w:t xml:space="preserve">, </w:t>
      </w:r>
      <w:r w:rsidRPr="00E37E8B">
        <w:rPr>
          <w:sz w:val="22"/>
          <w:szCs w:val="22"/>
        </w:rPr>
        <w:t>D</w:t>
      </w:r>
      <w:r w:rsidRPr="00E37E8B">
        <w:rPr>
          <w:sz w:val="22"/>
          <w:szCs w:val="22"/>
          <w:lang w:val="el-GR"/>
        </w:rPr>
        <w:t xml:space="preserve">. (2005). </w:t>
      </w:r>
      <w:r w:rsidRPr="00E37E8B">
        <w:rPr>
          <w:i/>
          <w:sz w:val="22"/>
          <w:szCs w:val="22"/>
          <w:lang w:val="el-GR"/>
        </w:rPr>
        <w:t>Θέσεις και ακεραιότης του 16ου κεφαλαίου της πρός Ρωμαίους Επιστολής του Απόστολου Παύλου</w:t>
      </w:r>
      <w:r w:rsidRPr="00E37E8B">
        <w:rPr>
          <w:sz w:val="22"/>
          <w:szCs w:val="22"/>
          <w:lang w:val="el-GR"/>
        </w:rPr>
        <w:t xml:space="preserve">. </w:t>
      </w:r>
      <w:r w:rsidRPr="00E37E8B">
        <w:rPr>
          <w:sz w:val="22"/>
          <w:szCs w:val="22"/>
        </w:rPr>
        <w:t>Αθήνα</w:t>
      </w:r>
      <w:r w:rsidRPr="00F878DF">
        <w:rPr>
          <w:sz w:val="22"/>
          <w:szCs w:val="22"/>
          <w:lang w:val="de-DE"/>
        </w:rPr>
        <w:t>.</w:t>
      </w:r>
    </w:p>
    <w:p w:rsidR="00066B22" w:rsidRPr="00E37E8B" w:rsidRDefault="00066B22" w:rsidP="00066B22">
      <w:pPr>
        <w:widowControl w:val="0"/>
        <w:suppressAutoHyphens w:val="0"/>
        <w:ind w:left="540" w:hanging="540"/>
        <w:jc w:val="left"/>
        <w:rPr>
          <w:sz w:val="22"/>
          <w:szCs w:val="22"/>
        </w:rPr>
      </w:pPr>
      <w:r w:rsidRPr="00F878DF">
        <w:rPr>
          <w:sz w:val="22"/>
          <w:szCs w:val="22"/>
          <w:lang w:val="de-DE"/>
        </w:rPr>
        <w:t xml:space="preserve">Nestle, E., Aland, B., Nestle, E., Aland, K., Strutwolf, H., Karavidopoulos, I. D. et al. </w:t>
      </w:r>
      <w:r w:rsidRPr="00E37E8B">
        <w:rPr>
          <w:sz w:val="22"/>
          <w:szCs w:val="22"/>
        </w:rPr>
        <w:t xml:space="preserve">(2012). </w:t>
      </w:r>
      <w:r w:rsidRPr="00E37E8B">
        <w:rPr>
          <w:i/>
          <w:sz w:val="22"/>
          <w:szCs w:val="22"/>
        </w:rPr>
        <w:t>Novum Testamentum Graece</w:t>
      </w:r>
      <w:r w:rsidRPr="00E37E8B">
        <w:rPr>
          <w:sz w:val="22"/>
          <w:szCs w:val="22"/>
        </w:rPr>
        <w:t xml:space="preserve"> (28 ed.).</w:t>
      </w:r>
    </w:p>
    <w:p w:rsidR="00066B22" w:rsidRPr="00E37E8B" w:rsidRDefault="00066B22" w:rsidP="00066B22">
      <w:pPr>
        <w:widowControl w:val="0"/>
        <w:suppressAutoHyphens w:val="0"/>
        <w:ind w:left="540" w:hanging="540"/>
        <w:jc w:val="left"/>
        <w:rPr>
          <w:sz w:val="22"/>
          <w:szCs w:val="22"/>
        </w:rPr>
      </w:pPr>
      <w:r w:rsidRPr="00E37E8B">
        <w:rPr>
          <w:sz w:val="22"/>
          <w:szCs w:val="22"/>
        </w:rPr>
        <w:t xml:space="preserve">Schroeder, C. T. (2016). The Digital Humanities as Cultural Capital: Implications for Biblical and Religious Studies. </w:t>
      </w:r>
      <w:r w:rsidRPr="00E37E8B">
        <w:rPr>
          <w:i/>
          <w:sz w:val="22"/>
          <w:szCs w:val="22"/>
        </w:rPr>
        <w:t>Journal of Religion, Media and Digital Culture</w:t>
      </w:r>
      <w:r w:rsidRPr="00E37E8B">
        <w:rPr>
          <w:sz w:val="22"/>
          <w:szCs w:val="22"/>
        </w:rPr>
        <w:t xml:space="preserve">, </w:t>
      </w:r>
      <w:r w:rsidRPr="00E37E8B">
        <w:rPr>
          <w:i/>
          <w:sz w:val="22"/>
          <w:szCs w:val="22"/>
        </w:rPr>
        <w:t>5</w:t>
      </w:r>
      <w:r w:rsidRPr="00E37E8B">
        <w:rPr>
          <w:sz w:val="22"/>
          <w:szCs w:val="22"/>
        </w:rPr>
        <w:t>(1), 21-49.</w:t>
      </w:r>
    </w:p>
    <w:p w:rsidR="00066B22" w:rsidRPr="00E37E8B" w:rsidRDefault="00066B22" w:rsidP="00066B22">
      <w:pPr>
        <w:widowControl w:val="0"/>
        <w:suppressAutoHyphens w:val="0"/>
        <w:ind w:left="540" w:hanging="540"/>
        <w:jc w:val="left"/>
        <w:rPr>
          <w:sz w:val="22"/>
          <w:szCs w:val="22"/>
        </w:rPr>
      </w:pPr>
      <w:r w:rsidRPr="00E37E8B">
        <w:rPr>
          <w:sz w:val="22"/>
          <w:szCs w:val="22"/>
        </w:rPr>
        <w:lastRenderedPageBreak/>
        <w:t xml:space="preserve">van Hessen, A. (2017). The Hebrew Bible as Data: Laboratory - Sharing - Experiences. In J. Odijk (Ed.), </w:t>
      </w:r>
      <w:r w:rsidRPr="00E37E8B">
        <w:rPr>
          <w:i/>
          <w:sz w:val="22"/>
          <w:szCs w:val="22"/>
        </w:rPr>
        <w:t>CLARIN in the Low Countries</w:t>
      </w:r>
      <w:r w:rsidRPr="00E37E8B">
        <w:rPr>
          <w:sz w:val="22"/>
          <w:szCs w:val="22"/>
        </w:rPr>
        <w:t xml:space="preserve"> (pp. 217-229). London: Ubiquity Press.</w:t>
      </w:r>
    </w:p>
    <w:p w:rsidR="00066B22" w:rsidRPr="00E37E8B" w:rsidRDefault="00066B22" w:rsidP="00066B22">
      <w:pPr>
        <w:widowControl w:val="0"/>
        <w:suppressAutoHyphens w:val="0"/>
        <w:ind w:left="540" w:hanging="540"/>
        <w:jc w:val="left"/>
        <w:rPr>
          <w:sz w:val="22"/>
          <w:szCs w:val="22"/>
        </w:rPr>
      </w:pPr>
      <w:r w:rsidRPr="00E37E8B">
        <w:rPr>
          <w:sz w:val="22"/>
          <w:szCs w:val="22"/>
        </w:rPr>
        <w:t xml:space="preserve">Volodymyr, S., &amp; Larysa, S. (2015). On the issue of systemic conceptography of the Holy Bible. </w:t>
      </w:r>
      <w:r w:rsidRPr="00E37E8B">
        <w:rPr>
          <w:i/>
          <w:sz w:val="22"/>
          <w:szCs w:val="22"/>
        </w:rPr>
        <w:t>Cognitive Studies / Études Cognitives</w:t>
      </w:r>
      <w:r w:rsidRPr="00E37E8B">
        <w:rPr>
          <w:sz w:val="22"/>
          <w:szCs w:val="22"/>
        </w:rPr>
        <w:t xml:space="preserve">, </w:t>
      </w:r>
      <w:r w:rsidRPr="00E37E8B">
        <w:rPr>
          <w:i/>
          <w:sz w:val="22"/>
          <w:szCs w:val="22"/>
        </w:rPr>
        <w:t>11</w:t>
      </w:r>
      <w:r w:rsidRPr="00E37E8B">
        <w:rPr>
          <w:sz w:val="22"/>
          <w:szCs w:val="22"/>
        </w:rPr>
        <w:t>, 255-262.</w:t>
      </w:r>
    </w:p>
    <w:p w:rsidR="00066B22" w:rsidRPr="00E37E8B" w:rsidRDefault="00066B22" w:rsidP="00066B22">
      <w:pPr>
        <w:widowControl w:val="0"/>
        <w:suppressAutoHyphens w:val="0"/>
        <w:ind w:left="540" w:hanging="540"/>
        <w:jc w:val="left"/>
        <w:rPr>
          <w:sz w:val="22"/>
          <w:szCs w:val="22"/>
        </w:rPr>
      </w:pPr>
      <w:r w:rsidRPr="00E37E8B">
        <w:rPr>
          <w:sz w:val="22"/>
          <w:szCs w:val="22"/>
        </w:rPr>
        <w:t xml:space="preserve">Voulgaris, C. (2015). </w:t>
      </w:r>
      <w:r w:rsidRPr="00E37E8B">
        <w:rPr>
          <w:i/>
          <w:sz w:val="22"/>
          <w:szCs w:val="22"/>
        </w:rPr>
        <w:t>Ερμηνευτικόν Υπόμνημα εις την Προς Ρωμαίους Επιστολήν του αποστόλου Παύλου</w:t>
      </w:r>
      <w:r w:rsidRPr="00E37E8B">
        <w:rPr>
          <w:sz w:val="22"/>
          <w:szCs w:val="22"/>
        </w:rPr>
        <w:t>. Αθήνα: Αποστολική Διακονία.</w:t>
      </w:r>
    </w:p>
    <w:p w:rsidR="00066B22" w:rsidRPr="00E37E8B" w:rsidRDefault="00066B22" w:rsidP="00066B22">
      <w:pPr>
        <w:widowControl w:val="0"/>
        <w:suppressAutoHyphens w:val="0"/>
        <w:ind w:left="540" w:hanging="540"/>
        <w:jc w:val="left"/>
        <w:rPr>
          <w:sz w:val="22"/>
          <w:szCs w:val="22"/>
        </w:rPr>
      </w:pPr>
      <w:r w:rsidRPr="00E37E8B">
        <w:rPr>
          <w:sz w:val="22"/>
          <w:szCs w:val="22"/>
        </w:rPr>
        <w:t xml:space="preserve">Watts, F. (2013). Embodied Cognition and Religion. </w:t>
      </w:r>
      <w:r w:rsidRPr="00E37E8B">
        <w:rPr>
          <w:i/>
          <w:sz w:val="22"/>
          <w:szCs w:val="22"/>
        </w:rPr>
        <w:t>Zygon - Journal of Religion and Science</w:t>
      </w:r>
      <w:r w:rsidRPr="00E37E8B">
        <w:rPr>
          <w:sz w:val="22"/>
          <w:szCs w:val="22"/>
        </w:rPr>
        <w:t xml:space="preserve">, </w:t>
      </w:r>
      <w:r w:rsidRPr="00E37E8B">
        <w:rPr>
          <w:i/>
          <w:sz w:val="22"/>
          <w:szCs w:val="22"/>
        </w:rPr>
        <w:t>48</w:t>
      </w:r>
      <w:r w:rsidRPr="00E37E8B">
        <w:rPr>
          <w:sz w:val="22"/>
          <w:szCs w:val="22"/>
        </w:rPr>
        <w:t>(3), 745-758.</w:t>
      </w:r>
    </w:p>
    <w:p w:rsidR="00066B22" w:rsidRPr="00E37E8B" w:rsidRDefault="00066B22" w:rsidP="00066B22">
      <w:pPr>
        <w:widowControl w:val="0"/>
        <w:suppressAutoHyphens w:val="0"/>
        <w:ind w:left="540" w:hanging="540"/>
        <w:jc w:val="left"/>
        <w:rPr>
          <w:sz w:val="22"/>
          <w:szCs w:val="22"/>
        </w:rPr>
      </w:pPr>
      <w:r w:rsidRPr="00E37E8B">
        <w:rPr>
          <w:sz w:val="22"/>
          <w:szCs w:val="22"/>
        </w:rPr>
        <w:t xml:space="preserve">Webb, S. H. (1991). </w:t>
      </w:r>
      <w:r w:rsidRPr="00E37E8B">
        <w:rPr>
          <w:i/>
          <w:sz w:val="22"/>
          <w:szCs w:val="22"/>
        </w:rPr>
        <w:t>Re-figuring theology: the rhetoric of Karl Barth</w:t>
      </w:r>
      <w:r w:rsidRPr="00E37E8B">
        <w:rPr>
          <w:sz w:val="22"/>
          <w:szCs w:val="22"/>
        </w:rPr>
        <w:t>. Albany, N.Y.: State University of New York Press.</w:t>
      </w:r>
    </w:p>
    <w:p w:rsidR="00066B22" w:rsidRPr="00E37E8B" w:rsidRDefault="00066B22" w:rsidP="00066B22">
      <w:pPr>
        <w:widowControl w:val="0"/>
        <w:suppressAutoHyphens w:val="0"/>
        <w:ind w:left="540" w:hanging="540"/>
        <w:jc w:val="left"/>
        <w:rPr>
          <w:sz w:val="22"/>
          <w:szCs w:val="22"/>
        </w:rPr>
      </w:pPr>
      <w:r w:rsidRPr="00E37E8B">
        <w:rPr>
          <w:sz w:val="22"/>
          <w:szCs w:val="22"/>
        </w:rPr>
        <w:t xml:space="preserve">Zhong, C.-B., &amp; Liljenquist, K. (2006). Washing Away Your Sins: Threatened Morality and Physical Cleansing. </w:t>
      </w:r>
      <w:r w:rsidRPr="00E37E8B">
        <w:rPr>
          <w:i/>
          <w:sz w:val="22"/>
          <w:szCs w:val="22"/>
        </w:rPr>
        <w:t>Science</w:t>
      </w:r>
      <w:r w:rsidRPr="00E37E8B">
        <w:rPr>
          <w:sz w:val="22"/>
          <w:szCs w:val="22"/>
        </w:rPr>
        <w:t xml:space="preserve">, </w:t>
      </w:r>
      <w:r w:rsidRPr="00E37E8B">
        <w:rPr>
          <w:i/>
          <w:sz w:val="22"/>
          <w:szCs w:val="22"/>
        </w:rPr>
        <w:t>313</w:t>
      </w:r>
      <w:r w:rsidRPr="00E37E8B">
        <w:rPr>
          <w:sz w:val="22"/>
          <w:szCs w:val="22"/>
        </w:rPr>
        <w:t>(5792), 1451-1452.</w:t>
      </w:r>
    </w:p>
    <w:p w:rsidR="00066B22" w:rsidRPr="00E37E8B" w:rsidRDefault="00066B22" w:rsidP="00066B22">
      <w:pPr>
        <w:widowControl w:val="0"/>
        <w:suppressAutoHyphens w:val="0"/>
        <w:ind w:left="540" w:hanging="540"/>
        <w:jc w:val="left"/>
        <w:rPr>
          <w:sz w:val="22"/>
          <w:szCs w:val="22"/>
        </w:rPr>
      </w:pPr>
      <w:r w:rsidRPr="00E37E8B">
        <w:rPr>
          <w:sz w:val="22"/>
          <w:szCs w:val="22"/>
        </w:rPr>
        <w:t xml:space="preserve">Zock, H. (2006). Paradigms in psychological conversion research: between social science and literary analysis. In J. N. Bremmer, W. J. V. Bekkum, &amp; A. L. Molendijk (Eds.), </w:t>
      </w:r>
      <w:r w:rsidRPr="00E37E8B">
        <w:rPr>
          <w:i/>
          <w:sz w:val="22"/>
          <w:szCs w:val="22"/>
        </w:rPr>
        <w:t>Paradigms, poetics, and politics of conversion</w:t>
      </w:r>
      <w:r w:rsidRPr="00E37E8B">
        <w:rPr>
          <w:sz w:val="22"/>
          <w:szCs w:val="22"/>
        </w:rPr>
        <w:t xml:space="preserve"> (Vol. Groningen studies in cultural change ; v. 19, pp. 41-58). Leuven ; Dudley, MA: Peeters.</w:t>
      </w:r>
    </w:p>
    <w:p w:rsidR="00066B22" w:rsidRPr="00E37E8B" w:rsidRDefault="00066B22" w:rsidP="00066B22">
      <w:pPr>
        <w:widowControl w:val="0"/>
        <w:suppressAutoHyphens w:val="0"/>
        <w:ind w:left="540" w:hanging="540"/>
        <w:jc w:val="left"/>
        <w:rPr>
          <w:sz w:val="22"/>
          <w:szCs w:val="22"/>
        </w:rPr>
      </w:pPr>
      <w:r w:rsidRPr="00E37E8B">
        <w:rPr>
          <w:sz w:val="22"/>
          <w:szCs w:val="22"/>
        </w:rPr>
        <w:t xml:space="preserve">Zsupan-Jerome, D. (2017). Engaging Violent Words: Prophetic Ministry in Digital Discourses. </w:t>
      </w:r>
      <w:r w:rsidRPr="00E37E8B">
        <w:rPr>
          <w:i/>
          <w:sz w:val="22"/>
          <w:szCs w:val="22"/>
        </w:rPr>
        <w:t>Religious Education</w:t>
      </w:r>
      <w:r w:rsidRPr="00E37E8B">
        <w:rPr>
          <w:sz w:val="22"/>
          <w:szCs w:val="22"/>
        </w:rPr>
        <w:t xml:space="preserve">, </w:t>
      </w:r>
      <w:r w:rsidRPr="00E37E8B">
        <w:rPr>
          <w:i/>
          <w:sz w:val="22"/>
          <w:szCs w:val="22"/>
        </w:rPr>
        <w:t>112</w:t>
      </w:r>
      <w:r w:rsidRPr="00E37E8B">
        <w:rPr>
          <w:sz w:val="22"/>
          <w:szCs w:val="22"/>
        </w:rPr>
        <w:t>(4), 431-443.</w:t>
      </w:r>
    </w:p>
    <w:p w:rsidR="00EC6EA5" w:rsidRPr="00E37E8B" w:rsidRDefault="00541A92" w:rsidP="00066B22">
      <w:pPr>
        <w:rPr>
          <w:sz w:val="22"/>
          <w:szCs w:val="22"/>
        </w:rPr>
      </w:pPr>
      <w:r w:rsidRPr="00E37E8B">
        <w:rPr>
          <w:sz w:val="22"/>
          <w:szCs w:val="22"/>
        </w:rPr>
        <w:fldChar w:fldCharType="end"/>
      </w:r>
    </w:p>
    <w:sectPr w:rsidR="00EC6EA5" w:rsidRPr="00E37E8B" w:rsidSect="00F878DF">
      <w:headerReference w:type="default" r:id="rId9"/>
      <w:footerReference w:type="default" r:id="rId10"/>
      <w:pgSz w:w="11906" w:h="16838"/>
      <w:pgMar w:top="1440" w:right="424" w:bottom="1440" w:left="567" w:header="720" w:footer="181"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737" w:rsidRDefault="00376737">
      <w:r>
        <w:separator/>
      </w:r>
    </w:p>
  </w:endnote>
  <w:endnote w:type="continuationSeparator" w:id="0">
    <w:p w:rsidR="00376737" w:rsidRDefault="003767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A68" w:rsidRDefault="00B50A68">
    <w:pPr>
      <w:suppressAutoHyphens w:val="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737" w:rsidRDefault="00376737">
      <w:pPr>
        <w:widowControl w:val="0"/>
        <w:suppressAutoHyphens w:val="0"/>
        <w:jc w:val="left"/>
      </w:pPr>
    </w:p>
  </w:footnote>
  <w:footnote w:type="continuationSeparator" w:id="0">
    <w:p w:rsidR="00376737" w:rsidRDefault="003767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8A7" w:rsidRPr="008D08A7" w:rsidRDefault="008D08A7" w:rsidP="008D08A7">
    <w:pPr>
      <w:pStyle w:val="3"/>
      <w:tabs>
        <w:tab w:val="left" w:pos="284"/>
      </w:tabs>
      <w:rPr>
        <w:sz w:val="20"/>
        <w:szCs w:val="20"/>
      </w:rPr>
    </w:pPr>
    <w:r w:rsidRPr="008D08A7">
      <w:rPr>
        <w:b/>
        <w:bCs/>
        <w:sz w:val="20"/>
        <w:szCs w:val="20"/>
      </w:rPr>
      <w:t>Proposal acronym:</w:t>
    </w:r>
    <w:r w:rsidRPr="008D08A7">
      <w:rPr>
        <w:sz w:val="20"/>
        <w:szCs w:val="20"/>
      </w:rPr>
      <w:t xml:space="preserve"> Digital-</w:t>
    </w:r>
    <w:proofErr w:type="spellStart"/>
    <w:r w:rsidRPr="008D08A7">
      <w:rPr>
        <w:sz w:val="20"/>
        <w:szCs w:val="20"/>
      </w:rPr>
      <w:t>PAROuSIA</w:t>
    </w:r>
    <w:proofErr w:type="spellEnd"/>
    <w:r>
      <w:rPr>
        <w:sz w:val="20"/>
        <w:szCs w:val="20"/>
      </w:rPr>
      <w:t xml:space="preserve">: </w:t>
    </w:r>
    <w:r>
      <w:rPr>
        <w:b/>
        <w:bCs/>
        <w:sz w:val="20"/>
        <w:szCs w:val="20"/>
      </w:rPr>
      <w:t>Part 1: Proposal Extended Synopsis</w:t>
    </w:r>
  </w:p>
  <w:p w:rsidR="008D08A7" w:rsidRPr="008D08A7" w:rsidRDefault="008D08A7" w:rsidP="008D08A7">
    <w:pPr>
      <w:pStyle w:val="3"/>
      <w:tabs>
        <w:tab w:val="left" w:pos="284"/>
      </w:tabs>
      <w:rPr>
        <w:sz w:val="20"/>
        <w:szCs w:val="20"/>
      </w:rPr>
    </w:pPr>
    <w:r w:rsidRPr="008D08A7">
      <w:rPr>
        <w:b/>
        <w:bCs/>
        <w:sz w:val="20"/>
        <w:szCs w:val="20"/>
      </w:rPr>
      <w:t>Scientific Area:</w:t>
    </w:r>
    <w:r w:rsidRPr="008D08A7">
      <w:rPr>
        <w:sz w:val="20"/>
        <w:szCs w:val="20"/>
      </w:rPr>
      <w:t xml:space="preserve"> Humanities / Philosophy, Ethics and Religion / Theology</w:t>
    </w:r>
  </w:p>
  <w:p w:rsidR="008D08A7" w:rsidRPr="008D08A7" w:rsidRDefault="008D08A7" w:rsidP="008D08A7">
    <w:pPr>
      <w:pStyle w:val="3"/>
      <w:tabs>
        <w:tab w:val="left" w:pos="284"/>
      </w:tabs>
      <w:rPr>
        <w:sz w:val="20"/>
        <w:szCs w:val="20"/>
      </w:rPr>
    </w:pPr>
    <w:r w:rsidRPr="008D08A7">
      <w:rPr>
        <w:b/>
        <w:bCs/>
        <w:sz w:val="20"/>
        <w:szCs w:val="20"/>
      </w:rPr>
      <w:t>Principal Investigator:</w:t>
    </w:r>
    <w:r w:rsidRPr="008D08A7">
      <w:rPr>
        <w:sz w:val="20"/>
        <w:szCs w:val="20"/>
      </w:rPr>
      <w:t xml:space="preserve"> Dr. </w:t>
    </w:r>
    <w:proofErr w:type="spellStart"/>
    <w:r w:rsidRPr="008D08A7">
      <w:rPr>
        <w:sz w:val="20"/>
        <w:szCs w:val="20"/>
      </w:rPr>
      <w:t>Sotirios</w:t>
    </w:r>
    <w:proofErr w:type="spellEnd"/>
    <w:r w:rsidRPr="008D08A7">
      <w:rPr>
        <w:sz w:val="20"/>
        <w:szCs w:val="20"/>
      </w:rPr>
      <w:t xml:space="preserve"> </w:t>
    </w:r>
    <w:proofErr w:type="spellStart"/>
    <w:r w:rsidRPr="008D08A7">
      <w:rPr>
        <w:sz w:val="20"/>
        <w:szCs w:val="20"/>
      </w:rPr>
      <w:t>Despotis</w:t>
    </w:r>
    <w:proofErr w:type="spellEnd"/>
    <w:r w:rsidRPr="008D08A7">
      <w:rPr>
        <w:sz w:val="20"/>
        <w:szCs w:val="20"/>
      </w:rPr>
      <w:t xml:space="preserve">, Professor at </w:t>
    </w:r>
    <w:r>
      <w:rPr>
        <w:sz w:val="20"/>
        <w:szCs w:val="20"/>
      </w:rPr>
      <w:t>the University of Athens</w:t>
    </w:r>
  </w:p>
  <w:p w:rsidR="00B50A68" w:rsidRPr="008D08A7" w:rsidRDefault="00B50A68">
    <w:pPr>
      <w:suppressAutoHyphens w:val="0"/>
      <w:jc w:val="left"/>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5816B"/>
    <w:multiLevelType w:val="hybridMultilevel"/>
    <w:tmpl w:val="00000000"/>
    <w:styleLink w:val="BulletList1"/>
    <w:lvl w:ilvl="0" w:tplc="FFFFFFFF">
      <w:start w:val="1"/>
      <w:numFmt w:val="bullet"/>
      <w:lvlText w:val="•"/>
      <w:lvlJc w:val="left"/>
      <w:pPr>
        <w:ind w:left="720" w:hanging="360"/>
      </w:pPr>
    </w:lvl>
    <w:lvl w:ilvl="1" w:tplc="FFFFFFFF">
      <w:start w:val="1"/>
      <w:numFmt w:val="bullet"/>
      <w:lvlText w:val="o"/>
      <w:lvlJc w:val="left"/>
      <w:pPr>
        <w:ind w:left="1440" w:hanging="360"/>
      </w:pPr>
    </w:lvl>
    <w:lvl w:ilvl="2" w:tplc="FFFFFFFF">
      <w:start w:val="1"/>
      <w:numFmt w:val="bullet"/>
      <w:lvlText w:val="▪"/>
      <w:lvlJc w:val="left"/>
      <w:pPr>
        <w:ind w:left="2160" w:hanging="360"/>
      </w:pPr>
    </w:lvl>
    <w:lvl w:ilvl="3" w:tplc="FFFFFFFF">
      <w:start w:val="1"/>
      <w:numFmt w:val="bullet"/>
      <w:lvlText w:val="•"/>
      <w:lvlJc w:val="left"/>
      <w:pPr>
        <w:ind w:left="2880" w:hanging="360"/>
      </w:pPr>
    </w:lvl>
    <w:lvl w:ilvl="4" w:tplc="FFFFFFFF">
      <w:start w:val="1"/>
      <w:numFmt w:val="bullet"/>
      <w:lvlText w:val="o"/>
      <w:lvlJc w:val="left"/>
      <w:pPr>
        <w:ind w:left="3600" w:hanging="360"/>
      </w:pPr>
    </w:lvl>
    <w:lvl w:ilvl="5" w:tplc="FFFFFFFF">
      <w:start w:val="1"/>
      <w:numFmt w:val="bullet"/>
      <w:lvlText w:val="▪"/>
      <w:lvlJc w:val="left"/>
      <w:pPr>
        <w:ind w:left="4320" w:hanging="360"/>
      </w:pPr>
    </w:lvl>
    <w:lvl w:ilvl="6" w:tplc="FFFFFFFF">
      <w:start w:val="1"/>
      <w:numFmt w:val="bullet"/>
      <w:lvlText w:val="•"/>
      <w:lvlJc w:val="left"/>
      <w:pPr>
        <w:ind w:left="5040" w:hanging="360"/>
      </w:pPr>
    </w:lvl>
    <w:lvl w:ilvl="7" w:tplc="FFFFFFFF">
      <w:start w:val="1"/>
      <w:numFmt w:val="bullet"/>
      <w:lvlText w:val="o"/>
      <w:lvlJc w:val="left"/>
      <w:pPr>
        <w:ind w:left="5760" w:hanging="360"/>
      </w:pPr>
    </w:lvl>
    <w:lvl w:ilvl="8" w:tplc="FFFFFFFF">
      <w:start w:val="1"/>
      <w:numFmt w:val="bullet"/>
      <w:lvlText w:val="▪"/>
      <w:lvlJc w:val="left"/>
      <w:pPr>
        <w:ind w:left="6480" w:hanging="360"/>
      </w:pPr>
    </w:lvl>
  </w:abstractNum>
  <w:abstractNum w:abstractNumId="1">
    <w:nsid w:val="437266F5"/>
    <w:multiLevelType w:val="hybridMultilevel"/>
    <w:tmpl w:val="CAC46602"/>
    <w:styleLink w:val="NumberList1"/>
    <w:lvl w:ilvl="0" w:tplc="E8045E5A">
      <w:start w:val="1"/>
      <w:numFmt w:val="decimal"/>
      <w:pStyle w:val="2"/>
      <w:lvlText w:val="%1."/>
      <w:lvlJc w:val="left"/>
      <w:pPr>
        <w:ind w:left="4197" w:hanging="227"/>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
    <w:lvlOverride w:ilvl="0">
      <w:startOverride w:val="1"/>
    </w:lvlOverride>
  </w:num>
  <w:num w:numId="2">
    <w:abstractNumId w:val="1"/>
  </w:num>
  <w:num w:numId="3">
    <w:abstractNumId w:val="0"/>
    <w:lvlOverride w:ilvl="0">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bordersDoNotSurroundHeader/>
  <w:bordersDoNotSurroundFooter/>
  <w:proofState w:spelling="clean" w:grammar="clean"/>
  <w:defaultTabStop w:val="720"/>
  <w:drawingGridHorizontalSpacing w:val="120"/>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12CE7"/>
    <w:rsid w:val="000148E5"/>
    <w:rsid w:val="00040EE6"/>
    <w:rsid w:val="00066B22"/>
    <w:rsid w:val="000751D3"/>
    <w:rsid w:val="00127F27"/>
    <w:rsid w:val="002730D8"/>
    <w:rsid w:val="00376737"/>
    <w:rsid w:val="0039586E"/>
    <w:rsid w:val="003B4396"/>
    <w:rsid w:val="0046151E"/>
    <w:rsid w:val="0047320A"/>
    <w:rsid w:val="005115AD"/>
    <w:rsid w:val="00541A92"/>
    <w:rsid w:val="005C6CBD"/>
    <w:rsid w:val="005E2A5B"/>
    <w:rsid w:val="00610BBB"/>
    <w:rsid w:val="00695173"/>
    <w:rsid w:val="00706E78"/>
    <w:rsid w:val="007A51C1"/>
    <w:rsid w:val="007B294C"/>
    <w:rsid w:val="008164DE"/>
    <w:rsid w:val="00853E24"/>
    <w:rsid w:val="00867DD3"/>
    <w:rsid w:val="008A0304"/>
    <w:rsid w:val="008D08A7"/>
    <w:rsid w:val="00926C2B"/>
    <w:rsid w:val="00953779"/>
    <w:rsid w:val="00991EE5"/>
    <w:rsid w:val="009C19B6"/>
    <w:rsid w:val="009D2634"/>
    <w:rsid w:val="009E085A"/>
    <w:rsid w:val="00A05AB1"/>
    <w:rsid w:val="00A15BA8"/>
    <w:rsid w:val="00AE7527"/>
    <w:rsid w:val="00AF35F6"/>
    <w:rsid w:val="00B14E5C"/>
    <w:rsid w:val="00B233B6"/>
    <w:rsid w:val="00B32AEC"/>
    <w:rsid w:val="00B50A68"/>
    <w:rsid w:val="00BB4AD0"/>
    <w:rsid w:val="00C05BA1"/>
    <w:rsid w:val="00C453A2"/>
    <w:rsid w:val="00CA6955"/>
    <w:rsid w:val="00CF51F5"/>
    <w:rsid w:val="00D12CE7"/>
    <w:rsid w:val="00DE136F"/>
    <w:rsid w:val="00DF0DA0"/>
    <w:rsid w:val="00E02660"/>
    <w:rsid w:val="00E37E8B"/>
    <w:rsid w:val="00E43FBA"/>
    <w:rsid w:val="00EA0C42"/>
    <w:rsid w:val="00EC60EA"/>
    <w:rsid w:val="00EC6EA5"/>
    <w:rsid w:val="00ED00C1"/>
    <w:rsid w:val="00ED2794"/>
    <w:rsid w:val="00EE3522"/>
    <w:rsid w:val="00F01167"/>
    <w:rsid w:val="00F303AC"/>
    <w:rsid w:val="00F3455D"/>
    <w:rsid w:val="00F8113D"/>
    <w:rsid w:val="00F878DF"/>
    <w:rsid w:val="00F974F1"/>
    <w:rsid w:val="00FD137D"/>
    <w:rsid w:val="00FF6AD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semiHidden="0" w:unhideWhenUsed="0" w:qFormat="1"/>
    <w:lsdException w:name="footnote reference" w:unhideWhenUsed="0"/>
    <w:lsdException w:name="annotation reference" w:unhideWhenUsed="0"/>
    <w:lsdException w:name="endnote reference" w:unhideWhenUsed="0"/>
    <w:lsdException w:name="endnote text" w:unhideWhenUsed="0"/>
    <w:lsdException w:name="Lis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nhideWhenUsed="0" w:qFormat="1"/>
    <w:lsdException w:name="Document Map" w:unhideWhenUsed="0"/>
    <w:lsdException w:name="annotation subject" w:unhideWhenUsed="0"/>
    <w:lsdException w:name="Balloon Text"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660"/>
    <w:pPr>
      <w:suppressAutoHyphens/>
      <w:autoSpaceDE w:val="0"/>
      <w:autoSpaceDN w:val="0"/>
      <w:adjustRightInd w:val="0"/>
      <w:jc w:val="both"/>
    </w:pPr>
    <w:rPr>
      <w:sz w:val="24"/>
      <w:szCs w:val="24"/>
    </w:rPr>
  </w:style>
  <w:style w:type="paragraph" w:styleId="1">
    <w:name w:val="heading 1"/>
    <w:basedOn w:val="a"/>
    <w:link w:val="1Char"/>
    <w:uiPriority w:val="99"/>
    <w:qFormat/>
    <w:rsid w:val="00ED00C1"/>
    <w:pPr>
      <w:spacing w:before="280" w:after="280"/>
      <w:outlineLvl w:val="0"/>
    </w:pPr>
    <w:rPr>
      <w:b/>
      <w:bCs/>
      <w:sz w:val="48"/>
      <w:szCs w:val="48"/>
    </w:rPr>
  </w:style>
  <w:style w:type="paragraph" w:styleId="2">
    <w:name w:val="heading 2"/>
    <w:basedOn w:val="a"/>
    <w:next w:val="a"/>
    <w:link w:val="2Char"/>
    <w:uiPriority w:val="99"/>
    <w:qFormat/>
    <w:rsid w:val="00D12CE7"/>
    <w:pPr>
      <w:numPr>
        <w:numId w:val="2"/>
      </w:numPr>
      <w:ind w:left="284"/>
      <w:jc w:val="center"/>
      <w:outlineLvl w:val="1"/>
    </w:pPr>
    <w:rPr>
      <w:b/>
      <w:bCs/>
      <w:lang w:val="en-US"/>
    </w:rPr>
  </w:style>
  <w:style w:type="paragraph" w:styleId="3">
    <w:name w:val="heading 3"/>
    <w:basedOn w:val="a"/>
    <w:next w:val="a"/>
    <w:link w:val="3Char"/>
    <w:uiPriority w:val="99"/>
    <w:qFormat/>
    <w:rsid w:val="00ED00C1"/>
    <w:pPr>
      <w:jc w:val="center"/>
      <w:outlineLvl w:val="2"/>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ED00C1"/>
    <w:rPr>
      <w:b/>
      <w:bCs/>
      <w:sz w:val="48"/>
      <w:szCs w:val="48"/>
    </w:rPr>
  </w:style>
  <w:style w:type="character" w:customStyle="1" w:styleId="2Char">
    <w:name w:val="Επικεφαλίδα 2 Char"/>
    <w:basedOn w:val="a0"/>
    <w:link w:val="2"/>
    <w:uiPriority w:val="99"/>
    <w:rsid w:val="00D12CE7"/>
    <w:rPr>
      <w:b/>
      <w:bCs/>
      <w:sz w:val="24"/>
      <w:szCs w:val="24"/>
      <w:lang w:val="en-US"/>
    </w:rPr>
  </w:style>
  <w:style w:type="character" w:customStyle="1" w:styleId="3Char">
    <w:name w:val="Επικεφαλίδα 3 Char"/>
    <w:basedOn w:val="a0"/>
    <w:link w:val="3"/>
    <w:uiPriority w:val="99"/>
    <w:rsid w:val="00ED00C1"/>
    <w:rPr>
      <w:lang w:val="en-US"/>
    </w:rPr>
  </w:style>
  <w:style w:type="character" w:customStyle="1" w:styleId="FootnoteTextChar">
    <w:name w:val="Footnote Text Char"/>
    <w:basedOn w:val="a0"/>
    <w:uiPriority w:val="99"/>
    <w:rsid w:val="00ED00C1"/>
    <w:rPr>
      <w:rFonts w:ascii="Calibri" w:hAnsi="Calibri" w:cs="Calibri"/>
      <w:sz w:val="20"/>
      <w:szCs w:val="20"/>
    </w:rPr>
  </w:style>
  <w:style w:type="character" w:styleId="a3">
    <w:name w:val="footnote reference"/>
    <w:basedOn w:val="a0"/>
    <w:uiPriority w:val="99"/>
    <w:rsid w:val="00ED00C1"/>
    <w:rPr>
      <w:vertAlign w:val="superscript"/>
    </w:rPr>
  </w:style>
  <w:style w:type="character" w:customStyle="1" w:styleId="st">
    <w:name w:val="st"/>
    <w:basedOn w:val="a0"/>
    <w:uiPriority w:val="99"/>
    <w:rsid w:val="00ED00C1"/>
  </w:style>
  <w:style w:type="character" w:styleId="a4">
    <w:name w:val="Emphasis"/>
    <w:basedOn w:val="a0"/>
    <w:uiPriority w:val="99"/>
    <w:qFormat/>
    <w:rsid w:val="00ED00C1"/>
    <w:rPr>
      <w:i/>
      <w:iCs/>
    </w:rPr>
  </w:style>
  <w:style w:type="character" w:customStyle="1" w:styleId="InternetLink">
    <w:name w:val="Internet Link"/>
    <w:basedOn w:val="a0"/>
    <w:uiPriority w:val="99"/>
    <w:rsid w:val="00ED00C1"/>
    <w:rPr>
      <w:color w:val="0000FF"/>
      <w:u w:val="single"/>
    </w:rPr>
  </w:style>
  <w:style w:type="character" w:customStyle="1" w:styleId="BalloonTextChar">
    <w:name w:val="Balloon Text Char"/>
    <w:basedOn w:val="a0"/>
    <w:uiPriority w:val="99"/>
    <w:rsid w:val="00ED00C1"/>
    <w:rPr>
      <w:sz w:val="18"/>
      <w:szCs w:val="18"/>
    </w:rPr>
  </w:style>
  <w:style w:type="character" w:customStyle="1" w:styleId="EndnoteTextChar">
    <w:name w:val="Endnote Text Char"/>
    <w:basedOn w:val="a0"/>
    <w:uiPriority w:val="99"/>
    <w:rsid w:val="00ED00C1"/>
    <w:rPr>
      <w:rFonts w:ascii="Calibri" w:hAnsi="Calibri" w:cs="Calibri"/>
    </w:rPr>
  </w:style>
  <w:style w:type="character" w:styleId="a5">
    <w:name w:val="endnote reference"/>
    <w:basedOn w:val="a0"/>
    <w:uiPriority w:val="99"/>
    <w:rsid w:val="00ED00C1"/>
    <w:rPr>
      <w:vertAlign w:val="superscript"/>
    </w:rPr>
  </w:style>
  <w:style w:type="character" w:customStyle="1" w:styleId="DocumentMapChar">
    <w:name w:val="Document Map Char"/>
    <w:basedOn w:val="a0"/>
    <w:uiPriority w:val="99"/>
    <w:rsid w:val="00ED00C1"/>
    <w:rPr>
      <w:rFonts w:ascii="Tahoma" w:hAnsi="Tahoma" w:cs="Tahoma"/>
      <w:sz w:val="16"/>
      <w:szCs w:val="16"/>
    </w:rPr>
  </w:style>
  <w:style w:type="character" w:styleId="a6">
    <w:name w:val="annotation reference"/>
    <w:basedOn w:val="a0"/>
    <w:uiPriority w:val="99"/>
    <w:rsid w:val="00ED00C1"/>
    <w:rPr>
      <w:sz w:val="16"/>
      <w:szCs w:val="16"/>
    </w:rPr>
  </w:style>
  <w:style w:type="character" w:customStyle="1" w:styleId="CommentTextChar">
    <w:name w:val="Comment Text Char"/>
    <w:basedOn w:val="a0"/>
    <w:uiPriority w:val="99"/>
    <w:rsid w:val="00ED00C1"/>
    <w:rPr>
      <w:sz w:val="20"/>
      <w:szCs w:val="20"/>
    </w:rPr>
  </w:style>
  <w:style w:type="character" w:customStyle="1" w:styleId="CommentSubjectChar">
    <w:name w:val="Comment Subject Char"/>
    <w:basedOn w:val="CommentTextChar"/>
    <w:uiPriority w:val="99"/>
    <w:rsid w:val="00ED00C1"/>
    <w:rPr>
      <w:b/>
      <w:bCs/>
      <w:sz w:val="20"/>
      <w:szCs w:val="20"/>
    </w:rPr>
  </w:style>
  <w:style w:type="character" w:customStyle="1" w:styleId="alt-edited">
    <w:name w:val="alt-edited"/>
    <w:basedOn w:val="a0"/>
    <w:uiPriority w:val="99"/>
    <w:rsid w:val="00ED00C1"/>
  </w:style>
  <w:style w:type="character" w:customStyle="1" w:styleId="ListLabel1">
    <w:name w:val="ListLabel 1"/>
    <w:uiPriority w:val="99"/>
    <w:rsid w:val="00ED00C1"/>
  </w:style>
  <w:style w:type="paragraph" w:customStyle="1" w:styleId="Heading">
    <w:name w:val="Heading"/>
    <w:basedOn w:val="a"/>
    <w:next w:val="TextBody"/>
    <w:uiPriority w:val="99"/>
    <w:rsid w:val="00ED00C1"/>
    <w:pPr>
      <w:keepNext/>
      <w:spacing w:before="240" w:after="120"/>
    </w:pPr>
    <w:rPr>
      <w:rFonts w:ascii="Arial" w:hAnsi="Arial" w:cs="Arial"/>
      <w:sz w:val="28"/>
      <w:szCs w:val="28"/>
    </w:rPr>
  </w:style>
  <w:style w:type="paragraph" w:customStyle="1" w:styleId="TextBody">
    <w:name w:val="Text Body"/>
    <w:basedOn w:val="a"/>
    <w:uiPriority w:val="99"/>
    <w:rsid w:val="00ED00C1"/>
    <w:pPr>
      <w:spacing w:after="140" w:line="288" w:lineRule="auto"/>
    </w:pPr>
  </w:style>
  <w:style w:type="paragraph" w:styleId="a7">
    <w:name w:val="List"/>
    <w:basedOn w:val="TextBody"/>
    <w:uiPriority w:val="99"/>
    <w:rsid w:val="00ED00C1"/>
  </w:style>
  <w:style w:type="paragraph" w:styleId="a8">
    <w:name w:val="caption"/>
    <w:basedOn w:val="a"/>
    <w:uiPriority w:val="99"/>
    <w:qFormat/>
    <w:rsid w:val="00ED00C1"/>
    <w:pPr>
      <w:spacing w:before="120" w:after="120"/>
    </w:pPr>
    <w:rPr>
      <w:i/>
      <w:iCs/>
    </w:rPr>
  </w:style>
  <w:style w:type="paragraph" w:customStyle="1" w:styleId="Index">
    <w:name w:val="Index"/>
    <w:basedOn w:val="a"/>
    <w:uiPriority w:val="99"/>
    <w:rsid w:val="00ED00C1"/>
  </w:style>
  <w:style w:type="paragraph" w:styleId="a9">
    <w:name w:val="footnote text"/>
    <w:basedOn w:val="a"/>
    <w:link w:val="Char"/>
    <w:uiPriority w:val="99"/>
    <w:rsid w:val="00ED00C1"/>
    <w:pPr>
      <w:widowControl w:val="0"/>
    </w:pPr>
    <w:rPr>
      <w:sz w:val="20"/>
      <w:szCs w:val="20"/>
    </w:rPr>
  </w:style>
  <w:style w:type="character" w:customStyle="1" w:styleId="Char">
    <w:name w:val="Κείμενο υποσημείωσης Char"/>
    <w:basedOn w:val="a0"/>
    <w:link w:val="a9"/>
    <w:uiPriority w:val="99"/>
    <w:semiHidden/>
    <w:rsid w:val="00ED00C1"/>
    <w:rPr>
      <w:sz w:val="24"/>
      <w:szCs w:val="24"/>
    </w:rPr>
  </w:style>
  <w:style w:type="paragraph" w:customStyle="1" w:styleId="Standard">
    <w:name w:val="Standard"/>
    <w:uiPriority w:val="99"/>
    <w:rsid w:val="00ED00C1"/>
    <w:pPr>
      <w:suppressAutoHyphens/>
      <w:autoSpaceDE w:val="0"/>
      <w:autoSpaceDN w:val="0"/>
      <w:adjustRightInd w:val="0"/>
    </w:pPr>
    <w:rPr>
      <w:sz w:val="24"/>
      <w:szCs w:val="24"/>
      <w:lang w:val="el-GR"/>
    </w:rPr>
  </w:style>
  <w:style w:type="paragraph" w:styleId="aa">
    <w:name w:val="List Paragraph"/>
    <w:basedOn w:val="a"/>
    <w:uiPriority w:val="99"/>
    <w:qFormat/>
    <w:rsid w:val="00ED00C1"/>
    <w:pPr>
      <w:ind w:left="720"/>
    </w:pPr>
  </w:style>
  <w:style w:type="paragraph" w:styleId="ab">
    <w:name w:val="Balloon Text"/>
    <w:basedOn w:val="a"/>
    <w:link w:val="Char0"/>
    <w:uiPriority w:val="99"/>
    <w:rsid w:val="00ED00C1"/>
    <w:rPr>
      <w:sz w:val="18"/>
      <w:szCs w:val="18"/>
    </w:rPr>
  </w:style>
  <w:style w:type="character" w:customStyle="1" w:styleId="Char0">
    <w:name w:val="Κείμενο πλαισίου Char"/>
    <w:basedOn w:val="a0"/>
    <w:link w:val="ab"/>
    <w:uiPriority w:val="99"/>
    <w:semiHidden/>
    <w:rsid w:val="00ED00C1"/>
    <w:rPr>
      <w:sz w:val="18"/>
      <w:szCs w:val="18"/>
    </w:rPr>
  </w:style>
  <w:style w:type="paragraph" w:styleId="ac">
    <w:name w:val="endnote text"/>
    <w:basedOn w:val="a"/>
    <w:link w:val="Char1"/>
    <w:uiPriority w:val="99"/>
    <w:rsid w:val="00ED00C1"/>
  </w:style>
  <w:style w:type="character" w:customStyle="1" w:styleId="Char1">
    <w:name w:val="Κείμενο σημείωσης τέλους Char"/>
    <w:basedOn w:val="a0"/>
    <w:link w:val="ac"/>
    <w:uiPriority w:val="99"/>
    <w:semiHidden/>
    <w:rsid w:val="00ED00C1"/>
    <w:rPr>
      <w:sz w:val="24"/>
      <w:szCs w:val="24"/>
    </w:rPr>
  </w:style>
  <w:style w:type="paragraph" w:styleId="ad">
    <w:name w:val="Document Map"/>
    <w:basedOn w:val="a"/>
    <w:link w:val="Char2"/>
    <w:uiPriority w:val="99"/>
    <w:rsid w:val="00ED00C1"/>
    <w:rPr>
      <w:rFonts w:ascii="Tahoma" w:hAnsi="Tahoma" w:cs="Tahoma"/>
      <w:sz w:val="16"/>
      <w:szCs w:val="16"/>
    </w:rPr>
  </w:style>
  <w:style w:type="character" w:customStyle="1" w:styleId="Char2">
    <w:name w:val="Χάρτης εγγράφου Char"/>
    <w:basedOn w:val="a0"/>
    <w:link w:val="ad"/>
    <w:uiPriority w:val="99"/>
    <w:semiHidden/>
    <w:rsid w:val="00ED00C1"/>
    <w:rPr>
      <w:sz w:val="24"/>
      <w:szCs w:val="24"/>
    </w:rPr>
  </w:style>
  <w:style w:type="paragraph" w:customStyle="1" w:styleId="CharCharCharCharCharChar">
    <w:name w:val="Char Char Char Char Char Char"/>
    <w:basedOn w:val="a"/>
    <w:uiPriority w:val="99"/>
    <w:rsid w:val="00ED00C1"/>
    <w:pPr>
      <w:spacing w:after="160" w:line="240" w:lineRule="exact"/>
      <w:jc w:val="left"/>
    </w:pPr>
    <w:rPr>
      <w:rFonts w:ascii="Verdana" w:hAnsi="Verdana" w:cs="Verdana"/>
      <w:sz w:val="20"/>
      <w:szCs w:val="20"/>
      <w:lang w:val="en-US"/>
    </w:rPr>
  </w:style>
  <w:style w:type="paragraph" w:customStyle="1" w:styleId="Comment">
    <w:name w:val="Comment"/>
    <w:basedOn w:val="a"/>
    <w:uiPriority w:val="99"/>
    <w:rsid w:val="00ED00C1"/>
    <w:rPr>
      <w:sz w:val="20"/>
      <w:szCs w:val="20"/>
    </w:rPr>
  </w:style>
  <w:style w:type="paragraph" w:styleId="ae">
    <w:name w:val="annotation text"/>
    <w:basedOn w:val="a"/>
    <w:link w:val="Char3"/>
    <w:uiPriority w:val="99"/>
    <w:semiHidden/>
    <w:unhideWhenUsed/>
    <w:rsid w:val="00ED00C1"/>
  </w:style>
  <w:style w:type="character" w:customStyle="1" w:styleId="Char3">
    <w:name w:val="Κείμενο σχολίου Char"/>
    <w:basedOn w:val="a0"/>
    <w:link w:val="ae"/>
    <w:uiPriority w:val="99"/>
    <w:semiHidden/>
    <w:rsid w:val="00ED00C1"/>
    <w:rPr>
      <w:sz w:val="24"/>
      <w:szCs w:val="24"/>
    </w:rPr>
  </w:style>
  <w:style w:type="paragraph" w:styleId="af">
    <w:name w:val="annotation subject"/>
    <w:basedOn w:val="Comment"/>
    <w:link w:val="Char4"/>
    <w:uiPriority w:val="99"/>
    <w:rsid w:val="00ED00C1"/>
    <w:rPr>
      <w:b/>
      <w:bCs/>
    </w:rPr>
  </w:style>
  <w:style w:type="character" w:customStyle="1" w:styleId="Char4">
    <w:name w:val="Θέμα σχολίου Char"/>
    <w:basedOn w:val="Char3"/>
    <w:link w:val="af"/>
    <w:uiPriority w:val="99"/>
    <w:semiHidden/>
    <w:rsid w:val="00ED00C1"/>
    <w:rPr>
      <w:b/>
      <w:bCs/>
      <w:sz w:val="24"/>
      <w:szCs w:val="24"/>
    </w:rPr>
  </w:style>
  <w:style w:type="character" w:customStyle="1" w:styleId="NoteReference">
    <w:name w:val="Note Reference"/>
    <w:uiPriority w:val="99"/>
    <w:rsid w:val="00ED00C1"/>
    <w:rPr>
      <w:vertAlign w:val="superscript"/>
    </w:rPr>
  </w:style>
  <w:style w:type="character" w:customStyle="1" w:styleId="NoteReferenceinNote">
    <w:name w:val="Note Reference in Note"/>
    <w:basedOn w:val="NoteReference"/>
    <w:uiPriority w:val="99"/>
    <w:rsid w:val="00ED00C1"/>
    <w:rPr>
      <w:vertAlign w:val="superscript"/>
    </w:rPr>
  </w:style>
  <w:style w:type="paragraph" w:styleId="af0">
    <w:name w:val="header"/>
    <w:basedOn w:val="a"/>
    <w:link w:val="Char5"/>
    <w:uiPriority w:val="99"/>
    <w:rsid w:val="00ED00C1"/>
  </w:style>
  <w:style w:type="character" w:customStyle="1" w:styleId="Char5">
    <w:name w:val="Κεφαλίδα Char"/>
    <w:basedOn w:val="a0"/>
    <w:link w:val="af0"/>
    <w:uiPriority w:val="99"/>
    <w:semiHidden/>
    <w:rsid w:val="00ED00C1"/>
    <w:rPr>
      <w:sz w:val="24"/>
      <w:szCs w:val="24"/>
    </w:rPr>
  </w:style>
  <w:style w:type="paragraph" w:styleId="af1">
    <w:name w:val="footer"/>
    <w:basedOn w:val="a"/>
    <w:link w:val="Char6"/>
    <w:uiPriority w:val="99"/>
    <w:rsid w:val="00ED00C1"/>
  </w:style>
  <w:style w:type="character" w:customStyle="1" w:styleId="Char6">
    <w:name w:val="Υποσέλιδο Char"/>
    <w:basedOn w:val="a0"/>
    <w:link w:val="af1"/>
    <w:uiPriority w:val="99"/>
    <w:semiHidden/>
    <w:rsid w:val="00ED00C1"/>
    <w:rPr>
      <w:sz w:val="24"/>
      <w:szCs w:val="24"/>
    </w:rPr>
  </w:style>
  <w:style w:type="numbering" w:customStyle="1" w:styleId="NumberList1">
    <w:name w:val="Number List 1"/>
    <w:rsid w:val="00ED00C1"/>
    <w:pPr>
      <w:numPr>
        <w:numId w:val="2"/>
      </w:numPr>
    </w:pPr>
  </w:style>
  <w:style w:type="numbering" w:customStyle="1" w:styleId="BulletList1">
    <w:name w:val="Bullet List 1"/>
    <w:rsid w:val="00ED00C1"/>
    <w:pPr>
      <w:numPr>
        <w:numId w:val="4"/>
      </w:numPr>
    </w:pPr>
  </w:style>
  <w:style w:type="table" w:customStyle="1" w:styleId="PlainTable1">
    <w:name w:val="Plain Table 1"/>
    <w:basedOn w:val="a1"/>
    <w:uiPriority w:val="41"/>
    <w:rsid w:val="00B32AEC"/>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
    <w:name w:val="Hyperlink"/>
    <w:basedOn w:val="a0"/>
    <w:uiPriority w:val="99"/>
    <w:unhideWhenUsed/>
    <w:rsid w:val="0047320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631180240">
      <w:bodyDiv w:val="1"/>
      <w:marLeft w:val="0"/>
      <w:marRight w:val="0"/>
      <w:marTop w:val="0"/>
      <w:marBottom w:val="0"/>
      <w:divBdr>
        <w:top w:val="none" w:sz="0" w:space="0" w:color="auto"/>
        <w:left w:val="none" w:sz="0" w:space="0" w:color="auto"/>
        <w:bottom w:val="none" w:sz="0" w:space="0" w:color="auto"/>
        <w:right w:val="none" w:sz="0" w:space="0" w:color="auto"/>
      </w:divBdr>
    </w:div>
    <w:div w:id="1702826410">
      <w:bodyDiv w:val="1"/>
      <w:marLeft w:val="0"/>
      <w:marRight w:val="0"/>
      <w:marTop w:val="0"/>
      <w:marBottom w:val="0"/>
      <w:divBdr>
        <w:top w:val="none" w:sz="0" w:space="0" w:color="auto"/>
        <w:left w:val="none" w:sz="0" w:space="0" w:color="auto"/>
        <w:bottom w:val="none" w:sz="0" w:space="0" w:color="auto"/>
        <w:right w:val="none" w:sz="0" w:space="0" w:color="auto"/>
      </w:divBdr>
    </w:div>
    <w:div w:id="20232372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nts2018.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5014</Words>
  <Characters>27081</Characters>
  <Application>Microsoft Office Word</Application>
  <DocSecurity>0</DocSecurity>
  <Lines>225</Lines>
  <Paragraphs>64</Paragraphs>
  <ScaleCrop>false</ScaleCrop>
  <HeadingPairs>
    <vt:vector size="6" baseType="variant">
      <vt:variant>
        <vt:lpstr>Τίτλος</vt:lpstr>
      </vt:variant>
      <vt:variant>
        <vt:i4>1</vt:i4>
      </vt:variant>
      <vt:variant>
        <vt:lpstr>Title</vt:lpstr>
      </vt:variant>
      <vt:variant>
        <vt:i4>1</vt:i4>
      </vt:variant>
      <vt:variant>
        <vt:lpstr>Headings</vt:lpstr>
      </vt:variant>
      <vt:variant>
        <vt:i4>13</vt:i4>
      </vt:variant>
    </vt:vector>
  </HeadingPairs>
  <TitlesOfParts>
    <vt:vector size="15" baseType="lpstr">
      <vt:lpstr/>
      <vt:lpstr/>
      <vt:lpstr>        ​Title of proposal: Digital Paul: Romans Synchronic and Interdisciplinary Approa</vt:lpstr>
      <vt:lpstr>        Proposal acronym: Digital-PAROuSIA</vt:lpstr>
      <vt:lpstr>        Proposal Category: 2</vt:lpstr>
      <vt:lpstr>        Scientific Area: Humanities / Theology, Lexicography, Digital Humanities</vt:lpstr>
      <vt:lpstr>        Principal Investigator: Dr. Sotirios Despotis, Professor at the Faculty of Socia</vt:lpstr>
      <vt:lpstr>        Host Institution: National and Kapodistrian University of Athens</vt:lpstr>
      <vt:lpstr>    Summary and basic objectives of the project </vt:lpstr>
      <vt:lpstr>    First stage of research: introductory remarks and synchronic approach</vt:lpstr>
      <vt:lpstr>    Current research on Romans and the differentiation of the proposed project</vt:lpstr>
      <vt:lpstr>    Synchronic Interpretation [undertaken by Prof. Sotirios Despotis and a doctoral </vt:lpstr>
      <vt:lpstr>    Lexicography, semantics and context [Undertaken by Dr. Stamatopoulos and Mr. Vas</vt:lpstr>
      <vt:lpstr>    Timetable, budget</vt:lpstr>
      <vt:lpstr>    References</vt:lpstr>
    </vt:vector>
  </TitlesOfParts>
  <Company/>
  <LinksUpToDate>false</LinksUpToDate>
  <CharactersWithSpaces>32031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Stamatopoulos</dc:creator>
  <cp:lastModifiedBy>ΣΩΤΗΡΗΣ</cp:lastModifiedBy>
  <cp:revision>3</cp:revision>
  <cp:lastPrinted>2021-09-23T09:21:00Z</cp:lastPrinted>
  <dcterms:created xsi:type="dcterms:W3CDTF">2021-09-23T08:58:00Z</dcterms:created>
  <dcterms:modified xsi:type="dcterms:W3CDTF">2021-09-23T09:21:00Z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lpwstr/>
  </property>
  <property fmtid="{D5CDD505-2E9C-101B-9397-08002B2CF9AE}" pid="3" name="AppVersion">
    <vt:lpwstr>15.0000</vt:lpwstr>
  </property>
  <property fmtid="{D5CDD505-2E9C-101B-9397-08002B2CF9AE}" pid="4" name="DocSecurity">
    <vt:lpwstr/>
  </property>
  <property fmtid="{D5CDD505-2E9C-101B-9397-08002B2CF9AE}" pid="5" name="LinksUpToDate">
    <vt:lpwstr/>
  </property>
  <property fmtid="{D5CDD505-2E9C-101B-9397-08002B2CF9AE}" pid="6" name="ShareDoc">
    <vt:lpwstr/>
  </property>
  <property fmtid="{D5CDD505-2E9C-101B-9397-08002B2CF9AE}" pid="7" name="ScaleCrop">
    <vt:lpwstr/>
  </property>
</Properties>
</file>