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2F4EC" w14:textId="77777777" w:rsidR="000E1B3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MEMO</w:t>
      </w:r>
    </w:p>
    <w:p w14:paraId="5DDACD7C" w14:textId="77777777" w:rsidR="000E1B39"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NEW IMPLEMENTING AGREEMENT UNDER THE UN CONVENTION ON THE LAW OF THE SEA CONCERNING MARINE BIODIVERSITY IN AREAS BEYOND NATIONAL JURISDICTION</w:t>
      </w:r>
    </w:p>
    <w:p w14:paraId="2E0A0064" w14:textId="77777777" w:rsidR="000E1B39" w:rsidRDefault="000E1B39">
      <w:pPr>
        <w:jc w:val="center"/>
        <w:rPr>
          <w:rFonts w:ascii="Times New Roman" w:eastAsia="Times New Roman" w:hAnsi="Times New Roman" w:cs="Times New Roman"/>
          <w:b/>
          <w:sz w:val="24"/>
          <w:szCs w:val="24"/>
        </w:rPr>
      </w:pPr>
    </w:p>
    <w:p w14:paraId="50BDB6D9"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24 December 2017, the UN General Assembly (UNGA) adopted Resolution 72/249, and agreed to convene an intergovernmental conference ‘to consider the recommendations of the Preparatory Committee on the elements and to elaborate the text of an international legally binding instrument under the United Nations Convention on the Law of the Sea on the conservation and sustainable use of marine biological diversity of areas beyond national jurisdiction, with a view to developing the instrument as soon as possible.’ The first substantive session of the Intergovernmental Conference (IGC-1) was convened from 4 to 17 September 2018, and the second (IGC-2) from 25 March to 5 April 2019 at the UN Headquarters in New York. </w:t>
      </w:r>
      <w:r>
        <w:rPr>
          <w:rFonts w:ascii="Times New Roman" w:eastAsia="Times New Roman" w:hAnsi="Times New Roman" w:cs="Times New Roman"/>
          <w:sz w:val="24"/>
          <w:szCs w:val="24"/>
          <w:highlight w:val="white"/>
        </w:rPr>
        <w:t xml:space="preserve">The third session is scheduled for </w:t>
      </w:r>
      <w:r>
        <w:rPr>
          <w:rFonts w:ascii="Times New Roman" w:eastAsia="Times New Roman" w:hAnsi="Times New Roman" w:cs="Times New Roman"/>
          <w:sz w:val="24"/>
          <w:szCs w:val="24"/>
        </w:rPr>
        <w:t xml:space="preserve">19-30 August 2019, while the fourth and (according to the GA Res 72/249) last session will take place in the first half of 2020 (dates to be confirmed by the UNGA at the end of 2019). </w:t>
      </w:r>
    </w:p>
    <w:p w14:paraId="191C775B"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IGC-2 was the most recent episode of a long and difficult negotiation process on the issue of the conservation and sustainable use of biodiversity in the high seas and the deep seabed, the so-called biodiversity beyond national jurisdiction (BBNJ), which ever since 2006 has been on the agenda of the UNGA.</w:t>
      </w:r>
    </w:p>
    <w:p w14:paraId="741B8D56"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memo aims to brief on the current negotiations for an international legally binding instrument (ILBI) on BBNJ and draw attention to the most significant matters in this regard. It will, first, provide some information on the background of the IGC (Section A); this will be followed by a short presentation of where we stand now and of the next procedural steps (Section B); and by a substantive analysis of the major issues under consideration (Section C). A few thoughts on the overall outcome of the negotiations conclude the memo (Section D). </w:t>
      </w:r>
    </w:p>
    <w:p w14:paraId="600A0DAF"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UNGA Resolutions, President’s Aid to Negotiations, and other official documents cited henceforth are included with references in the Table under Annex I. Full reference for authorities cited is found under Annex II.</w:t>
      </w:r>
    </w:p>
    <w:p w14:paraId="7CBBCCB6" w14:textId="77777777" w:rsidR="000E1B39" w:rsidRDefault="000E1B39">
      <w:pPr>
        <w:jc w:val="both"/>
        <w:rPr>
          <w:rFonts w:ascii="Times New Roman" w:eastAsia="Times New Roman" w:hAnsi="Times New Roman" w:cs="Times New Roman"/>
          <w:sz w:val="24"/>
          <w:szCs w:val="24"/>
        </w:rPr>
      </w:pPr>
    </w:p>
    <w:p w14:paraId="4BA94FA9" w14:textId="77777777" w:rsidR="000E1B39"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Background </w:t>
      </w:r>
    </w:p>
    <w:p w14:paraId="3961F5D0"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conservation and sustainable use of marine biodiversity in areas beyond national jurisdiction (ABNJ) has been increasingly attracting international attention since the entry into force of the ‘constitution of the oceans’, the United Nations Convention on the Law of the Sea (LOSC) on 16 November 1994, and the conclusion of its two Implementing Agreements: the first, in 1994, on Part XI of LOSC concerning the international seabed (the Area) and the second, in 1995, on straddling and highly migratory fish stocks (Fish Stocks Agreement). The first issue to trigger the relevant discussion is an obvious gap in the legal framework of the deep seabed: the legal treatment of genetic marine resources and the related and as of yet unresolved question of its legal regime, i.e. whether they are subjected to the freedom of the high seas, in particular the freedom of marine scientific research (MSR), or to the common </w:t>
      </w:r>
      <w:r>
        <w:rPr>
          <w:rFonts w:ascii="Times New Roman" w:eastAsia="Times New Roman" w:hAnsi="Times New Roman" w:cs="Times New Roman"/>
          <w:sz w:val="24"/>
          <w:szCs w:val="24"/>
        </w:rPr>
        <w:lastRenderedPageBreak/>
        <w:t xml:space="preserve">heritage of mankind,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mineral resources of the Area (</w:t>
      </w:r>
      <w:proofErr w:type="spellStart"/>
      <w:r>
        <w:rPr>
          <w:rFonts w:ascii="Times New Roman" w:eastAsia="Times New Roman" w:hAnsi="Times New Roman" w:cs="Times New Roman"/>
          <w:sz w:val="24"/>
          <w:szCs w:val="24"/>
        </w:rPr>
        <w:t>Scovazzi</w:t>
      </w:r>
      <w:proofErr w:type="spellEnd"/>
      <w:r>
        <w:rPr>
          <w:rFonts w:ascii="Times New Roman" w:eastAsia="Times New Roman" w:hAnsi="Times New Roman" w:cs="Times New Roman"/>
          <w:sz w:val="24"/>
          <w:szCs w:val="24"/>
        </w:rPr>
        <w:t>, 2004; Kirchner-Freis and Kirchner, 2014, Mossop, 2015).</w:t>
      </w:r>
    </w:p>
    <w:p w14:paraId="7E200A38"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already in November 1995, the Conference of the Parties to the Convention on Biological Diversity (CBD) adopted a decision requiring the Executive Secretary, in consultation with the UN Division for Ocean Affairs and the Law of the Sea (DOALOS), to undertake a study of the relationship between the CBD and LOSC with regard to the conservation and sustainable use of genetic resources on the deep seabed. </w:t>
      </w:r>
    </w:p>
    <w:p w14:paraId="2E35087F"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interest in MGRs was gradually coupled with scientific information, albeit insufficient, which revealed the richness and vulnerability of such biodiversity, particularly in seamounts, hydrothermal vents and cold-water coral reefs, and concerns grew about the increasing anthropogenic pressure posed by existing and emerging activities, such as fishing and bioprospecting, in the deep sea (Oral, 2006; Freestone, 2019).</w:t>
      </w:r>
    </w:p>
    <w:p w14:paraId="4393B73E"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 result, in 2004 the UNGA decided to establish the Ad hoc Open-ended Informal Working Group to study issues relating to the conservation and sustainable use of marine biological diversity beyond areas of national jurisdiction (the BBNJ Working Group) (UNGA Res 59/24), which first convened in 2006 (see Annex I and Freestone, 2019) At the Fourth Meeting, in 2011, participating States recommended a process that: ‘would address the conservation and sustainable use of marine biodiversity in areas beyond national jurisdiction, in particular, together, and as a whole, marine genetic resources, including questions on the sharing of benefits, measures such as area-based management tools, including marine protected areas, and environmental impact assessments, capacity building and transfer of marine technology’ (UNGA Resolution 66/119, para 1(b)). This has been interpreted as a ‘package deal’, i.e. all the issues considered during a given negotiation are linked and a compromise or an outcome must be found for all of them.</w:t>
      </w:r>
    </w:p>
    <w:p w14:paraId="14E9ADD4"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 progress was made since 2013, when the Co-Chairs of the Group invited States to submit their views on the scope, parameters and feasibility of an implementing agreement under LOSC. The discussions took place under three meetings of the Group in 2014-2015 and covered issues, such as the (non-) binding form of an instrument and its substantial and procedural aspects, as well as whether such an instrument should fall under UNCLOS. In the last meeting in January 2015 (ninth since the establishment of the Group), States reached a compromise following intensive discussions and took the decisive step to recommend by consensus to UNGA that it opens negotiations for a legally binding instrument (Long and Chaves, 2015).</w:t>
      </w:r>
    </w:p>
    <w:p w14:paraId="63BE4B7F"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July 2015, by Resolution 69/292, UNGA approved the Recommendations of the BBNJ Working Group, including the following two-step approach: a Preparatory Committee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would be established and make recommendations to UNGA on the elements of a draft text by the end of 2017, and by the end of its 72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session (2018), UNGA would decide the convening and starting date of an Intergovernmental Conference under the auspices of UN. Furthermore, the negotiations would address the topics identified by the Group in 2011 as a package, namely ‘marine genetic resources, including questions on the sharing of benefits, measures such as area-based management tools, including marine protected areas, environmental impact assessments and capacity building and the transfer of marine technology’. </w:t>
      </w:r>
    </w:p>
    <w:p w14:paraId="16632ACB"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convened four times in 2016 and 2017. In the final session, States adopted a Report including non-exclusive elements that generated convergence among most delegations and issues on which there is divergence of views, following the streamlined Chair’s non-paper on elements of a draft text, which provides ideas and proposals reflecting the variety of options developed during the previous sessions. It was underscored that the issues of convergence and divergence do not reflect consensus and the positions of States expressed during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are without prejudice to their position during future negotiations (see Payne, 2017). </w:t>
      </w:r>
    </w:p>
    <w:p w14:paraId="756D778C"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UNGA adopted the resolution 72/249 convening an Intergovernmental Conference under the auspices of the UN “to consider the recommendations of the Preparatory Committee on the elements and to elaborate the text of an international legally binding instrument under the United Nations Convention on the Law of the Sea […] with the view to developing the instrument as soon as possible”. The resolution was co-sponsored by 141 States and was adopted by consensus.</w:t>
      </w:r>
    </w:p>
    <w:p w14:paraId="039032D8" w14:textId="77777777" w:rsidR="000E1B39" w:rsidRDefault="000E1B39">
      <w:pPr>
        <w:spacing w:after="0" w:line="276" w:lineRule="auto"/>
        <w:jc w:val="both"/>
        <w:rPr>
          <w:rFonts w:ascii="Times New Roman" w:eastAsia="Times New Roman" w:hAnsi="Times New Roman" w:cs="Times New Roman"/>
          <w:sz w:val="24"/>
          <w:szCs w:val="24"/>
        </w:rPr>
      </w:pPr>
    </w:p>
    <w:p w14:paraId="4DFB3B0B" w14:textId="77777777" w:rsidR="000E1B39" w:rsidRDefault="00000000">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 The Intergovernmental Conference (IGC)</w:t>
      </w:r>
    </w:p>
    <w:p w14:paraId="3A150623" w14:textId="77777777" w:rsidR="000E1B39" w:rsidRDefault="000E1B39">
      <w:pPr>
        <w:spacing w:after="0" w:line="276" w:lineRule="auto"/>
        <w:jc w:val="both"/>
        <w:rPr>
          <w:rFonts w:ascii="Times New Roman" w:eastAsia="Times New Roman" w:hAnsi="Times New Roman" w:cs="Times New Roman"/>
          <w:sz w:val="20"/>
          <w:szCs w:val="20"/>
        </w:rPr>
      </w:pPr>
    </w:p>
    <w:p w14:paraId="53995131" w14:textId="77777777" w:rsidR="000E1B39" w:rsidRDefault="00000000">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first Organizing session took place in New York 16-18 April 2018, where </w:t>
      </w:r>
      <w:r>
        <w:rPr>
          <w:rFonts w:ascii="Times New Roman" w:eastAsia="Times New Roman" w:hAnsi="Times New Roman" w:cs="Times New Roman"/>
          <w:sz w:val="24"/>
          <w:szCs w:val="24"/>
          <w:highlight w:val="white"/>
        </w:rPr>
        <w:t>Ms. Rena Lee of Singapore was elected President of the Conference.</w:t>
      </w:r>
    </w:p>
    <w:p w14:paraId="3BCCB4E5" w14:textId="77777777" w:rsidR="000E1B39" w:rsidRDefault="000E1B39">
      <w:pPr>
        <w:spacing w:after="0" w:line="276" w:lineRule="auto"/>
        <w:jc w:val="both"/>
        <w:rPr>
          <w:rFonts w:ascii="Times New Roman" w:eastAsia="Times New Roman" w:hAnsi="Times New Roman" w:cs="Times New Roman"/>
          <w:sz w:val="24"/>
          <w:szCs w:val="24"/>
          <w:highlight w:val="white"/>
        </w:rPr>
      </w:pPr>
    </w:p>
    <w:p w14:paraId="374484D7" w14:textId="77777777" w:rsidR="000E1B39" w:rsidRDefault="00000000">
      <w:pPr>
        <w:spacing w:after="0"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-First Session (IGC-1)</w:t>
      </w:r>
    </w:p>
    <w:p w14:paraId="5AA9092A"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negotiating session (IGC-1) took place </w:t>
      </w:r>
      <w:r>
        <w:rPr>
          <w:rFonts w:ascii="Times New Roman" w:eastAsia="Times New Roman" w:hAnsi="Times New Roman" w:cs="Times New Roman"/>
          <w:sz w:val="24"/>
          <w:szCs w:val="24"/>
          <w:highlight w:val="white"/>
        </w:rPr>
        <w:t xml:space="preserve">4 to 17 September 2018, guided by an ‘Aid to Discussions’ issued by the President. The </w:t>
      </w:r>
      <w:r>
        <w:rPr>
          <w:rFonts w:ascii="Times New Roman" w:eastAsia="Times New Roman" w:hAnsi="Times New Roman" w:cs="Times New Roman"/>
          <w:sz w:val="24"/>
          <w:szCs w:val="24"/>
        </w:rPr>
        <w:t>IGC-1 discussions focused on this ‘Aid to Discussions’ document rather than a “zero draft.” While this strategy offered comfort to some, others, more experienced delegates, did not think it helped “switch into negotiating mode”, after more than a decade of preliminary discussions on BBNJ, and lamented that it was more a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5’ rather than a real negotiating session. Nevertheless, most delegates considered the exchange productive, even if it was largely based on recycled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positions. For some, this was a ‘necessary evil’ and overall IGC-1 was considered as a success (See more in Earth Negotiations Bulletin, Vol 25 No. 179, p. 15; at http://enb.iisd.org/download/pdf/enb25179e.pdf). </w:t>
      </w:r>
    </w:p>
    <w:p w14:paraId="21D18107"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Indeed, since the status of the </w:t>
      </w:r>
      <w:proofErr w:type="spellStart"/>
      <w:r>
        <w:rPr>
          <w:rFonts w:ascii="Times New Roman" w:eastAsia="Times New Roman" w:hAnsi="Times New Roman" w:cs="Times New Roman"/>
          <w:sz w:val="24"/>
          <w:szCs w:val="24"/>
        </w:rPr>
        <w:t>PrepCom’s</w:t>
      </w:r>
      <w:proofErr w:type="spellEnd"/>
      <w:r>
        <w:rPr>
          <w:rFonts w:ascii="Times New Roman" w:eastAsia="Times New Roman" w:hAnsi="Times New Roman" w:cs="Times New Roman"/>
          <w:sz w:val="24"/>
          <w:szCs w:val="24"/>
        </w:rPr>
        <w:t xml:space="preserve"> outcome under the IGC remains unclear</w:t>
      </w:r>
      <w:r>
        <w:rPr>
          <w:rFonts w:ascii="Times New Roman" w:eastAsia="Times New Roman" w:hAnsi="Times New Roman" w:cs="Times New Roman"/>
          <w:color w:val="000000"/>
          <w:sz w:val="24"/>
          <w:szCs w:val="24"/>
        </w:rPr>
        <w:t xml:space="preserve">, it was deemed prudent by some to articulate their positions once again in this new negotiating process. For others, it was a symbolic exercise to ensure that the major ocean players who are not convinced of the need or the value added of an ILBI remain engaged in the process. Both objectives were largely achieved. As one long-standing delegate observed, “even the most </w:t>
      </w:r>
      <w:proofErr w:type="spellStart"/>
      <w:r>
        <w:rPr>
          <w:rFonts w:ascii="Times New Roman" w:eastAsia="Times New Roman" w:hAnsi="Times New Roman" w:cs="Times New Roman"/>
          <w:color w:val="000000"/>
          <w:sz w:val="24"/>
          <w:szCs w:val="24"/>
        </w:rPr>
        <w:t>skeptical</w:t>
      </w:r>
      <w:proofErr w:type="spellEnd"/>
      <w:r>
        <w:rPr>
          <w:rFonts w:ascii="Times New Roman" w:eastAsia="Times New Roman" w:hAnsi="Times New Roman" w:cs="Times New Roman"/>
          <w:color w:val="000000"/>
          <w:sz w:val="24"/>
          <w:szCs w:val="24"/>
        </w:rPr>
        <w:t xml:space="preserve"> delegations participated quite constructively in this session” (see Earth Negotiations Bulletin, ibid).</w:t>
      </w:r>
    </w:p>
    <w:p w14:paraId="7D4FAB2D"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While there had been some anticipation for</w:t>
      </w:r>
      <w:r>
        <w:rPr>
          <w:rFonts w:ascii="Times New Roman" w:eastAsia="Times New Roman" w:hAnsi="Times New Roman" w:cs="Times New Roman"/>
          <w:sz w:val="24"/>
          <w:szCs w:val="24"/>
        </w:rPr>
        <w:t xml:space="preserve"> a “zero draft” of a treaty for the second session (25 March-5 April 2019), President’s final statement at the end of the Session however talked of preparing “as part of the preparations for the second session of the conference, a document with the aim of facilitating focused discussions and text-based negotiations, containing treaty language and reflecting options concerning the four elements of the package.” (see Earth Negotiations Bulletin, Vol 25, No 178, September 14, 2018, p 2; at </w:t>
      </w:r>
      <w:hyperlink r:id="rId5">
        <w:r>
          <w:rPr>
            <w:rFonts w:ascii="Times New Roman" w:eastAsia="Times New Roman" w:hAnsi="Times New Roman" w:cs="Times New Roman"/>
            <w:sz w:val="24"/>
            <w:szCs w:val="24"/>
          </w:rPr>
          <w:t>http://enb.iisd.org/download/pdf/enb25178e.pdf</w:t>
        </w:r>
      </w:hyperlink>
      <w:r>
        <w:rPr>
          <w:rFonts w:ascii="Times New Roman" w:eastAsia="Times New Roman" w:hAnsi="Times New Roman" w:cs="Times New Roman"/>
          <w:sz w:val="24"/>
          <w:szCs w:val="24"/>
        </w:rPr>
        <w:t xml:space="preserve">). </w:t>
      </w:r>
    </w:p>
    <w:p w14:paraId="7466E20B"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Indeed, such a document was made public on 3 December 2018. As it acknowledged, ‘the present aid to negotiations aims to respond to the request by the Conference. The options presented are based on the discussions held to date in the context of the Conference and </w:t>
      </w:r>
      <w:proofErr w:type="gramStart"/>
      <w:r>
        <w:rPr>
          <w:rFonts w:ascii="Times New Roman" w:eastAsia="Times New Roman" w:hAnsi="Times New Roman" w:cs="Times New Roman"/>
          <w:sz w:val="24"/>
          <w:szCs w:val="24"/>
        </w:rPr>
        <w:t>take into account</w:t>
      </w:r>
      <w:proofErr w:type="gramEnd"/>
      <w:r>
        <w:rPr>
          <w:rFonts w:ascii="Times New Roman" w:eastAsia="Times New Roman" w:hAnsi="Times New Roman" w:cs="Times New Roman"/>
          <w:sz w:val="24"/>
          <w:szCs w:val="24"/>
        </w:rPr>
        <w:t xml:space="preserve"> the discussions in the Preparatory Committee drawing from section III of the report of the Committee (A/AC.287/2017/PC.4/2). The present document attempts to translate ideas and proposals generated during the discussions thus far into treaty text where possible. While not every individual idea or proposal is expressed specifically in the document, the options presented are an attempt to reflect the general thrust of those ideas and proposals’ (President Aid to Negotiations (A/CONF.232/2019/1), para 5).</w:t>
      </w:r>
    </w:p>
    <w:p w14:paraId="29FAB436" w14:textId="77777777" w:rsidR="000E1B39" w:rsidRDefault="000E1B39">
      <w:pPr>
        <w:spacing w:after="0" w:line="276" w:lineRule="auto"/>
        <w:jc w:val="both"/>
        <w:rPr>
          <w:rFonts w:ascii="Times New Roman" w:eastAsia="Times New Roman" w:hAnsi="Times New Roman" w:cs="Times New Roman"/>
          <w:sz w:val="24"/>
          <w:szCs w:val="24"/>
        </w:rPr>
      </w:pPr>
    </w:p>
    <w:p w14:paraId="11E04AF8" w14:textId="77777777" w:rsidR="000E1B39" w:rsidRDefault="00000000">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-Second Session (IGC-2)</w:t>
      </w:r>
    </w:p>
    <w:p w14:paraId="64A8CD48"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Having as background the President’s Aid to Negotiations, delegations discussed at the IGC-2 (25 March -5 April 2019) the options included therein on all the topics identified as the package since 2011 as well as cross-cutting issues, like the institutional arrangements. Other cross-cutting issues, such as dispute settlement, responsibility/liability, and final clauses, were not extensively discussed since delegations were of the view that prior to considering such issues, they first need to agree on the substance of the elements of the package. Admittedly, there was no significant progress on the issues previously identified as points of divergence, while the President’s Aid to Negotiations as such with its numerous options and sub-options proved rather cumbersome and failed to drastically facilitate the discussions.</w:t>
      </w:r>
    </w:p>
    <w:p w14:paraId="3AD81E0B"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reported, </w:t>
      </w:r>
      <w:r>
        <w:rPr>
          <w:rFonts w:ascii="Times New Roman" w:eastAsia="Times New Roman" w:hAnsi="Times New Roman" w:cs="Times New Roman"/>
          <w:color w:val="000000"/>
          <w:sz w:val="24"/>
          <w:szCs w:val="24"/>
        </w:rPr>
        <w:t xml:space="preserve">delegates achieved ‘convergence on a few areas, </w:t>
      </w:r>
      <w:proofErr w:type="gramStart"/>
      <w:r>
        <w:rPr>
          <w:rFonts w:ascii="Times New Roman" w:eastAsia="Times New Roman" w:hAnsi="Times New Roman" w:cs="Times New Roman"/>
          <w:color w:val="000000"/>
          <w:sz w:val="24"/>
          <w:szCs w:val="24"/>
        </w:rPr>
        <w:t>such as:</w:t>
      </w:r>
      <w:proofErr w:type="gramEnd"/>
      <w:r>
        <w:rPr>
          <w:rFonts w:ascii="Times New Roman" w:eastAsia="Times New Roman" w:hAnsi="Times New Roman" w:cs="Times New Roman"/>
          <w:color w:val="000000"/>
          <w:sz w:val="24"/>
          <w:szCs w:val="24"/>
        </w:rPr>
        <w:t xml:space="preserve"> the need to promote coherence, complementarity, and synergies with other frameworks and bodies; benefit-sharing as part of conservation and sustainable use; and EIAs being mutually supportive with other instruments. However, delegates were unable to bridge the gaps on major issues including: the scope of the instrument; whether benefit-sharing would be carried on a monetary or non-monetary basis; and the overarching principles governing the future international legally binding instrument, in particular the common heritage of humankind and the freedom of the high seas </w:t>
      </w:r>
      <w:r>
        <w:rPr>
          <w:rFonts w:ascii="Times New Roman" w:eastAsia="Times New Roman" w:hAnsi="Times New Roman" w:cs="Times New Roman"/>
          <w:sz w:val="24"/>
          <w:szCs w:val="24"/>
        </w:rPr>
        <w:t xml:space="preserve">(see Earth Negotiations Bulletin, Vol 25, No 195, 8 April 2019; p. 1; at </w:t>
      </w:r>
      <w:hyperlink r:id="rId6">
        <w:r>
          <w:rPr>
            <w:rFonts w:ascii="Times New Roman" w:eastAsia="Times New Roman" w:hAnsi="Times New Roman" w:cs="Times New Roman"/>
            <w:color w:val="000000"/>
            <w:sz w:val="24"/>
            <w:szCs w:val="24"/>
          </w:rPr>
          <w:t>https://enb.iisd.org/download/pdf/enb25195e.pdf</w:t>
        </w:r>
      </w:hyperlink>
      <w:r>
        <w:rPr>
          <w:rFonts w:ascii="Times New Roman" w:eastAsia="Times New Roman" w:hAnsi="Times New Roman" w:cs="Times New Roman"/>
          <w:sz w:val="24"/>
          <w:szCs w:val="24"/>
        </w:rPr>
        <w:t>).</w:t>
      </w:r>
    </w:p>
    <w:p w14:paraId="10057280"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came as no surprise that several delegations suggested that prior to the next meeting in August IGC President Rena Lee should prepare and circulate a “no-options” document containing treaty text as well as that it was high time to revise the meeting format, calling for a more informal set-up to facilitate in-depth negotiations. Reacting affirmatively to these suggestions, President Lee noted her intention to provide a concise document, containing treaty language in advance of IGC-3 (“You will see the draft before 25 July,” said Rena Lee in closing remarks), and informed delegates that the format of the meeting would be communicated in advance to facilitate delegations’ preparations (See Earth Negotiations Bulletin, ibid).</w:t>
      </w:r>
    </w:p>
    <w:p w14:paraId="3C065E8F"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DOALOS reports: ‘Noting that delegates are referring to it as a zero draft, she assured them that all proposals would be studied, with the aim of producing a concise document to enable negotiations on the draft treaty. Having acknowledged the views expressed on the various options, she also underscored that she would work to narrow some and eliminate others, and likely follow the structure of a treaty, using similar language. She had heard delegates’ views, she said, adding that she had begun to discuss the organization of work with the Conference bureau in preparations for the third session. In that regard, she would meet with the Secretariat </w:t>
      </w:r>
      <w:r>
        <w:rPr>
          <w:rFonts w:ascii="Times New Roman" w:eastAsia="Times New Roman" w:hAnsi="Times New Roman" w:cs="Times New Roman"/>
          <w:sz w:val="24"/>
          <w:szCs w:val="24"/>
        </w:rPr>
        <w:lastRenderedPageBreak/>
        <w:t>to identify the resources available — and perhaps organize the session around informal, informal negotiations in smaller rooms “where we can drill down into the text”. Within that format, there would always be progress updates to the Plenary. She also stressed that she would work to avoid parallel meetings. However, if they prove necessary, there will be no more than two at a time’ (See Meeting of 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April Coverage, at https://www.un.org/press/en/2019/sea2102.doc.htm).</w:t>
      </w:r>
    </w:p>
    <w:p w14:paraId="5B66676B"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intention of the President to provide at last a ‘zero-draft’, without numerous options, and to break down the negotiations in smaller groups could prove instrumental towards IGC-4 and the 2020 deadline. </w:t>
      </w:r>
    </w:p>
    <w:p w14:paraId="029A5B0D" w14:textId="77777777" w:rsidR="000E1B39" w:rsidRDefault="000E1B39">
      <w:pPr>
        <w:spacing w:after="0" w:line="276" w:lineRule="auto"/>
        <w:jc w:val="both"/>
        <w:rPr>
          <w:rFonts w:ascii="Times New Roman" w:eastAsia="Times New Roman" w:hAnsi="Times New Roman" w:cs="Times New Roman"/>
          <w:sz w:val="24"/>
          <w:szCs w:val="24"/>
        </w:rPr>
      </w:pPr>
    </w:p>
    <w:p w14:paraId="76A3B9C4"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Next Steps </w:t>
      </w:r>
    </w:p>
    <w:p w14:paraId="021A8F51"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-July 2019</w:t>
      </w:r>
      <w:r>
        <w:rPr>
          <w:rFonts w:ascii="Times New Roman" w:eastAsia="Times New Roman" w:hAnsi="Times New Roman" w:cs="Times New Roman"/>
          <w:sz w:val="24"/>
          <w:szCs w:val="24"/>
        </w:rPr>
        <w:t>: The President’s ‘Zero-Draft’ Text is anticipated</w:t>
      </w:r>
    </w:p>
    <w:p w14:paraId="4FF8CB40"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-August 2019</w:t>
      </w:r>
      <w:r>
        <w:rPr>
          <w:rFonts w:ascii="Times New Roman" w:eastAsia="Times New Roman" w:hAnsi="Times New Roman" w:cs="Times New Roman"/>
          <w:sz w:val="24"/>
          <w:szCs w:val="24"/>
        </w:rPr>
        <w:t>: IGC-3</w:t>
      </w:r>
    </w:p>
    <w:p w14:paraId="169A3244"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-First Half 2020</w:t>
      </w:r>
      <w:r>
        <w:rPr>
          <w:rFonts w:ascii="Times New Roman" w:eastAsia="Times New Roman" w:hAnsi="Times New Roman" w:cs="Times New Roman"/>
          <w:sz w:val="24"/>
          <w:szCs w:val="24"/>
        </w:rPr>
        <w:t>: Last IGC Session</w:t>
      </w:r>
    </w:p>
    <w:p w14:paraId="34872748" w14:textId="77777777" w:rsidR="000E1B39" w:rsidRDefault="000E1B39">
      <w:pPr>
        <w:spacing w:line="276" w:lineRule="auto"/>
        <w:jc w:val="both"/>
        <w:rPr>
          <w:rFonts w:ascii="Times New Roman" w:eastAsia="Times New Roman" w:hAnsi="Times New Roman" w:cs="Times New Roman"/>
          <w:sz w:val="24"/>
          <w:szCs w:val="24"/>
        </w:rPr>
      </w:pPr>
    </w:p>
    <w:p w14:paraId="3FFAC10F"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 Substantive Issues Discussed-The Package</w:t>
      </w:r>
    </w:p>
    <w:p w14:paraId="11CD365E" w14:textId="77777777" w:rsidR="000E1B39" w:rsidRDefault="000E1B39">
      <w:pPr>
        <w:spacing w:line="276" w:lineRule="auto"/>
        <w:jc w:val="both"/>
        <w:rPr>
          <w:rFonts w:ascii="Times New Roman" w:eastAsia="Times New Roman" w:hAnsi="Times New Roman" w:cs="Times New Roman"/>
          <w:sz w:val="24"/>
          <w:szCs w:val="24"/>
        </w:rPr>
      </w:pPr>
    </w:p>
    <w:p w14:paraId="08AB666E"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Cross-cutting Issues</w:t>
      </w:r>
    </w:p>
    <w:p w14:paraId="328538DE" w14:textId="77777777" w:rsidR="000E1B39" w:rsidRDefault="00000000">
      <w:pPr>
        <w:spacing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-Relationship with LOSC and other relevant instruments and bodies</w:t>
      </w:r>
    </w:p>
    <w:p w14:paraId="3BE36B40"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preliminary, yet very significant element of the BBNJ negotiations is the relationship of the instrument under negotiation with LOSC and with other relevant instruments and bodies, like Regional Fisheries Management Organizations (RFMOs) (Tladi, 2015, Barnes, 2017). As to the LOSC, the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recommended that the text would state that nothing in the instrument shall prejudice the rights, jurisdiction and duties of States under the Convention. It would further state that the instrument shall be interpreted and applied in the context of and in a manner consistent with the Convention. Such provision is consistent with the other Implementing Agreement under LOSC, the 1995 Fish Stocks Agreement. Indeed, UNGA Res 72/249 ‘reaffirms that the work and results of the conference should be fully consistent with the provisions of the United Nations Convention on the Law of the Sea’ (para 6).</w:t>
      </w:r>
    </w:p>
    <w:p w14:paraId="1E963E7C"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interesting and practically significant is the provision of the above-mentioned UNGA Resolution on the relationship with other instruments, which ‘[r]</w:t>
      </w:r>
      <w:proofErr w:type="spellStart"/>
      <w:r>
        <w:rPr>
          <w:rFonts w:ascii="Times New Roman" w:eastAsia="Times New Roman" w:hAnsi="Times New Roman" w:cs="Times New Roman"/>
          <w:sz w:val="24"/>
          <w:szCs w:val="24"/>
        </w:rPr>
        <w:t>ecognizes</w:t>
      </w:r>
      <w:proofErr w:type="spellEnd"/>
      <w:r>
        <w:rPr>
          <w:rFonts w:ascii="Times New Roman" w:eastAsia="Times New Roman" w:hAnsi="Times New Roman" w:cs="Times New Roman"/>
          <w:sz w:val="24"/>
          <w:szCs w:val="24"/>
        </w:rPr>
        <w:t xml:space="preserve"> that this process and its result should not undermine existing relevant legal instruments and frameworks and relevant global, regional and sectoral bodies’ (para 7). This provision may prove the Achilles Heel of the new agreement, since the need to establish specific mechanisms and measures to facilitate the conservation and sustainable use of marine biodiversity in ABNJ is considered by some delegations as in conflict with the ‘not undermining’ clause of the Resolution. A tension between comprehensiveness and the need not to undermine arises and this has been evident both during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and IGC-1 and 2. Indeed, the non-undermining clause permeates the whole ILBI under negotiation, yet it is more evident in respect of Area-Based Management </w:t>
      </w:r>
      <w:r>
        <w:rPr>
          <w:rFonts w:ascii="Times New Roman" w:eastAsia="Times New Roman" w:hAnsi="Times New Roman" w:cs="Times New Roman"/>
          <w:sz w:val="24"/>
          <w:szCs w:val="24"/>
        </w:rPr>
        <w:lastRenderedPageBreak/>
        <w:t xml:space="preserve">Tools (ABMTs) and Environmental Impact Assessments (EIAs). Practically, not-undermining entails that all the regional bodies and all relevant instruments that have any relevance to BBNJ would continue to manage the use of biodiversity in parallel with the new instrument, which, most likely, would be deprived of any supremacy or any coordinating role in this respect. Subsequently, the </w:t>
      </w:r>
      <w:proofErr w:type="gramStart"/>
      <w:r>
        <w:rPr>
          <w:rFonts w:ascii="Times New Roman" w:eastAsia="Times New Roman" w:hAnsi="Times New Roman" w:cs="Times New Roman"/>
          <w:sz w:val="24"/>
          <w:szCs w:val="24"/>
        </w:rPr>
        <w:t>current status</w:t>
      </w:r>
      <w:proofErr w:type="gramEnd"/>
      <w:r>
        <w:rPr>
          <w:rFonts w:ascii="Times New Roman" w:eastAsia="Times New Roman" w:hAnsi="Times New Roman" w:cs="Times New Roman"/>
          <w:sz w:val="24"/>
          <w:szCs w:val="24"/>
        </w:rPr>
        <w:t xml:space="preserve"> of a fragmented and piecemeal approach to sustainable use of marine biodiversity and the concomitant governance gap would persist. This would be one of the most controversial issues to be resolved in the remaining IGC Sessions and, arguably, would reflect and impact upon the global nature and effectiveness of the new instrument.</w:t>
      </w:r>
    </w:p>
    <w:p w14:paraId="04E7D26C" w14:textId="77777777" w:rsidR="000E1B39" w:rsidRDefault="000E1B39">
      <w:pPr>
        <w:spacing w:after="0" w:line="276" w:lineRule="auto"/>
        <w:jc w:val="both"/>
        <w:rPr>
          <w:rFonts w:ascii="Times New Roman" w:eastAsia="Times New Roman" w:hAnsi="Times New Roman" w:cs="Times New Roman"/>
          <w:sz w:val="24"/>
          <w:szCs w:val="24"/>
        </w:rPr>
      </w:pPr>
    </w:p>
    <w:p w14:paraId="4C8035A0"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Adjacency</w:t>
      </w:r>
      <w:r>
        <w:rPr>
          <w:rFonts w:ascii="Times New Roman" w:eastAsia="Times New Roman" w:hAnsi="Times New Roman" w:cs="Times New Roman"/>
          <w:sz w:val="24"/>
          <w:szCs w:val="24"/>
        </w:rPr>
        <w:t xml:space="preserve"> </w:t>
      </w:r>
    </w:p>
    <w:p w14:paraId="6D962466"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controversial issue in the Prep Com and IGC discussions so far has been the issue of “adjacency”, i.e. what will be the role of adjacent coastal State in the managing of ecosystems in ABNJ, for reasons connected with oceanographic as well as ecological connectivity, including the migratory patterns of animals as well as human activities.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delegations, including the Pacific Small Island Developing States, argued that the principle was needed to ‘address the interest of adjacent coastal states” and that “activities in ABNJ should not impact activities within national jurisdiction.” A particular role for adjacent coastal States is envisaged in designating MPAs as well as in conducting EIAs in ABNJ close to areas of national jurisdiction. Also, delegations advocating for a special role of adjacent States put forth the similar concept of compatibility, i.e. the necessity of adopting measures for the protection of biodiversity in ABNJ that are compatible with those in force in the neighbouring area within national jurisdiction.</w:t>
      </w:r>
    </w:p>
    <w:p w14:paraId="33FF3EC3"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Notably, the LOSC does not include the concept of adjacency, whereas the 1958 Geneva Convention on Fishing did </w:t>
      </w:r>
      <w:proofErr w:type="gramStart"/>
      <w:r>
        <w:rPr>
          <w:rFonts w:ascii="Times New Roman" w:eastAsia="Times New Roman" w:hAnsi="Times New Roman" w:cs="Times New Roman"/>
          <w:sz w:val="24"/>
          <w:szCs w:val="24"/>
        </w:rPr>
        <w:t>make reference</w:t>
      </w:r>
      <w:proofErr w:type="gramEnd"/>
      <w:r>
        <w:rPr>
          <w:rFonts w:ascii="Times New Roman" w:eastAsia="Times New Roman" w:hAnsi="Times New Roman" w:cs="Times New Roman"/>
          <w:sz w:val="24"/>
          <w:szCs w:val="24"/>
        </w:rPr>
        <w:t xml:space="preserve"> to the ‘special interests’ of adjacent coastal States and the need for consultation between the adjacent States and other State parties for the maintenance of marine living resources (see Article 6). Unilateral conservation measures were only exceptionally envisaged (Article 7). On the other, the similar concept of compatibility is found only in Art 7 of the 1995 Fish Stocks Agreement– also strictly related to fisheries. </w:t>
      </w:r>
    </w:p>
    <w:p w14:paraId="62179348"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contrary, the term that the Convention uses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achieve the balance of interests between coastal states and high seas users is “due regard”, which could address the concerns that coastal state have in relation to the issues under discussion. As Oude Elferink rightly underscores, ‘under the LOSC the concept of “due regard” provides the general benchmark for addressing the relationship between coastal States and States carrying out activities in ABNJ. It is submitted that that this also requires including this concept in the ILBI as the benchmark for dealing with the relationship between coastal States and other States. A different approach would detract from the jurisdictional framework contained in the </w:t>
      </w:r>
      <w:proofErr w:type="gramStart"/>
      <w:r>
        <w:rPr>
          <w:rFonts w:ascii="Times New Roman" w:eastAsia="Times New Roman" w:hAnsi="Times New Roman" w:cs="Times New Roman"/>
          <w:sz w:val="24"/>
          <w:szCs w:val="24"/>
        </w:rPr>
        <w:t>LOSC, and</w:t>
      </w:r>
      <w:proofErr w:type="gramEnd"/>
      <w:r>
        <w:rPr>
          <w:rFonts w:ascii="Times New Roman" w:eastAsia="Times New Roman" w:hAnsi="Times New Roman" w:cs="Times New Roman"/>
          <w:sz w:val="24"/>
          <w:szCs w:val="24"/>
        </w:rPr>
        <w:t xml:space="preserve"> would imply a departure from the understanding that the ILBI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fully consistent with the LOSC’ (Oude Elferink, in Freestone 2019, 69-70).</w:t>
      </w:r>
    </w:p>
    <w:p w14:paraId="3D7A2632" w14:textId="77777777" w:rsidR="000E1B39" w:rsidRDefault="000E1B39">
      <w:pPr>
        <w:spacing w:after="0" w:line="276" w:lineRule="auto"/>
        <w:jc w:val="both"/>
        <w:rPr>
          <w:rFonts w:ascii="Times New Roman" w:eastAsia="Times New Roman" w:hAnsi="Times New Roman" w:cs="Times New Roman"/>
          <w:sz w:val="24"/>
          <w:szCs w:val="24"/>
        </w:rPr>
      </w:pPr>
    </w:p>
    <w:p w14:paraId="12181B5E" w14:textId="77777777" w:rsidR="000E1B39" w:rsidRDefault="00000000">
      <w:pPr>
        <w:spacing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-Institutional Arrangements </w:t>
      </w:r>
    </w:p>
    <w:p w14:paraId="41DE9866" w14:textId="77777777" w:rsidR="000E1B39" w:rsidRDefault="00000000">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During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there had been discussions on the institutional arrangements to be included in the ILBI, along with issues of state responsibility/liability and dispute settlement mechanisms. There had been delegations, like Russia and US, proposing that </w:t>
      </w:r>
      <w:r>
        <w:rPr>
          <w:rFonts w:ascii="Times New Roman" w:eastAsia="Times New Roman" w:hAnsi="Times New Roman" w:cs="Times New Roman"/>
          <w:color w:val="000000"/>
          <w:sz w:val="24"/>
          <w:szCs w:val="24"/>
        </w:rPr>
        <w:t xml:space="preserve">institutional </w:t>
      </w:r>
      <w:r>
        <w:rPr>
          <w:rFonts w:ascii="Times New Roman" w:eastAsia="Times New Roman" w:hAnsi="Times New Roman" w:cs="Times New Roman"/>
          <w:color w:val="000000"/>
          <w:sz w:val="24"/>
          <w:szCs w:val="24"/>
        </w:rPr>
        <w:lastRenderedPageBreak/>
        <w:t xml:space="preserve">arrangements should be considered after concluding discussions on substantive elements. Others were more vocal in this regard and proposed the following mechanisms: Conference of the Parties (COP), which will be the decision-making body; and/or another decision-making body assisting COP; a technical/scientific body; Secretariat; a Financial Mechanism and a Clearing-House Mechanism. The latter would function as central repository of all BBNJ data, including dissemination of information, data and knowledge resulting from research relating to MGRs of ABNJ, information relating to ABMTs, including MPAs, such as scientific data, follow-up reports and related decisions taken by competent bodies; information on EIAs, such as by providing a central repository for EIA reports, and information relating to CB&amp;TT, including facilitation of cooperation, information on research programmes, projects and initiatives. </w:t>
      </w:r>
    </w:p>
    <w:p w14:paraId="13896430" w14:textId="77777777" w:rsidR="000E1B39" w:rsidRDefault="00000000">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Notably, in the IGC-1 there was no discussion on such arrangements. Only in IGC-2 there were some discussions on these matters. </w:t>
      </w:r>
      <w:proofErr w:type="gramStart"/>
      <w:r>
        <w:rPr>
          <w:rFonts w:ascii="Times New Roman" w:eastAsia="Times New Roman" w:hAnsi="Times New Roman" w:cs="Times New Roman"/>
          <w:color w:val="000000"/>
          <w:sz w:val="24"/>
          <w:szCs w:val="24"/>
        </w:rPr>
        <w:t>The majority of</w:t>
      </w:r>
      <w:proofErr w:type="gramEnd"/>
      <w:r>
        <w:rPr>
          <w:rFonts w:ascii="Times New Roman" w:eastAsia="Times New Roman" w:hAnsi="Times New Roman" w:cs="Times New Roman"/>
          <w:color w:val="000000"/>
          <w:sz w:val="24"/>
          <w:szCs w:val="24"/>
        </w:rPr>
        <w:t xml:space="preserve"> the delegations agreed on the need to have a Conference of Parties (which, for example, the FSA lacks</w:t>
      </w:r>
      <w:proofErr w:type="gramStart"/>
      <w:r>
        <w:rPr>
          <w:rFonts w:ascii="Times New Roman" w:eastAsia="Times New Roman" w:hAnsi="Times New Roman" w:cs="Times New Roman"/>
          <w:color w:val="000000"/>
          <w:sz w:val="24"/>
          <w:szCs w:val="24"/>
        </w:rPr>
        <w:t>), but</w:t>
      </w:r>
      <w:proofErr w:type="gramEnd"/>
      <w:r>
        <w:rPr>
          <w:rFonts w:ascii="Times New Roman" w:eastAsia="Times New Roman" w:hAnsi="Times New Roman" w:cs="Times New Roman"/>
          <w:color w:val="000000"/>
          <w:sz w:val="24"/>
          <w:szCs w:val="24"/>
        </w:rPr>
        <w:t xml:space="preserve"> disagreed on whether it would have decision-making authority or would just adopt recommendations. Obviously, delegates militating in favour of the regional approach on various issues were calling for the latter option. Only few delegations claimed that there is no need for COP.</w:t>
      </w:r>
    </w:p>
    <w:p w14:paraId="18D544D4" w14:textId="77777777" w:rsidR="000E1B39" w:rsidRDefault="00000000">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With respect to other bodies, they all agreed on the need for a scientific body and a clearing-house mechanism, albeit appeared cautious on the establishment of other bodies. For example, there were calls for the establishment of a Compliance Committee, but many States opposed that idea and preferred to leave this for the next sessions. Similarly, other cross-cutting issues, including liability/responsibility, dispute settlement, final clauses, review and amendment, were parked for the next sessions. It is unavoidable that such issues will be included in the ‘zero-draft’ and thus debated in IGC-3; but their final shape and form is to be decided at the end and </w:t>
      </w:r>
      <w:proofErr w:type="gramStart"/>
      <w:r>
        <w:rPr>
          <w:rFonts w:ascii="Times New Roman" w:eastAsia="Times New Roman" w:hAnsi="Times New Roman" w:cs="Times New Roman"/>
          <w:color w:val="000000"/>
          <w:sz w:val="24"/>
          <w:szCs w:val="24"/>
        </w:rPr>
        <w:t>subsequent to</w:t>
      </w:r>
      <w:proofErr w:type="gramEnd"/>
      <w:r>
        <w:rPr>
          <w:rFonts w:ascii="Times New Roman" w:eastAsia="Times New Roman" w:hAnsi="Times New Roman" w:cs="Times New Roman"/>
          <w:color w:val="000000"/>
          <w:sz w:val="24"/>
          <w:szCs w:val="24"/>
        </w:rPr>
        <w:t xml:space="preserve"> the substantive matters.</w:t>
      </w:r>
    </w:p>
    <w:p w14:paraId="48BE461E" w14:textId="77777777" w:rsidR="000E1B39" w:rsidRDefault="000E1B39">
      <w:pPr>
        <w:spacing w:line="276" w:lineRule="auto"/>
        <w:jc w:val="both"/>
        <w:rPr>
          <w:color w:val="000000"/>
          <w:sz w:val="20"/>
          <w:szCs w:val="20"/>
        </w:rPr>
      </w:pPr>
    </w:p>
    <w:p w14:paraId="4694C337"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Marine Genetic Resources (MGRs)</w:t>
      </w:r>
    </w:p>
    <w:p w14:paraId="5411F869" w14:textId="77777777" w:rsidR="000E1B39" w:rsidRDefault="00000000">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of the key issues in the 2011 “package” is MGRs, including questions on the sharing of benefits. This is probably the most complex and certainly likely to be one of the more controversial aspects of the negotiation, since it is linked with the dilemma on the underpinning legal principle: freedom of the high seas v. common heritage of mankind.</w:t>
      </w:r>
    </w:p>
    <w:p w14:paraId="5073AF68"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Indeed, the role of MGRs in the BBNJ negotiations echoes the central role played by seabed mining in the UNCLOS negotiations. Like seabed mining, ‘bioprospecting’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for MGRs in the ABNJ is believed to be on the cusp of 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major increase in activity, offers the potential of vast profits, and is the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subject of disagreement between developed and developing states,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especially in terms of benefit sharing. At this stage, the economic</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value of MGRs in the ABNJ remains uncertain, and most commercialized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products come from areas within national jurisdiction, but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there is enough optimism to make the governance of MGRs a heated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topic for negotiations (Mossop, 2015). </w:t>
      </w:r>
    </w:p>
    <w:p w14:paraId="011D0BC4"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Against this backdrop, several technologically advanced states noted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need to avoid burdensome regulations and costs that might deter</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industry investment, while developing states pointed out that an open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access and weak benefit-sharing regime would result in all the profits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and potential being scooped up by multinational corporations from the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developed world.</w:t>
      </w:r>
    </w:p>
    <w:p w14:paraId="52590FA8" w14:textId="77777777" w:rsidR="000E1B39" w:rsidRDefault="00000000">
      <w:pPr>
        <w:spacing w:line="276" w:lineRule="auto"/>
        <w:jc w:val="both"/>
        <w:rPr>
          <w:rFonts w:ascii="Times New Roman" w:eastAsia="Times New Roman" w:hAnsi="Times New Roman" w:cs="Times New Roman"/>
          <w:color w:val="000000"/>
          <w:sz w:val="24"/>
          <w:szCs w:val="24"/>
        </w:rPr>
      </w:pPr>
      <w:bookmarkStart w:id="0" w:name="_gjdgxs" w:colFirst="0" w:colLast="0"/>
      <w:bookmarkEnd w:id="0"/>
      <w:r>
        <w:rPr>
          <w:rFonts w:ascii="Times New Roman" w:eastAsia="Times New Roman" w:hAnsi="Times New Roman" w:cs="Times New Roman"/>
          <w:i/>
          <w:sz w:val="24"/>
          <w:szCs w:val="24"/>
        </w:rPr>
        <w:t>-Regime</w:t>
      </w:r>
      <w:r>
        <w:rPr>
          <w:rFonts w:ascii="Times New Roman" w:eastAsia="Times New Roman" w:hAnsi="Times New Roman" w:cs="Times New Roman"/>
          <w:sz w:val="24"/>
          <w:szCs w:val="24"/>
        </w:rPr>
        <w:t>: A central issue in the BBNJ negotiations is the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question of which existing UNCLOS principles apply to </w:t>
      </w:r>
      <w:proofErr w:type="gramStart"/>
      <w:r>
        <w:rPr>
          <w:rFonts w:ascii="Times New Roman" w:eastAsia="Times New Roman" w:hAnsi="Times New Roman" w:cs="Times New Roman"/>
          <w:sz w:val="24"/>
          <w:szCs w:val="24"/>
        </w:rPr>
        <w:t>MGRs</w:t>
      </w:r>
      <w:proofErr w:type="gramEnd"/>
      <w:r>
        <w:rPr>
          <w:rFonts w:ascii="Times New Roman" w:eastAsia="Times New Roman" w:hAnsi="Times New Roman" w:cs="Times New Roman"/>
          <w:sz w:val="24"/>
          <w:szCs w:val="24"/>
        </w:rPr>
        <w:t xml:space="preserve"> and the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activities involved in their exploitation and use: the ‘freedom of the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high seas’ principle or the ‘common heritage of mankind’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principle that underpins the rules on seabed mining and the structure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and mandate of the International Seabed Authority. In the IGC-I, for example, Algeria, speaking on behalf of the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African group, argued that the ‘common heritage’ principle should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apply across the BBNJ agenda, and that its explicit application to</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seabed minerals in UNCLOS was not meant to exclude other resources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in the Area (seabed beyond national jurisdiction), and argued that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when UNCLOS was negotiated we were not aware of the economic value of</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MGRs’. Equally, t</w:t>
      </w:r>
      <w:r>
        <w:rPr>
          <w:rFonts w:ascii="Times New Roman" w:eastAsia="Times New Roman" w:hAnsi="Times New Roman" w:cs="Times New Roman"/>
          <w:color w:val="000000"/>
          <w:sz w:val="24"/>
          <w:szCs w:val="24"/>
        </w:rPr>
        <w:t xml:space="preserve">he G-77/China clarified that common heritage should govern MGR exploitation while high seas freedoms should address access to MGRs under appropriate regulations. On the other, Japan, Russia, and the US militated in favour of the freedom of the high </w:t>
      </w:r>
      <w:proofErr w:type="gramStart"/>
      <w:r>
        <w:rPr>
          <w:rFonts w:ascii="Times New Roman" w:eastAsia="Times New Roman" w:hAnsi="Times New Roman" w:cs="Times New Roman"/>
          <w:color w:val="000000"/>
          <w:sz w:val="24"/>
          <w:szCs w:val="24"/>
        </w:rPr>
        <w:t>seas</w:t>
      </w:r>
      <w:proofErr w:type="gramEnd"/>
      <w:r>
        <w:rPr>
          <w:rFonts w:ascii="Times New Roman" w:eastAsia="Times New Roman" w:hAnsi="Times New Roman" w:cs="Times New Roman"/>
          <w:color w:val="000000"/>
          <w:sz w:val="24"/>
          <w:szCs w:val="24"/>
        </w:rPr>
        <w:t xml:space="preserve"> regime. Notably, the EU took a more pragmatic view and emphasised that the ILBI negotiations do not depend on determining the legal status of </w:t>
      </w:r>
      <w:proofErr w:type="spellStart"/>
      <w:r>
        <w:rPr>
          <w:rFonts w:ascii="Times New Roman" w:eastAsia="Times New Roman" w:hAnsi="Times New Roman" w:cs="Times New Roman"/>
          <w:color w:val="000000"/>
          <w:sz w:val="24"/>
          <w:szCs w:val="24"/>
        </w:rPr>
        <w:t>MGRs.</w:t>
      </w:r>
      <w:proofErr w:type="spellEnd"/>
      <w:r>
        <w:rPr>
          <w:rFonts w:ascii="Times New Roman" w:eastAsia="Times New Roman" w:hAnsi="Times New Roman" w:cs="Times New Roman"/>
          <w:color w:val="000000"/>
          <w:sz w:val="24"/>
          <w:szCs w:val="24"/>
        </w:rPr>
        <w:t xml:space="preserve"> In a similar vein, Norway </w:t>
      </w:r>
      <w:proofErr w:type="spellStart"/>
      <w:r>
        <w:rPr>
          <w:rFonts w:ascii="Times New Roman" w:eastAsia="Times New Roman" w:hAnsi="Times New Roman" w:cs="Times New Roman"/>
          <w:color w:val="000000"/>
          <w:sz w:val="24"/>
          <w:szCs w:val="24"/>
        </w:rPr>
        <w:t>favored</w:t>
      </w:r>
      <w:proofErr w:type="spellEnd"/>
      <w:r>
        <w:rPr>
          <w:rFonts w:ascii="Times New Roman" w:eastAsia="Times New Roman" w:hAnsi="Times New Roman" w:cs="Times New Roman"/>
          <w:color w:val="000000"/>
          <w:sz w:val="24"/>
          <w:szCs w:val="24"/>
        </w:rPr>
        <w:t xml:space="preserve"> a pragmatic, sustainable, fair, and cost-effective regime, considering links with future rules on capacity-building and transfer of technology (CB &amp; TT), avoiding any reference to the underlying principle (</w:t>
      </w:r>
      <w:r>
        <w:rPr>
          <w:rFonts w:ascii="Times New Roman" w:eastAsia="Times New Roman" w:hAnsi="Times New Roman" w:cs="Times New Roman"/>
          <w:sz w:val="24"/>
          <w:szCs w:val="24"/>
        </w:rPr>
        <w:t xml:space="preserve">See Earth Negotiations Bulletin, Vol 25 No. 179, p. 6; at </w:t>
      </w:r>
      <w:hyperlink r:id="rId7">
        <w:r>
          <w:rPr>
            <w:rFonts w:ascii="Times New Roman" w:eastAsia="Times New Roman" w:hAnsi="Times New Roman" w:cs="Times New Roman"/>
            <w:color w:val="0000FF"/>
            <w:sz w:val="24"/>
            <w:szCs w:val="24"/>
            <w:u w:val="single"/>
          </w:rPr>
          <w:t>http://enb.iisd.org/download/pdf/enb25179e.pdf</w:t>
        </w:r>
      </w:hyperlink>
      <w:r>
        <w:rPr>
          <w:rFonts w:ascii="Times New Roman" w:eastAsia="Times New Roman" w:hAnsi="Times New Roman" w:cs="Times New Roman"/>
          <w:sz w:val="24"/>
          <w:szCs w:val="24"/>
        </w:rPr>
        <w:t xml:space="preserve">). Such divergence of views on the underlying principle continued unabated in IGC-2 with States like Vietnam, the Philippines, Thailand, Nepal, Colombia, Iran et al, supporting the common heritage principle and others, like Russia, claiming that it is not in the mandate of IGC to discuss the common heritage principle (only International Seabed Authority has the relevant competence) or calling for a sui generis regime (e.g. Indonesia) (See Earth Negotiations Bulletin, Vol 25, No 187, p. 1, at </w:t>
      </w:r>
      <w:r>
        <w:rPr>
          <w:rFonts w:ascii="Times New Roman" w:eastAsia="Times New Roman" w:hAnsi="Times New Roman" w:cs="Times New Roman"/>
          <w:color w:val="0000FF"/>
          <w:sz w:val="24"/>
          <w:szCs w:val="24"/>
          <w:u w:val="single"/>
        </w:rPr>
        <w:t>http://enb.iisd.org/download/pdf/enb25187e.pdf</w:t>
      </w:r>
      <w:r>
        <w:rPr>
          <w:rFonts w:ascii="Times New Roman" w:eastAsia="Times New Roman" w:hAnsi="Times New Roman" w:cs="Times New Roman"/>
          <w:sz w:val="24"/>
          <w:szCs w:val="24"/>
        </w:rPr>
        <w:t>).</w:t>
      </w:r>
    </w:p>
    <w:p w14:paraId="3DBA7560"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-Scope: </w:t>
      </w:r>
      <w:r>
        <w:rPr>
          <w:rFonts w:ascii="Times New Roman" w:eastAsia="Times New Roman" w:hAnsi="Times New Roman" w:cs="Times New Roman"/>
          <w:color w:val="000000"/>
          <w:sz w:val="24"/>
          <w:szCs w:val="24"/>
        </w:rPr>
        <w:t xml:space="preserve">Discussion is made as the temporal, geographical and the material scope of the ILBI’s provisions on </w:t>
      </w:r>
      <w:proofErr w:type="spellStart"/>
      <w:r>
        <w:rPr>
          <w:rFonts w:ascii="Times New Roman" w:eastAsia="Times New Roman" w:hAnsi="Times New Roman" w:cs="Times New Roman"/>
          <w:color w:val="000000"/>
          <w:sz w:val="24"/>
          <w:szCs w:val="24"/>
        </w:rPr>
        <w:t>MGRs.</w:t>
      </w:r>
      <w:proofErr w:type="spellEnd"/>
      <w:r>
        <w:rPr>
          <w:rFonts w:ascii="Times New Roman" w:eastAsia="Times New Roman" w:hAnsi="Times New Roman" w:cs="Times New Roman"/>
          <w:color w:val="000000"/>
          <w:sz w:val="24"/>
          <w:szCs w:val="24"/>
        </w:rPr>
        <w:t xml:space="preserve"> As to the temporal scope, the question is whether there will be any retroactive application of the ILBI with the EU, the US, and Switzerland proposing to apply the ILBI to MGR collection only after entry into force. As to the material scope, </w:t>
      </w:r>
      <w:r>
        <w:rPr>
          <w:rFonts w:ascii="Times New Roman" w:eastAsia="Times New Roman" w:hAnsi="Times New Roman" w:cs="Times New Roman"/>
          <w:sz w:val="24"/>
          <w:szCs w:val="24"/>
        </w:rPr>
        <w:t xml:space="preserve">MGRs exist in three possible modes: </w:t>
      </w:r>
      <w:r>
        <w:rPr>
          <w:rFonts w:ascii="Times New Roman" w:eastAsia="Times New Roman" w:hAnsi="Times New Roman" w:cs="Times New Roman"/>
          <w:i/>
          <w:sz w:val="24"/>
          <w:szCs w:val="24"/>
        </w:rPr>
        <w:t>in situ</w:t>
      </w:r>
      <w:r>
        <w:rPr>
          <w:rFonts w:ascii="Times New Roman" w:eastAsia="Times New Roman" w:hAnsi="Times New Roman" w:cs="Times New Roman"/>
          <w:sz w:val="24"/>
          <w:szCs w:val="24"/>
        </w:rPr>
        <w:t xml:space="preserve"> (on site in the ocean), </w:t>
      </w:r>
      <w:r>
        <w:rPr>
          <w:rFonts w:ascii="Times New Roman" w:eastAsia="Times New Roman" w:hAnsi="Times New Roman" w:cs="Times New Roman"/>
          <w:i/>
          <w:sz w:val="24"/>
          <w:szCs w:val="24"/>
        </w:rPr>
        <w:t>ex situ</w:t>
      </w:r>
      <w:r>
        <w:rPr>
          <w:rFonts w:ascii="Times New Roman" w:eastAsia="Times New Roman" w:hAnsi="Times New Roman" w:cs="Times New Roman"/>
          <w:sz w:val="24"/>
          <w:szCs w:val="24"/>
        </w:rPr>
        <w:t xml:space="preserve"> (in collections, and no longer in the ocean, for example in gene banks or a biorepository), and </w:t>
      </w:r>
      <w:r>
        <w:rPr>
          <w:rFonts w:ascii="Times New Roman" w:eastAsia="Times New Roman" w:hAnsi="Times New Roman" w:cs="Times New Roman"/>
          <w:i/>
          <w:sz w:val="24"/>
          <w:szCs w:val="24"/>
        </w:rPr>
        <w:t xml:space="preserve">in silico </w:t>
      </w:r>
      <w:r>
        <w:rPr>
          <w:rFonts w:ascii="Times New Roman" w:eastAsia="Times New Roman" w:hAnsi="Times New Roman" w:cs="Times New Roman"/>
          <w:sz w:val="24"/>
          <w:szCs w:val="24"/>
        </w:rPr>
        <w:t xml:space="preserve">MGRs that exist as digital data representing the genetic sequences of interest. Developed and developing states had very different ideas about whether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three modes will be included in the ILBI, including derivatives, as well as about which stages should be subject to access and benefit sharing. Also, a recurring question has been fisheries.</w:t>
      </w:r>
      <w:r>
        <w:rPr>
          <w:rFonts w:ascii="Times New Roman" w:eastAsia="Times New Roman" w:hAnsi="Times New Roman" w:cs="Times New Roman"/>
          <w:color w:val="000000"/>
          <w:sz w:val="24"/>
          <w:szCs w:val="24"/>
        </w:rPr>
        <w:t xml:space="preserve"> </w:t>
      </w:r>
    </w:p>
    <w:p w14:paraId="3535C4E8"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IGC-1, Bangladesh, Indonesia, Switzerland, and Ecuador, amongst others, </w:t>
      </w:r>
      <w:proofErr w:type="spellStart"/>
      <w:r>
        <w:rPr>
          <w:rFonts w:ascii="Times New Roman" w:eastAsia="Times New Roman" w:hAnsi="Times New Roman" w:cs="Times New Roman"/>
          <w:color w:val="000000"/>
          <w:sz w:val="24"/>
          <w:szCs w:val="24"/>
        </w:rPr>
        <w:t>favored</w:t>
      </w:r>
      <w:proofErr w:type="spellEnd"/>
      <w:r>
        <w:rPr>
          <w:rFonts w:ascii="Times New Roman" w:eastAsia="Times New Roman" w:hAnsi="Times New Roman" w:cs="Times New Roman"/>
          <w:color w:val="000000"/>
          <w:sz w:val="24"/>
          <w:szCs w:val="24"/>
        </w:rPr>
        <w:t xml:space="preserve"> including both fish used as a commodity and as a source of MGRs under the ILBI, while Argentina, Colombia, the US, Honduras, Iceland, and the EU opposed this proposition. IUCN, amongst others, urged distinction based on use, rather than purpose of initial taking (see Earth Negotiations Bulletin, </w:t>
      </w:r>
      <w:r>
        <w:rPr>
          <w:rFonts w:ascii="Times New Roman" w:eastAsia="Times New Roman" w:hAnsi="Times New Roman" w:cs="Times New Roman"/>
          <w:sz w:val="24"/>
          <w:szCs w:val="24"/>
        </w:rPr>
        <w:t>Vol 25 No. 179, p. 6</w:t>
      </w:r>
      <w:r>
        <w:rPr>
          <w:rFonts w:ascii="Times New Roman" w:eastAsia="Times New Roman" w:hAnsi="Times New Roman" w:cs="Times New Roman"/>
          <w:color w:val="000000"/>
          <w:sz w:val="24"/>
          <w:szCs w:val="24"/>
        </w:rPr>
        <w:t xml:space="preserve">). </w:t>
      </w:r>
    </w:p>
    <w:p w14:paraId="6ACFDABC"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 the IGC-2, the discussions </w:t>
      </w:r>
      <w:proofErr w:type="gramStart"/>
      <w:r>
        <w:rPr>
          <w:rFonts w:ascii="Times New Roman" w:eastAsia="Times New Roman" w:hAnsi="Times New Roman" w:cs="Times New Roman"/>
          <w:color w:val="000000"/>
          <w:sz w:val="24"/>
          <w:szCs w:val="24"/>
        </w:rPr>
        <w:t>continued on</w:t>
      </w:r>
      <w:proofErr w:type="gramEnd"/>
      <w:r>
        <w:rPr>
          <w:rFonts w:ascii="Times New Roman" w:eastAsia="Times New Roman" w:hAnsi="Times New Roman" w:cs="Times New Roman"/>
          <w:color w:val="000000"/>
          <w:sz w:val="24"/>
          <w:szCs w:val="24"/>
        </w:rPr>
        <w:t xml:space="preserve"> these issues. On the geographical scope, the proposal gaining support was that this should be addressed as a cross-cutting issue; with respect to the temporal scope, the majority of delegations (inter alia Chile, Canada, Iceland, and the US) supported that the instrument should apply to MGRs collected after its entry into force (Earth Negotiations Bulletin, 8 April 2019, p. 3). Concerning the material scope, the debate </w:t>
      </w:r>
      <w:proofErr w:type="gramStart"/>
      <w:r>
        <w:rPr>
          <w:rFonts w:ascii="Times New Roman" w:eastAsia="Times New Roman" w:hAnsi="Times New Roman" w:cs="Times New Roman"/>
          <w:color w:val="000000"/>
          <w:sz w:val="24"/>
          <w:szCs w:val="24"/>
        </w:rPr>
        <w:t>continued on</w:t>
      </w:r>
      <w:proofErr w:type="gramEnd"/>
      <w:r>
        <w:rPr>
          <w:rFonts w:ascii="Times New Roman" w:eastAsia="Times New Roman" w:hAnsi="Times New Roman" w:cs="Times New Roman"/>
          <w:color w:val="000000"/>
          <w:sz w:val="24"/>
          <w:szCs w:val="24"/>
        </w:rPr>
        <w:t xml:space="preserve"> whether fish and other biological resources should be included, with few delegations still claiming that there should be regulation of ‘fish bioprospecting’.</w:t>
      </w:r>
    </w:p>
    <w:p w14:paraId="43075210"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-Access and Benefit-Sharing</w:t>
      </w:r>
      <w:r>
        <w:rPr>
          <w:rFonts w:ascii="Times New Roman" w:eastAsia="Times New Roman" w:hAnsi="Times New Roman" w:cs="Times New Roman"/>
          <w:color w:val="000000"/>
          <w:sz w:val="24"/>
          <w:szCs w:val="24"/>
        </w:rPr>
        <w:t xml:space="preserve">: Developing states in general support a much stronger set of rules to govern access to MGRs, including both non-monetary and monetary benefit sharing and open access data repositories for the dissemination of </w:t>
      </w:r>
      <w:r>
        <w:rPr>
          <w:rFonts w:ascii="Times New Roman" w:eastAsia="Times New Roman" w:hAnsi="Times New Roman" w:cs="Times New Roman"/>
          <w:i/>
          <w:color w:val="000000"/>
          <w:sz w:val="24"/>
          <w:szCs w:val="24"/>
        </w:rPr>
        <w:t>in silico</w:t>
      </w:r>
      <w:r>
        <w:rPr>
          <w:rFonts w:ascii="Times New Roman" w:eastAsia="Times New Roman" w:hAnsi="Times New Roman" w:cs="Times New Roman"/>
          <w:color w:val="000000"/>
          <w:sz w:val="24"/>
          <w:szCs w:val="24"/>
        </w:rPr>
        <w:t xml:space="preserve"> genetic information obtained in ABNJ. They heavily draw inspiration from other instruments relevant to MGRs, like the</w:t>
      </w:r>
      <w:r>
        <w:rPr>
          <w:rFonts w:ascii="Times New Roman" w:eastAsia="Times New Roman" w:hAnsi="Times New Roman" w:cs="Times New Roman"/>
          <w:sz w:val="24"/>
          <w:szCs w:val="24"/>
        </w:rPr>
        <w:t xml:space="preserve"> 2010 Nagoya Protocol to the CBD, which is based on an assumption that biodiversity-rich provider countries will regulate access to genetic resources by making access for the user subject to prior informed consent, 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the International Treaty on Plant Genetic Resources for Food and Agriculture (ITPGRFA), which revolves around a system of facilitated access</w:t>
      </w:r>
      <w:r>
        <w:rPr>
          <w:rFonts w:ascii="Times New Roman" w:eastAsia="Times New Roman" w:hAnsi="Times New Roman" w:cs="Times New Roman"/>
          <w:color w:val="000000"/>
          <w:sz w:val="24"/>
          <w:szCs w:val="24"/>
        </w:rPr>
        <w:t>.</w:t>
      </w:r>
    </w:p>
    <w:p w14:paraId="0AE3FBB8" w14:textId="77777777" w:rsidR="000E1B39"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 the other hand, the EU favours free access to </w:t>
      </w:r>
      <w:r>
        <w:rPr>
          <w:rFonts w:ascii="Times New Roman" w:eastAsia="Times New Roman" w:hAnsi="Times New Roman" w:cs="Times New Roman"/>
          <w:i/>
          <w:color w:val="000000"/>
          <w:sz w:val="24"/>
          <w:szCs w:val="24"/>
        </w:rPr>
        <w:t xml:space="preserve">in situ </w:t>
      </w:r>
      <w:r>
        <w:rPr>
          <w:rFonts w:ascii="Times New Roman" w:eastAsia="Times New Roman" w:hAnsi="Times New Roman" w:cs="Times New Roman"/>
          <w:color w:val="000000"/>
          <w:sz w:val="24"/>
          <w:szCs w:val="24"/>
        </w:rPr>
        <w:t>MGRs, in line with UNCLOS provisions on MSR, and the Republic of Korea, Japan, the US, and the Russian Federation argue for free access in accordance with the high seas’ regime. A viable proposal is put forth by Norway premised on free access, yet expressing willingness to consider notification, with the Intergovernmental Oceanographic Commission (IOC) maintaining a repository. As to benefit-sharing, most developed States call for non-monetary benefit-sharing. Interestingly, the EU suggests focusing on “more readily available and feasible” non-monetary benefit-sharing; considering capacity building and sharing of material, information, and scientific knowledge; and requesting notification after MGR collection in ABNJ, including the possibility of sharing digital sequence information. Also, arguments concerning intellectually property rights and the need not to undermine the role of the World Intellectual Property Organization (WIPO) and relevant trade regime are increasingly made (see also Kirchner, 2010).</w:t>
      </w:r>
    </w:p>
    <w:p w14:paraId="673C7564"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IGC-2, the same arguments in favour and against monetary benefit-sharing were rehearsed, with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States, including group of States like G-77/China underscoring that the benefits should not only be non-monetary, like capacity-building and transfer of technology. Interesting discussion took place with respect to benefit-sharing modalities. For example, Norway </w:t>
      </w:r>
      <w:proofErr w:type="spellStart"/>
      <w:r>
        <w:rPr>
          <w:rFonts w:ascii="Times New Roman" w:eastAsia="Times New Roman" w:hAnsi="Times New Roman" w:cs="Times New Roman"/>
          <w:sz w:val="24"/>
          <w:szCs w:val="24"/>
        </w:rPr>
        <w:t>favored</w:t>
      </w:r>
      <w:proofErr w:type="spellEnd"/>
      <w:r>
        <w:rPr>
          <w:rFonts w:ascii="Times New Roman" w:eastAsia="Times New Roman" w:hAnsi="Times New Roman" w:cs="Times New Roman"/>
          <w:sz w:val="24"/>
          <w:szCs w:val="24"/>
        </w:rPr>
        <w:t xml:space="preserve"> a ‘pragmatic, functional, cost-effective regime for benefit-sharing that promotes innovation; and supported a system of mandatory notification regarding bioprospecting cruises in ABNJ, coupled with a duty to share information in publicly available repositories’ (see Earth Negotiations Bulletin, Vol 25, No 187, p. 2). On the other hand, G-77/China said that voluntary benefit-sharing alone would be insufficient, while Vietnam, Iran et al called for all benefits to be shared on a non-voluntary basis (ibid).</w:t>
      </w:r>
    </w:p>
    <w:p w14:paraId="15707C56" w14:textId="77777777" w:rsidR="000E1B39" w:rsidRDefault="00000000">
      <w:pP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-Way ahead</w:t>
      </w:r>
      <w:r>
        <w:rPr>
          <w:rFonts w:ascii="Times New Roman" w:eastAsia="Times New Roman" w:hAnsi="Times New Roman" w:cs="Times New Roman"/>
          <w:color w:val="000000"/>
          <w:sz w:val="24"/>
          <w:szCs w:val="24"/>
        </w:rPr>
        <w:t xml:space="preserve">: it is to be expected that the debate on the perennial question of the legal principle will last until the very end of the negotiations. If a compromise is reached on the access to MGRs and the benefit-sharing, it is likely that, as the EU and Norway advocate, no reference at all to the legal principle will be included in the ILBI. On the </w:t>
      </w:r>
      <w:r>
        <w:rPr>
          <w:rFonts w:ascii="Times New Roman" w:eastAsia="Times New Roman" w:hAnsi="Times New Roman" w:cs="Times New Roman"/>
          <w:sz w:val="24"/>
          <w:szCs w:val="24"/>
        </w:rPr>
        <w:t>scope, there is s</w:t>
      </w:r>
      <w:r>
        <w:rPr>
          <w:rFonts w:ascii="Times New Roman" w:eastAsia="Times New Roman" w:hAnsi="Times New Roman" w:cs="Times New Roman"/>
          <w:color w:val="000000"/>
          <w:sz w:val="24"/>
          <w:szCs w:val="24"/>
        </w:rPr>
        <w:t>ome convergence on distinguishing fish used as a commodity and as genetic resources, with the ILBI covering only the latter and includi</w:t>
      </w:r>
      <w:r>
        <w:rPr>
          <w:rFonts w:ascii="Times New Roman" w:eastAsia="Times New Roman" w:hAnsi="Times New Roman" w:cs="Times New Roman"/>
          <w:sz w:val="24"/>
          <w:szCs w:val="24"/>
        </w:rPr>
        <w:t xml:space="preserve">ng provisions on change of use. This will also be consistent with the </w:t>
      </w:r>
      <w:r>
        <w:rPr>
          <w:rFonts w:ascii="Times New Roman" w:eastAsia="Times New Roman" w:hAnsi="Times New Roman" w:cs="Times New Roman"/>
          <w:sz w:val="24"/>
          <w:szCs w:val="24"/>
        </w:rPr>
        <w:lastRenderedPageBreak/>
        <w:t>‘non-undermining clause’. In a similar vein, there will be no regulation on Intellectual Property Rights (IPRs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and these will be left to the World Intellectual Property Organization (WIPO). There is also convergence on </w:t>
      </w:r>
      <w:r>
        <w:rPr>
          <w:rFonts w:ascii="Times New Roman" w:eastAsia="Times New Roman" w:hAnsi="Times New Roman" w:cs="Times New Roman"/>
          <w:color w:val="000000"/>
          <w:sz w:val="24"/>
          <w:szCs w:val="24"/>
        </w:rPr>
        <w:t>benefit-sharing as part of the sustainable use of marine biodiversity, the purpose of benefits, and the need for a general provision on cooperation.</w:t>
      </w:r>
    </w:p>
    <w:p w14:paraId="175E9E26"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On the other hand,</w:t>
      </w:r>
      <w:r>
        <w:rPr>
          <w:rFonts w:ascii="Times New Roman" w:eastAsia="Times New Roman" w:hAnsi="Times New Roman" w:cs="Times New Roman"/>
          <w:sz w:val="24"/>
          <w:szCs w:val="24"/>
        </w:rPr>
        <w:t xml:space="preserve"> there is still </w:t>
      </w:r>
      <w:r>
        <w:rPr>
          <w:rFonts w:ascii="Times New Roman" w:eastAsia="Times New Roman" w:hAnsi="Times New Roman" w:cs="Times New Roman"/>
          <w:color w:val="000000"/>
          <w:sz w:val="24"/>
          <w:szCs w:val="24"/>
        </w:rPr>
        <w:t xml:space="preserve">divergence on including </w:t>
      </w:r>
      <w:r>
        <w:rPr>
          <w:rFonts w:ascii="Times New Roman" w:eastAsia="Times New Roman" w:hAnsi="Times New Roman" w:cs="Times New Roman"/>
          <w:i/>
          <w:color w:val="000000"/>
          <w:sz w:val="24"/>
          <w:szCs w:val="24"/>
        </w:rPr>
        <w:t xml:space="preserve">ex situ </w:t>
      </w:r>
      <w:r>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i/>
          <w:color w:val="000000"/>
          <w:sz w:val="24"/>
          <w:szCs w:val="24"/>
        </w:rPr>
        <w:t xml:space="preserve">in silico </w:t>
      </w:r>
      <w:r>
        <w:rPr>
          <w:rFonts w:ascii="Times New Roman" w:eastAsia="Times New Roman" w:hAnsi="Times New Roman" w:cs="Times New Roman"/>
          <w:color w:val="000000"/>
          <w:sz w:val="24"/>
          <w:szCs w:val="24"/>
        </w:rPr>
        <w:t xml:space="preserve">MGRs, digital sequencing information for MGRs, and derivatives. Such issues </w:t>
      </w:r>
      <w:r>
        <w:rPr>
          <w:rFonts w:ascii="Times New Roman" w:eastAsia="Times New Roman" w:hAnsi="Times New Roman" w:cs="Times New Roman"/>
          <w:sz w:val="24"/>
          <w:szCs w:val="24"/>
        </w:rPr>
        <w:t xml:space="preserve">will be settled at the last moment, including the benefit-sharing system, especially whether there will be certain form of monetary benefit-sharing. </w:t>
      </w:r>
      <w:r>
        <w:rPr>
          <w:rFonts w:ascii="Times New Roman" w:eastAsia="Times New Roman" w:hAnsi="Times New Roman" w:cs="Times New Roman"/>
          <w:color w:val="000000"/>
          <w:sz w:val="24"/>
          <w:szCs w:val="24"/>
        </w:rPr>
        <w:t xml:space="preserve">Linked to this is the question whether the benefit-sharing would have a voluntary or mandatory nature as well as the question who shares the benefits and with whom. It </w:t>
      </w:r>
      <w:r>
        <w:rPr>
          <w:rFonts w:ascii="Times New Roman" w:eastAsia="Times New Roman" w:hAnsi="Times New Roman" w:cs="Times New Roman"/>
          <w:sz w:val="24"/>
          <w:szCs w:val="24"/>
        </w:rPr>
        <w:t xml:space="preserve">is highly unlikely that there will be consensus on a </w:t>
      </w:r>
      <w:r>
        <w:rPr>
          <w:rFonts w:ascii="Times New Roman" w:eastAsia="Times New Roman" w:hAnsi="Times New Roman" w:cs="Times New Roman"/>
          <w:color w:val="000000"/>
          <w:sz w:val="24"/>
          <w:szCs w:val="24"/>
        </w:rPr>
        <w:t>monetary benefit-sharing</w:t>
      </w:r>
      <w:r>
        <w:rPr>
          <w:rFonts w:ascii="Times New Roman" w:eastAsia="Times New Roman" w:hAnsi="Times New Roman" w:cs="Times New Roman"/>
          <w:sz w:val="24"/>
          <w:szCs w:val="24"/>
        </w:rPr>
        <w:t>; on the contrary,</w:t>
      </w:r>
      <w:r>
        <w:rPr>
          <w:rFonts w:ascii="Times New Roman" w:eastAsia="Times New Roman" w:hAnsi="Times New Roman" w:cs="Times New Roman"/>
          <w:color w:val="000000"/>
          <w:sz w:val="24"/>
          <w:szCs w:val="24"/>
        </w:rPr>
        <w:t xml:space="preserve"> establishing a trust fund</w:t>
      </w:r>
      <w:r>
        <w:rPr>
          <w:rFonts w:ascii="Times New Roman" w:eastAsia="Times New Roman" w:hAnsi="Times New Roman" w:cs="Times New Roman"/>
          <w:sz w:val="24"/>
          <w:szCs w:val="24"/>
        </w:rPr>
        <w:t xml:space="preserve"> or </w:t>
      </w:r>
      <w:r>
        <w:rPr>
          <w:rFonts w:ascii="Times New Roman" w:eastAsia="Times New Roman" w:hAnsi="Times New Roman" w:cs="Times New Roman"/>
          <w:color w:val="000000"/>
          <w:sz w:val="24"/>
          <w:szCs w:val="24"/>
        </w:rPr>
        <w:t>establishing an easily accessible, non-cumbersome clearinghouse, with guidance from existing framewo</w:t>
      </w:r>
      <w:r>
        <w:rPr>
          <w:rFonts w:ascii="Times New Roman" w:eastAsia="Times New Roman" w:hAnsi="Times New Roman" w:cs="Times New Roman"/>
          <w:sz w:val="24"/>
          <w:szCs w:val="24"/>
        </w:rPr>
        <w:t xml:space="preserve">rks seems more feasible. </w:t>
      </w:r>
    </w:p>
    <w:p w14:paraId="23E5E668" w14:textId="77777777" w:rsidR="000E1B39" w:rsidRDefault="000E1B39">
      <w:pPr>
        <w:spacing w:line="276" w:lineRule="auto"/>
        <w:jc w:val="both"/>
        <w:rPr>
          <w:rFonts w:ascii="Times New Roman" w:eastAsia="Times New Roman" w:hAnsi="Times New Roman" w:cs="Times New Roman"/>
          <w:sz w:val="24"/>
          <w:szCs w:val="24"/>
        </w:rPr>
      </w:pPr>
    </w:p>
    <w:p w14:paraId="45C4EC03" w14:textId="77777777" w:rsidR="000E1B39"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Area Based Management Tools (ABMTs)</w:t>
      </w:r>
    </w:p>
    <w:p w14:paraId="2E9F0CD4" w14:textId="77777777" w:rsidR="000E1B39" w:rsidRDefault="000E1B39">
      <w:pPr>
        <w:jc w:val="both"/>
        <w:rPr>
          <w:rFonts w:ascii="Times New Roman" w:eastAsia="Times New Roman" w:hAnsi="Times New Roman" w:cs="Times New Roman"/>
          <w:b/>
          <w:sz w:val="24"/>
          <w:szCs w:val="24"/>
        </w:rPr>
      </w:pPr>
    </w:p>
    <w:p w14:paraId="26BBDD69"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 Area Based Management Tools (ABMTs) used by the Resolution covers a potentially wide range of issues including marine protected areas or sectoral area restrictions (Thiel, 2003; </w:t>
      </w:r>
      <w:proofErr w:type="spellStart"/>
      <w:r>
        <w:rPr>
          <w:rFonts w:ascii="Times New Roman" w:eastAsia="Times New Roman" w:hAnsi="Times New Roman" w:cs="Times New Roman"/>
          <w:sz w:val="24"/>
          <w:szCs w:val="24"/>
        </w:rPr>
        <w:t>Scovazzi</w:t>
      </w:r>
      <w:proofErr w:type="spellEnd"/>
      <w:r>
        <w:rPr>
          <w:rFonts w:ascii="Times New Roman" w:eastAsia="Times New Roman" w:hAnsi="Times New Roman" w:cs="Times New Roman"/>
          <w:sz w:val="24"/>
          <w:szCs w:val="24"/>
        </w:rPr>
        <w:t xml:space="preserve">, 2004; Molenaar, 2007, Warner, 2017). That said, though, it is telling that most of States are referring solely to MPAs as ABMTs and do not identify other ABMTs. A notable exception is Canada, which has </w:t>
      </w:r>
      <w:proofErr w:type="gramStart"/>
      <w:r>
        <w:rPr>
          <w:rFonts w:ascii="Times New Roman" w:eastAsia="Times New Roman" w:hAnsi="Times New Roman" w:cs="Times New Roman"/>
          <w:sz w:val="24"/>
          <w:szCs w:val="24"/>
        </w:rPr>
        <w:t>made reference</w:t>
      </w:r>
      <w:proofErr w:type="gramEnd"/>
      <w:r>
        <w:rPr>
          <w:rFonts w:ascii="Times New Roman" w:eastAsia="Times New Roman" w:hAnsi="Times New Roman" w:cs="Times New Roman"/>
          <w:sz w:val="24"/>
          <w:szCs w:val="24"/>
        </w:rPr>
        <w:t xml:space="preserve"> to Marine Spatial Planning (MSP) as part of the discussion.</w:t>
      </w:r>
    </w:p>
    <w:p w14:paraId="1029C80F"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Notwithstanding the significance of ABMTs in protecting BBNJ (according to the Sustainable Development Goal 14.5 of 10 per cent of coastal and marine areas should be designated as Marine Protected Areas by 2020), there is no central guidance, e.g. under LOSC, but only a fragmented and sectoral approach. Indeed, the only tools currently available for ABMTs in the ABNJ fall under regional fisheries management organizations (RFMOs), the International Seabed Authority (ISA), and the International Maritime Organization (IMO). Furthermore, only the RFMOs and a regional environmental protection convention (OSPAR) have designated AMBTs beyond national jurisdiction to date (Freestone, 2019). Most RFMO closures are seasonal and/or partial closures to protect vulnerable marine ecosystems (VMEs), spawning areas, and/or juvenile fish. To date, only nine marine protected areas (MPAs) have been designated in ABNJ, including two under the CCAMLR, and seven under the OSPAR Convention (with an eighth open to consultation as of October 2018). Given the sector-specific focus of these instruments and their tendency to be spatially and/or temporally limited (i.e. covering only the seabed or water column, rarely both, and rarely in perpetuity), the conservation community is wary of relying on these mechanisms to build a network of protected areas on the high seas (Freestone, 2019). </w:t>
      </w:r>
    </w:p>
    <w:p w14:paraId="2DECA2CB"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during both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and the IGC so far, several parties and organizations still push for existing regional bodies to be responsible for ABMTs, including Russia and Iceland, as well as the IMO and RFMOs that were present. The issue of whether to give primary authority </w:t>
      </w:r>
      <w:r>
        <w:rPr>
          <w:rFonts w:ascii="Times New Roman" w:eastAsia="Times New Roman" w:hAnsi="Times New Roman" w:cs="Times New Roman"/>
          <w:sz w:val="24"/>
          <w:szCs w:val="24"/>
        </w:rPr>
        <w:lastRenderedPageBreak/>
        <w:t>over designating ABMTs to regional and sectoral bodies or whether to invest this authority in a new or existing global organization is of extreme importance for the future look of the ILBI and very difficult to resolve. Also, it dovetails with the ‘non-undermining clause’ discussed above; it comes as no surprise that the delegations per regional leadership build their arguments on this precise clause.</w:t>
      </w:r>
    </w:p>
    <w:p w14:paraId="6A2E1A30" w14:textId="77777777" w:rsidR="000E1B39" w:rsidRDefault="00000000">
      <w:pPr>
        <w:spacing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ABMTS/MPAs (Designation/Related issues):</w:t>
      </w:r>
    </w:p>
    <w:p w14:paraId="05AF987B"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During both the </w:t>
      </w:r>
      <w:proofErr w:type="spellStart"/>
      <w:r>
        <w:rPr>
          <w:rFonts w:ascii="Times New Roman" w:eastAsia="Times New Roman" w:hAnsi="Times New Roman" w:cs="Times New Roman"/>
          <w:color w:val="000000"/>
          <w:sz w:val="24"/>
          <w:szCs w:val="24"/>
        </w:rPr>
        <w:t>PrepCom</w:t>
      </w:r>
      <w:proofErr w:type="spellEnd"/>
      <w:r>
        <w:rPr>
          <w:rFonts w:ascii="Times New Roman" w:eastAsia="Times New Roman" w:hAnsi="Times New Roman" w:cs="Times New Roman"/>
          <w:color w:val="000000"/>
          <w:sz w:val="24"/>
          <w:szCs w:val="24"/>
        </w:rPr>
        <w:t xml:space="preserve"> and the two IGCs, several States and organizations pushed for existing regional bodies to be responsible for the designation and management of ABMTs, including </w:t>
      </w:r>
      <w:r>
        <w:rPr>
          <w:rFonts w:ascii="Times New Roman" w:eastAsia="Times New Roman" w:hAnsi="Times New Roman" w:cs="Times New Roman"/>
          <w:i/>
          <w:color w:val="000000"/>
          <w:sz w:val="24"/>
          <w:szCs w:val="24"/>
        </w:rPr>
        <w:t>Russia, Japan and Iceland</w:t>
      </w:r>
      <w:r>
        <w:rPr>
          <w:rFonts w:ascii="Times New Roman" w:eastAsia="Times New Roman" w:hAnsi="Times New Roman" w:cs="Times New Roman"/>
          <w:color w:val="000000"/>
          <w:sz w:val="24"/>
          <w:szCs w:val="24"/>
        </w:rPr>
        <w:t>, as well as the</w:t>
      </w:r>
      <w:r>
        <w:rPr>
          <w:rFonts w:ascii="Times New Roman" w:eastAsia="Times New Roman" w:hAnsi="Times New Roman" w:cs="Times New Roman"/>
          <w:i/>
          <w:color w:val="000000"/>
          <w:sz w:val="24"/>
          <w:szCs w:val="24"/>
        </w:rPr>
        <w:t xml:space="preserve"> IMO and RFMOs </w:t>
      </w:r>
      <w:r>
        <w:rPr>
          <w:rFonts w:ascii="Times New Roman" w:eastAsia="Times New Roman" w:hAnsi="Times New Roman" w:cs="Times New Roman"/>
          <w:color w:val="000000"/>
          <w:sz w:val="24"/>
          <w:szCs w:val="24"/>
        </w:rPr>
        <w:t xml:space="preserve">that were present. This seems to many as consistent with the ‘non-undermining’ clause, included in the GA Resolution 72/249 convening the IGC at hand: ‘process and its result should not undermine existing relevant legal instruments and frameworks and relevant global, regional and sectoral bodies’ (para 7). </w:t>
      </w:r>
    </w:p>
    <w:p w14:paraId="3C794F85"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issue of whether to give primary authority over designating ABMTs to regional and sectoral bodies or whether to invest this authority in a new or existing global organization is of extreme importance for the future regulation of ABMTs under ILBI and a very difficult matter to resolve. Evidently, it will have ramifications not only with respect to the identification or designation of future MPAs, but also to the management measures applicable therein as well as to their monitoring and review.</w:t>
      </w:r>
    </w:p>
    <w:p w14:paraId="14EC7AEF"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Currently, the situation is as follows: while some, </w:t>
      </w:r>
      <w:r>
        <w:rPr>
          <w:rFonts w:ascii="Times New Roman" w:eastAsia="Times New Roman" w:hAnsi="Times New Roman" w:cs="Times New Roman"/>
          <w:i/>
          <w:sz w:val="24"/>
          <w:szCs w:val="24"/>
        </w:rPr>
        <w:t>even fewer in IGC-2,</w:t>
      </w:r>
      <w:r>
        <w:rPr>
          <w:rFonts w:ascii="Times New Roman" w:eastAsia="Times New Roman" w:hAnsi="Times New Roman" w:cs="Times New Roman"/>
          <w:sz w:val="24"/>
          <w:szCs w:val="24"/>
        </w:rPr>
        <w:t xml:space="preserve"> states support the idea of a global approach to designing and implementing ABMTs, others aver that regional approaches are already working well, and there is no need to duplicate effort. As a middle ground, there is a movement towards pursuing a “hybrid” approach, which could involve delegating existing regional bodies (e.g. RFMOs or UNEP Regional Seas Programmes) to oversee regions and liaise with a global authority, such as a Conference of Parties for the ILBI. The role of the global authority under this scenario could be to improve coherence in ABMTs by sharing best practices, and/or proposing new sites to the sectoral organizations that would implement them, and only provisionally set out management measures until the regional bodies take full responsibility. </w:t>
      </w:r>
    </w:p>
    <w:p w14:paraId="4F34DF97"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Linked to this is the question of recognition, i.e. whether the COP would have the power to recognise already existing MPAs as part of a global network, should the MPA in question and its management measures meet the threshold criteria set out in the ILBI. This would have as legal consequence that the MPA’s management measures, applicable to date only to the members of the regional body concerned, would now be binding upon all parties to the ILBI.</w:t>
      </w:r>
    </w:p>
    <w:p w14:paraId="3A72899C"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States also discussed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ABMTs should be time-limited and subject to periodic review and adaptive management with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States calling for time-limited ABMTs and an effective monitoring and review system. For example, the G-77/China proposed communication, reporting, and a compliance system based on best available science to be overseen by a scientific/technical body, with the COP deciding on follow up. It was recognised that adaptive closures allow managers to implement in situ changes that can extend a protected area's value in a changing climate, however it is essential to have a well-designed decision-making process in place, based on best available science. In IGC-2, States like the US, Japan </w:t>
      </w:r>
      <w:r>
        <w:rPr>
          <w:rFonts w:ascii="Times New Roman" w:eastAsia="Times New Roman" w:hAnsi="Times New Roman" w:cs="Times New Roman"/>
          <w:sz w:val="24"/>
          <w:szCs w:val="24"/>
        </w:rPr>
        <w:lastRenderedPageBreak/>
        <w:t xml:space="preserve">and Iceland suggested that monitoring and review are the responsibility of relevant global, regional, or sectoral bodies, while the EU, supported by Switzerland, argued that parties should be able to report individually or collectively on implementation measures and the reports should be publicly available, while a follow-up mechanism should be incorporated to monitor the implementation of conservation objectives (see Earth Negotiations Bulletin, Vol 25, No 190, p. 2; at http://enb.iisd.org/download/pdf/enb25190e.pdf) </w:t>
      </w:r>
    </w:p>
    <w:p w14:paraId="5715F2C6" w14:textId="77777777" w:rsidR="000E1B39" w:rsidRDefault="00000000">
      <w:pPr>
        <w:spacing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-Enforcement/Surveillance</w:t>
      </w:r>
    </w:p>
    <w:p w14:paraId="000F6C40"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Strikingly, very few delegations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negotiations to date have </w:t>
      </w:r>
      <w:proofErr w:type="gramStart"/>
      <w:r>
        <w:rPr>
          <w:rFonts w:ascii="Times New Roman" w:eastAsia="Times New Roman" w:hAnsi="Times New Roman" w:cs="Times New Roman"/>
          <w:sz w:val="24"/>
          <w:szCs w:val="24"/>
        </w:rPr>
        <w:t>made reference</w:t>
      </w:r>
      <w:proofErr w:type="gramEnd"/>
      <w:r>
        <w:rPr>
          <w:rFonts w:ascii="Times New Roman" w:eastAsia="Times New Roman" w:hAnsi="Times New Roman" w:cs="Times New Roman"/>
          <w:sz w:val="24"/>
          <w:szCs w:val="24"/>
        </w:rPr>
        <w:t xml:space="preserve"> to the need for surveillance and effective enforcement of MPAs. Notably, also, the term ‘monitoring’ refers solely to the assessment of the efficacy of the measures applied to an MPA and review the need for the continuation of that MPA and the revocation/amendment of the relevant management measures.</w:t>
      </w:r>
    </w:p>
    <w:p w14:paraId="6AB89050"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respect to </w:t>
      </w:r>
      <w:r>
        <w:rPr>
          <w:rFonts w:ascii="Times New Roman" w:eastAsia="Times New Roman" w:hAnsi="Times New Roman" w:cs="Times New Roman"/>
          <w:i/>
          <w:sz w:val="24"/>
          <w:szCs w:val="24"/>
        </w:rPr>
        <w:t>enforcement,</w:t>
      </w:r>
      <w:r>
        <w:rPr>
          <w:rFonts w:ascii="Times New Roman" w:eastAsia="Times New Roman" w:hAnsi="Times New Roman" w:cs="Times New Roman"/>
          <w:sz w:val="24"/>
          <w:szCs w:val="24"/>
        </w:rPr>
        <w:t xml:space="preserve"> in the IGC- 1, for example, Mexico</w:t>
      </w:r>
      <w:r>
        <w:rPr>
          <w:rFonts w:ascii="Times New Roman" w:eastAsia="Times New Roman" w:hAnsi="Times New Roman" w:cs="Times New Roman"/>
          <w:color w:val="000000"/>
          <w:sz w:val="24"/>
          <w:szCs w:val="24"/>
        </w:rPr>
        <w:t xml:space="preserve"> highlighted the key role of the flag State to ensure enforcement of the applicable management measures vis-a-vis vessels flying its flag and suggested exploring whether international organizations and port states could assist in enforcement </w:t>
      </w:r>
      <w:r>
        <w:rPr>
          <w:rFonts w:ascii="Times New Roman" w:eastAsia="Times New Roman" w:hAnsi="Times New Roman" w:cs="Times New Roman"/>
          <w:sz w:val="24"/>
          <w:szCs w:val="24"/>
        </w:rPr>
        <w:t>in this regard; Mauritania spoke of the need for resources to assist the policing and monitoring of ABMTs; Brazil underscored that the responsibility for enforcement should rest with the fag State, while New Zealand marked the need to have enforcement requirements included in the ILBI (Earth Negotiations Bulletin, Vol 25, No 174, at http://enb.iisd.org/download/pdf/enb25174e.pdf).</w:t>
      </w:r>
    </w:p>
    <w:p w14:paraId="45854EB1"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In previous negotiating sessions, including in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there were even fewer delegations flagging up enforcement: e.g. Bangladesh called for MPA enforcement measures; </w:t>
      </w:r>
      <w:r>
        <w:rPr>
          <w:rFonts w:ascii="Times New Roman" w:eastAsia="Times New Roman" w:hAnsi="Times New Roman" w:cs="Times New Roman"/>
          <w:i/>
          <w:sz w:val="24"/>
          <w:szCs w:val="24"/>
        </w:rPr>
        <w:t>Micronesia</w:t>
      </w:r>
      <w:r>
        <w:rPr>
          <w:rFonts w:ascii="Times New Roman" w:eastAsia="Times New Roman" w:hAnsi="Times New Roman" w:cs="Times New Roman"/>
          <w:sz w:val="24"/>
          <w:szCs w:val="24"/>
        </w:rPr>
        <w:t xml:space="preserve"> underscored that putting flag states in charge </w:t>
      </w:r>
      <w:r>
        <w:rPr>
          <w:rFonts w:ascii="Times New Roman" w:eastAsia="Times New Roman" w:hAnsi="Times New Roman" w:cs="Times New Roman"/>
          <w:color w:val="000000"/>
          <w:sz w:val="24"/>
          <w:szCs w:val="24"/>
        </w:rPr>
        <w:t>of what is happening in ABMTs is not likely to be sufficient; High Seas Alliance proposed including enforcement in the MPA’s management measures; and</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Fiji put forth rather vaguely that States should establish, within their respective competences and capacities, effective mechanisms for monitoring, surveillance, control and enforcement of their entities operating in ABNJ.</w:t>
      </w:r>
    </w:p>
    <w:p w14:paraId="2628A68E"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the paucity of discussion on ABMTs’ enforcement, it comes as no surprise that </w:t>
      </w:r>
      <w:proofErr w:type="gramStart"/>
      <w:r>
        <w:rPr>
          <w:rFonts w:ascii="Times New Roman" w:eastAsia="Times New Roman" w:hAnsi="Times New Roman" w:cs="Times New Roman"/>
          <w:sz w:val="24"/>
          <w:szCs w:val="24"/>
        </w:rPr>
        <w:t>particular tools</w:t>
      </w:r>
      <w:proofErr w:type="gramEnd"/>
      <w:r>
        <w:rPr>
          <w:rFonts w:ascii="Times New Roman" w:eastAsia="Times New Roman" w:hAnsi="Times New Roman" w:cs="Times New Roman"/>
          <w:sz w:val="24"/>
          <w:szCs w:val="24"/>
        </w:rPr>
        <w:t xml:space="preserve"> or techniques, let alone the use of Earth Observation Systems, have not been addressed.</w:t>
      </w:r>
    </w:p>
    <w:p w14:paraId="008A6FA7"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Conversely,</w:t>
      </w:r>
      <w:r>
        <w:rPr>
          <w:rFonts w:ascii="Times New Roman" w:eastAsia="Times New Roman" w:hAnsi="Times New Roman" w:cs="Times New Roman"/>
          <w:sz w:val="24"/>
          <w:szCs w:val="24"/>
        </w:rPr>
        <w:t xml:space="preserve"> the potential lack of surveillance and enforcement tools in respect of an MPA has been used to counter the need for a global approach to MPAs. Suffice it to mention </w:t>
      </w:r>
      <w:r>
        <w:rPr>
          <w:rFonts w:ascii="Times New Roman" w:eastAsia="Times New Roman" w:hAnsi="Times New Roman" w:cs="Times New Roman"/>
          <w:color w:val="000000"/>
          <w:sz w:val="24"/>
          <w:szCs w:val="24"/>
        </w:rPr>
        <w:t xml:space="preserve">Japan, echoed by Canada, submitting that while in the majority of RFMOs there are adequate </w:t>
      </w:r>
      <w:r>
        <w:rPr>
          <w:rFonts w:ascii="Times New Roman" w:eastAsia="Times New Roman" w:hAnsi="Times New Roman" w:cs="Times New Roman"/>
          <w:sz w:val="24"/>
          <w:szCs w:val="24"/>
        </w:rPr>
        <w:t>surveillance tools, such as VMS and inspection schemes, in the MPAs under ILBI there would not be such tools, thus making them ‘paper MPAs’.</w:t>
      </w:r>
    </w:p>
    <w:p w14:paraId="59EA19E1"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President’s Aid to Negotiations for IGC-2, Rena Lee included MPA’s enforcement within her options under the ‘Implementation’ section of the relevant Part. In a nutshell, she proposed that:</w:t>
      </w:r>
    </w:p>
    <w:p w14:paraId="04EFC022"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-either the States parties shall ensure compliance by vessels flying their flag and enforcement of the measures adopted with respect to MPAs and shall promote adoption of further measures by the relevant regional </w:t>
      </w:r>
      <w:proofErr w:type="gramStart"/>
      <w:r>
        <w:rPr>
          <w:rFonts w:ascii="Times New Roman" w:eastAsia="Times New Roman" w:hAnsi="Times New Roman" w:cs="Times New Roman"/>
          <w:sz w:val="24"/>
          <w:szCs w:val="24"/>
        </w:rPr>
        <w:t>body;</w:t>
      </w:r>
      <w:proofErr w:type="gramEnd"/>
      <w:r>
        <w:rPr>
          <w:rFonts w:ascii="Times New Roman" w:eastAsia="Times New Roman" w:hAnsi="Times New Roman" w:cs="Times New Roman"/>
          <w:sz w:val="24"/>
          <w:szCs w:val="24"/>
        </w:rPr>
        <w:t xml:space="preserve"> </w:t>
      </w:r>
    </w:p>
    <w:p w14:paraId="7CAA8CCC"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 compliance and enforcement shall be left to the regional bodies.</w:t>
      </w:r>
    </w:p>
    <w:p w14:paraId="35E87402" w14:textId="77777777" w:rsidR="000E1B39" w:rsidRDefault="00000000">
      <w:pPr>
        <w:spacing w:line="276"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Needless to say, the</w:t>
      </w:r>
      <w:proofErr w:type="gramEnd"/>
      <w:r>
        <w:rPr>
          <w:rFonts w:ascii="Times New Roman" w:eastAsia="Times New Roman" w:hAnsi="Times New Roman" w:cs="Times New Roman"/>
          <w:sz w:val="24"/>
          <w:szCs w:val="24"/>
        </w:rPr>
        <w:t xml:space="preserve"> ‘enforcement section’ will depend heavily on the ‘approach’ to the matter of </w:t>
      </w:r>
      <w:proofErr w:type="gramStart"/>
      <w:r>
        <w:rPr>
          <w:rFonts w:ascii="Times New Roman" w:eastAsia="Times New Roman" w:hAnsi="Times New Roman" w:cs="Times New Roman"/>
          <w:sz w:val="24"/>
          <w:szCs w:val="24"/>
        </w:rPr>
        <w:t>MPAs as a whole</w:t>
      </w:r>
      <w:proofErr w:type="gramEnd"/>
      <w:r>
        <w:rPr>
          <w:rFonts w:ascii="Times New Roman" w:eastAsia="Times New Roman" w:hAnsi="Times New Roman" w:cs="Times New Roman"/>
          <w:sz w:val="24"/>
          <w:szCs w:val="24"/>
        </w:rPr>
        <w:t>. With respect to non-State parties to the ILBI, the new President’s Aid to Negotiations alludes to the ‘obligation of cooperation’ to ensure to certain degree that they would not defy the measures within the new ILBI.</w:t>
      </w:r>
    </w:p>
    <w:p w14:paraId="31B73AFB" w14:textId="77777777" w:rsidR="000E1B39"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IGC-2, the issue of enforcement was discussed as essentially a matter of implementation. </w:t>
      </w:r>
      <w:proofErr w:type="gramStart"/>
      <w:r>
        <w:rPr>
          <w:rFonts w:ascii="Times New Roman" w:eastAsia="Times New Roman" w:hAnsi="Times New Roman" w:cs="Times New Roman"/>
          <w:color w:val="000000"/>
          <w:sz w:val="24"/>
          <w:szCs w:val="24"/>
        </w:rPr>
        <w:t>The majority of</w:t>
      </w:r>
      <w:proofErr w:type="gramEnd"/>
      <w:r>
        <w:rPr>
          <w:rFonts w:ascii="Times New Roman" w:eastAsia="Times New Roman" w:hAnsi="Times New Roman" w:cs="Times New Roman"/>
          <w:color w:val="000000"/>
          <w:sz w:val="24"/>
          <w:szCs w:val="24"/>
        </w:rPr>
        <w:t xml:space="preserve"> the delegations </w:t>
      </w:r>
      <w:proofErr w:type="gramStart"/>
      <w:r>
        <w:rPr>
          <w:rFonts w:ascii="Times New Roman" w:eastAsia="Times New Roman" w:hAnsi="Times New Roman" w:cs="Times New Roman"/>
          <w:color w:val="000000"/>
          <w:sz w:val="24"/>
          <w:szCs w:val="24"/>
        </w:rPr>
        <w:t>made reference</w:t>
      </w:r>
      <w:proofErr w:type="gramEnd"/>
      <w:r>
        <w:rPr>
          <w:rFonts w:ascii="Times New Roman" w:eastAsia="Times New Roman" w:hAnsi="Times New Roman" w:cs="Times New Roman"/>
          <w:color w:val="000000"/>
          <w:sz w:val="24"/>
          <w:szCs w:val="24"/>
        </w:rPr>
        <w:t xml:space="preserve"> to the perennial role of flag State to ensure implementation of the respective management measures, with many States underlining that the ILBI should be without prejudice to stricter measures on a national level. On the other hand, States per the regional approach (US, New Zealand, the Republic of Korea, Japan, Norway, and the Russian Federation) underscored the implementation role of existing global, regional, and sectoral bodies. </w:t>
      </w:r>
    </w:p>
    <w:p w14:paraId="5D5E893F" w14:textId="77777777" w:rsidR="000E1B39"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 third parties, there was no discussion of a non-flag State enforcement mechanism, like Article 21 1995 Fish Stocks Agreement (FSA), and the relevant discussion revolved around the duty for non-parties to cooperate (e.g. Japan) (see more at Earth Negotiations Bulletin, Vol 25, No 190, p 1, at http://enb.iisd.org/download/pdf/enb25190e.pdf). </w:t>
      </w:r>
    </w:p>
    <w:p w14:paraId="0EC41C78" w14:textId="77777777" w:rsidR="000E1B39" w:rsidRDefault="000E1B39">
      <w:pPr>
        <w:spacing w:line="276" w:lineRule="auto"/>
        <w:jc w:val="both"/>
        <w:rPr>
          <w:rFonts w:ascii="Times New Roman" w:eastAsia="Times New Roman" w:hAnsi="Times New Roman" w:cs="Times New Roman"/>
          <w:sz w:val="24"/>
          <w:szCs w:val="24"/>
        </w:rPr>
      </w:pPr>
    </w:p>
    <w:p w14:paraId="1484CE42"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-Way Ahead:</w:t>
      </w:r>
      <w:r>
        <w:rPr>
          <w:rFonts w:ascii="Times New Roman" w:eastAsia="Times New Roman" w:hAnsi="Times New Roman" w:cs="Times New Roman"/>
          <w:sz w:val="24"/>
          <w:szCs w:val="24"/>
        </w:rPr>
        <w:t xml:space="preserve"> It is inevitable that the </w:t>
      </w:r>
      <w:proofErr w:type="gramStart"/>
      <w:r>
        <w:rPr>
          <w:rFonts w:ascii="Times New Roman" w:eastAsia="Times New Roman" w:hAnsi="Times New Roman" w:cs="Times New Roman"/>
          <w:sz w:val="24"/>
          <w:szCs w:val="24"/>
        </w:rPr>
        <w:t>final outcome</w:t>
      </w:r>
      <w:proofErr w:type="gramEnd"/>
      <w:r>
        <w:rPr>
          <w:rFonts w:ascii="Times New Roman" w:eastAsia="Times New Roman" w:hAnsi="Times New Roman" w:cs="Times New Roman"/>
          <w:sz w:val="24"/>
          <w:szCs w:val="24"/>
        </w:rPr>
        <w:t xml:space="preserve"> on ABMTs is contingent </w:t>
      </w:r>
      <w:proofErr w:type="gramStart"/>
      <w:r>
        <w:rPr>
          <w:rFonts w:ascii="Times New Roman" w:eastAsia="Times New Roman" w:hAnsi="Times New Roman" w:cs="Times New Roman"/>
          <w:sz w:val="24"/>
          <w:szCs w:val="24"/>
        </w:rPr>
        <w:t>to a large extent</w:t>
      </w:r>
      <w:proofErr w:type="gramEnd"/>
      <w:r>
        <w:rPr>
          <w:rFonts w:ascii="Times New Roman" w:eastAsia="Times New Roman" w:hAnsi="Times New Roman" w:cs="Times New Roman"/>
          <w:sz w:val="24"/>
          <w:szCs w:val="24"/>
        </w:rPr>
        <w:t xml:space="preserve"> on the resolution of the global v. regional approach as well as on the ‘adjacency’ and compatibility questions discussed above. If one could dare a prognosis, the ‘hybrid approach’ appears more likely to be the end solution. It goes without saying that this will be decided as part of the bigger compromise that includes access to MGRs and benefit sharing and the need for more robust technology transfer. Also, most likely, there will be </w:t>
      </w:r>
      <w:proofErr w:type="gramStart"/>
      <w:r>
        <w:rPr>
          <w:rFonts w:ascii="Times New Roman" w:eastAsia="Times New Roman" w:hAnsi="Times New Roman" w:cs="Times New Roman"/>
          <w:sz w:val="24"/>
          <w:szCs w:val="24"/>
        </w:rPr>
        <w:t>particular references</w:t>
      </w:r>
      <w:proofErr w:type="gramEnd"/>
      <w:r>
        <w:rPr>
          <w:rFonts w:ascii="Times New Roman" w:eastAsia="Times New Roman" w:hAnsi="Times New Roman" w:cs="Times New Roman"/>
          <w:sz w:val="24"/>
          <w:szCs w:val="24"/>
        </w:rPr>
        <w:t xml:space="preserve"> to the role of relevant stakeholders, including adjacent coastal States, in designating and managing MPAs.</w:t>
      </w:r>
    </w:p>
    <w:p w14:paraId="45E98953"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important gap seems to be the MPAs surveillance and enforcement, even though, at least insofar as surveillance is concerned, technological advancements offer many tools to this end (drones, satellites etc). On enforcement, it will be the flag State again, as the key user of the high seas, to carry the burden, to hopefully be coupled with an enhanced port-State control. On the relationship with third parties there seems no momentum per establishing a non-flag State enforcement mechanism. Conveniently, many delegations are keen on accepting, instead of such mechanism, a general obligation of cooperation, as the panacea to the problem of third States.</w:t>
      </w:r>
    </w:p>
    <w:p w14:paraId="2B461CB4" w14:textId="77777777" w:rsidR="000E1B39" w:rsidRDefault="000E1B39">
      <w:pPr>
        <w:spacing w:after="0" w:line="276" w:lineRule="auto"/>
        <w:jc w:val="both"/>
        <w:rPr>
          <w:rFonts w:ascii="Times New Roman" w:eastAsia="Times New Roman" w:hAnsi="Times New Roman" w:cs="Times New Roman"/>
          <w:sz w:val="24"/>
          <w:szCs w:val="24"/>
        </w:rPr>
      </w:pPr>
    </w:p>
    <w:p w14:paraId="3BC80047"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Environmental Impact Assessments (EIAs)</w:t>
      </w:r>
    </w:p>
    <w:p w14:paraId="02BF8A4D" w14:textId="77777777" w:rsidR="000E1B39" w:rsidRDefault="000E1B39">
      <w:pPr>
        <w:spacing w:line="276" w:lineRule="auto"/>
        <w:jc w:val="both"/>
        <w:rPr>
          <w:rFonts w:ascii="Times New Roman" w:eastAsia="Times New Roman" w:hAnsi="Times New Roman" w:cs="Times New Roman"/>
          <w:sz w:val="24"/>
          <w:szCs w:val="24"/>
        </w:rPr>
      </w:pPr>
    </w:p>
    <w:p w14:paraId="09294BAC"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Concerns about the need for the conservation of biodiversity in ABNJ are reflected in calls not only for the expansion of MPAs in </w:t>
      </w:r>
      <w:proofErr w:type="gramStart"/>
      <w:r>
        <w:rPr>
          <w:rFonts w:ascii="Times New Roman" w:eastAsia="Times New Roman" w:hAnsi="Times New Roman" w:cs="Times New Roman"/>
          <w:sz w:val="24"/>
          <w:szCs w:val="24"/>
        </w:rPr>
        <w:t>ABNJ, but</w:t>
      </w:r>
      <w:proofErr w:type="gramEnd"/>
      <w:r>
        <w:rPr>
          <w:rFonts w:ascii="Times New Roman" w:eastAsia="Times New Roman" w:hAnsi="Times New Roman" w:cs="Times New Roman"/>
          <w:sz w:val="24"/>
          <w:szCs w:val="24"/>
        </w:rPr>
        <w:t xml:space="preserve"> also calls for a more systematic process for the assessment of human impacts on the open oceans (see Oude Elferink, 2012, Ma, 2016). These assessments are proposed not only for new activities, but there have also been calls for the strategic assessment of existing activities, some of which have increased, and are continuing to increase rapidly. The tools which have been developed at national and regional levels for such </w:t>
      </w:r>
      <w:r>
        <w:rPr>
          <w:rFonts w:ascii="Times New Roman" w:eastAsia="Times New Roman" w:hAnsi="Times New Roman" w:cs="Times New Roman"/>
          <w:sz w:val="24"/>
          <w:szCs w:val="24"/>
        </w:rPr>
        <w:lastRenderedPageBreak/>
        <w:t>assessments are environmental impact assessments (EIA) and strategic environmental assessment (SEA), together known as environmental assessments (EA).</w:t>
      </w:r>
    </w:p>
    <w:p w14:paraId="1048B299" w14:textId="77777777" w:rsidR="000E1B39"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bookmarkStart w:id="1" w:name="_30j0zll" w:colFirst="0" w:colLast="0"/>
      <w:bookmarkEnd w:id="1"/>
      <w:r>
        <w:rPr>
          <w:rFonts w:ascii="Times New Roman" w:eastAsia="Times New Roman" w:hAnsi="Times New Roman" w:cs="Times New Roman"/>
          <w:color w:val="000000"/>
          <w:sz w:val="24"/>
          <w:szCs w:val="24"/>
        </w:rPr>
        <w:t xml:space="preserve">EIA has under Article 204 LOSC as its goal “…to observe, measure, evaluate and analyse, by recognized scientific methods, the risks or effects of pollution of the marine environment.” This phrase however leaves much unclear, which explains why this was one of the elements that needed to be emphasised during these negotiations. Should EIA be required any time an activity takes place in the ABNJ in general, or just when activities have a high risk for environmental harm? Delegations have struggled to define this threshold during the negotiations, and there is no obvious consensus. For example, the African Group suggested adopting the threshold under the Protocol on Environmental Protection to the Antarctic Treaty that refers to ‘minor or transitory impact’, whereas Mexico favoured establishing minimum standards, subjecting any activity with the potential to cause harm to the marine environment to an EIA. On the other hand, China, with the US and others, argued that the Article 206 LOSC provides an EIA threshold, namely the potential to cause substantial pollution or significant and harmful changes to the marine environment, and stated the ILBI could provide guidance on how to define ‘significant and harmful </w:t>
      </w:r>
      <w:proofErr w:type="gramStart"/>
      <w:r>
        <w:rPr>
          <w:rFonts w:ascii="Times New Roman" w:eastAsia="Times New Roman" w:hAnsi="Times New Roman" w:cs="Times New Roman"/>
          <w:color w:val="000000"/>
          <w:sz w:val="24"/>
          <w:szCs w:val="24"/>
        </w:rPr>
        <w:t>changes’</w:t>
      </w:r>
      <w:proofErr w:type="gramEnd"/>
      <w:r>
        <w:rPr>
          <w:rFonts w:ascii="Times New Roman" w:eastAsia="Times New Roman" w:hAnsi="Times New Roman" w:cs="Times New Roman"/>
          <w:color w:val="000000"/>
          <w:sz w:val="24"/>
          <w:szCs w:val="24"/>
        </w:rPr>
        <w:t>.</w:t>
      </w:r>
    </w:p>
    <w:p w14:paraId="4FF84906"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the debate also revolved around Strategic Environmental Assessments (SEAs). There was some argument over what exactly SEAs were and how it related to an EIA where some delegates argued that it was a type of EIA, but one that included </w:t>
      </w:r>
      <w:proofErr w:type="gramStart"/>
      <w:r>
        <w:rPr>
          <w:rFonts w:ascii="Times New Roman" w:eastAsia="Times New Roman" w:hAnsi="Times New Roman" w:cs="Times New Roman"/>
          <w:sz w:val="24"/>
          <w:szCs w:val="24"/>
        </w:rPr>
        <w:t>future prospects</w:t>
      </w:r>
      <w:proofErr w:type="gramEnd"/>
      <w:r>
        <w:rPr>
          <w:rFonts w:ascii="Times New Roman" w:eastAsia="Times New Roman" w:hAnsi="Times New Roman" w:cs="Times New Roman"/>
          <w:sz w:val="24"/>
          <w:szCs w:val="24"/>
        </w:rPr>
        <w:t xml:space="preserve"> as well. Others similarly argued that the difference centred on the fact that EIAs would be developed prior to a proposed project to measure risk and would therefore not include future concerns like SEAs would.</w:t>
      </w:r>
    </w:p>
    <w:p w14:paraId="031657A4" w14:textId="77777777" w:rsidR="000E1B39"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That said, as of yet, i.e. prior to IGC-3, delegations seem to converge on the following points: first, on the principal matter that there is an obligation to conduct an EIA for planned activities under states’ jurisdiction and control that can cause pollution or result in adverse changes to the marine environment, avoiding duplication with existing EIA procedures under relevant instruments, frameworks and bodies. Contrary, EIA should be mutually supportive with other instruments.</w:t>
      </w:r>
    </w:p>
    <w:p w14:paraId="0B2CF251" w14:textId="77777777" w:rsidR="000E1B39"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Second, States agree that EIA reports should indicate sources of information, the environmental record of the proponent, and an environmental management plan. </w:t>
      </w:r>
    </w:p>
    <w:p w14:paraId="5658C8B2" w14:textId="77777777" w:rsidR="000E1B39" w:rsidRDefault="0000000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Third, most states that spoke agreed that there needed to be a clearinghouse mechanism to store EIAs and emphasised that the point of this was to make them publicly available. This public access was cited by many states as vital, and the only condition put upon it was the protection of material related to intellectual property rights or other sensitive information.</w:t>
      </w:r>
    </w:p>
    <w:p w14:paraId="27183923" w14:textId="77777777" w:rsidR="000E1B39" w:rsidRDefault="00000000">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other hand, as was reaffirmed in IGC-2, divergence exists not only in relation to the threshold and criteria for an EIA and the question of SEAs, but also on the options available to consider</w:t>
      </w:r>
      <w:r>
        <w:rPr>
          <w:rFonts w:ascii="Times New Roman" w:eastAsia="Times New Roman" w:hAnsi="Times New Roman" w:cs="Times New Roman"/>
          <w:color w:val="000000"/>
          <w:sz w:val="24"/>
          <w:szCs w:val="24"/>
        </w:rPr>
        <w:t xml:space="preserve"> transboundary impacts, based on activities or impacts, including socio-economic and cultural impacts; on the notification requirements for adjacent coastal states, and on the modalities and degree of internationalization for decision-making, public consultation, compliance, monitoring and review (see Earth Negotiations Bulletin, Vol 25, No 195, p. 11).</w:t>
      </w:r>
    </w:p>
    <w:p w14:paraId="6754AE28" w14:textId="77777777" w:rsidR="000E1B39" w:rsidRDefault="000E1B39">
      <w:pPr>
        <w:spacing w:after="0" w:line="276" w:lineRule="auto"/>
        <w:jc w:val="both"/>
        <w:rPr>
          <w:rFonts w:ascii="Times New Roman" w:eastAsia="Times New Roman" w:hAnsi="Times New Roman" w:cs="Times New Roman"/>
          <w:sz w:val="24"/>
          <w:szCs w:val="24"/>
        </w:rPr>
      </w:pPr>
    </w:p>
    <w:p w14:paraId="36AA2872" w14:textId="77777777" w:rsidR="000E1B39" w:rsidRDefault="00000000">
      <w:pPr>
        <w:numPr>
          <w:ilvl w:val="0"/>
          <w:numId w:val="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Way ahead:</w:t>
      </w:r>
      <w:r>
        <w:rPr>
          <w:rFonts w:ascii="Times New Roman" w:eastAsia="Times New Roman" w:hAnsi="Times New Roman" w:cs="Times New Roman"/>
          <w:sz w:val="24"/>
          <w:szCs w:val="24"/>
        </w:rPr>
        <w:t xml:space="preserve"> it is expected that EIAs will prove less controversial than MGRs and ABMTs, since States agree, in principle, on the obligation to conduct an EIA under article 206 LOSC. </w:t>
      </w:r>
      <w:r>
        <w:rPr>
          <w:rFonts w:ascii="Times New Roman" w:eastAsia="Times New Roman" w:hAnsi="Times New Roman" w:cs="Times New Roman"/>
          <w:sz w:val="24"/>
          <w:szCs w:val="24"/>
        </w:rPr>
        <w:lastRenderedPageBreak/>
        <w:t>The threshold question would most probably be left unresolved, with an abstract reference to the terms used under UNCLOS, while the delegates would agree on an enhanced role of a scientific body and the need for a clearing house mechanism. The role of adjacent coastal States would most probably be mentioned and there would be a requirement of consultation with them, particularly if the activity in question has also effects in areas of national jurisdiction (a potential ‘due regard’ duty).</w:t>
      </w:r>
    </w:p>
    <w:p w14:paraId="38DE772E" w14:textId="77777777" w:rsidR="000E1B39" w:rsidRDefault="000E1B39">
      <w:pPr>
        <w:spacing w:after="0" w:line="276" w:lineRule="auto"/>
        <w:jc w:val="both"/>
        <w:rPr>
          <w:rFonts w:ascii="Times New Roman" w:eastAsia="Times New Roman" w:hAnsi="Times New Roman" w:cs="Times New Roman"/>
          <w:sz w:val="24"/>
          <w:szCs w:val="24"/>
        </w:rPr>
      </w:pPr>
    </w:p>
    <w:p w14:paraId="498EEA6A" w14:textId="77777777" w:rsidR="000E1B39" w:rsidRDefault="00000000">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Capacity-Building and Technology of Transfer (CB &amp; TT).</w:t>
      </w:r>
    </w:p>
    <w:p w14:paraId="0AC3C206" w14:textId="77777777" w:rsidR="000E1B39" w:rsidRDefault="000E1B39">
      <w:pPr>
        <w:spacing w:after="0" w:line="276" w:lineRule="auto"/>
        <w:jc w:val="both"/>
        <w:rPr>
          <w:rFonts w:ascii="Times New Roman" w:eastAsia="Times New Roman" w:hAnsi="Times New Roman" w:cs="Times New Roman"/>
          <w:sz w:val="24"/>
          <w:szCs w:val="24"/>
        </w:rPr>
      </w:pPr>
    </w:p>
    <w:p w14:paraId="12F707AC"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last items in the list of issues to be addressed - but by no means the least important – are those concerning CB &amp; TT. Part XIV of LOSC already obliges States to cooperate either directly or through international organizations. Article 268 </w:t>
      </w:r>
      <w:proofErr w:type="gramStart"/>
      <w:r>
        <w:rPr>
          <w:rFonts w:ascii="Times New Roman" w:eastAsia="Times New Roman" w:hAnsi="Times New Roman" w:cs="Times New Roman"/>
          <w:sz w:val="24"/>
          <w:szCs w:val="24"/>
        </w:rPr>
        <w:t>in particular captures</w:t>
      </w:r>
      <w:proofErr w:type="gramEnd"/>
      <w:r>
        <w:rPr>
          <w:rFonts w:ascii="Times New Roman" w:eastAsia="Times New Roman" w:hAnsi="Times New Roman" w:cs="Times New Roman"/>
          <w:sz w:val="24"/>
          <w:szCs w:val="24"/>
        </w:rPr>
        <w:t xml:space="preserve"> the key issues covered by this concept which are of relevance to the ILBI. It requires that States, directly or through competent international organizations, shall promote: (a) the acquisition, evaluation and dissemination of marine technological knowledge and facilitate access to such information and data; (b) the development of appropriate marine technology; (c) the development of the necessary technological infrastructure to facilitate the transfer of marine technology; (d) the development of human resources through training and education of nationals of developing States and countries and especially the nationals of the least developed among them; (e) international cooperation at all levels, particularly at the regional, subregional and bilateral levels.</w:t>
      </w:r>
    </w:p>
    <w:p w14:paraId="29EDFA66"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said, if Article 268 functioned well, there would be no need for this issue to be included in the 2011 package deal. Indeed, what is needed is to find ways to give teeth to the obligations under Article 268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achieve conservation and sustainable use of marine resources in ABNJ. To achieve this, the new instrument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both develop and strengthen the capacity of the states that have a need and request help, so that they will be able to fulfil their rights and obligations under the new treaty. However, the discussion during the negotiations centred not on this specifically, but instead on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these transfers and capacity building measures should be mandatory or voluntary for states to participate in, and if there were to be money involved.</w:t>
      </w:r>
    </w:p>
    <w:p w14:paraId="29ABD547"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example, Nauru, on behalf of the Pacific Small Island Developing States (PSIDS) emphasised during IGC-1 that they were “…convinced and [had] learned from experience that voluntary funding alone will not suffice”. Other delegates, however, </w:t>
      </w:r>
      <w:r>
        <w:rPr>
          <w:rFonts w:ascii="Times New Roman" w:eastAsia="Times New Roman" w:hAnsi="Times New Roman" w:cs="Times New Roman"/>
          <w:color w:val="000000"/>
          <w:sz w:val="24"/>
          <w:szCs w:val="24"/>
        </w:rPr>
        <w:t xml:space="preserve">including the EU, US, Republic of Korea and Russian Federation </w:t>
      </w:r>
      <w:proofErr w:type="spellStart"/>
      <w:r>
        <w:rPr>
          <w:rFonts w:ascii="Times New Roman" w:eastAsia="Times New Roman" w:hAnsi="Times New Roman" w:cs="Times New Roman"/>
          <w:color w:val="000000"/>
          <w:sz w:val="24"/>
          <w:szCs w:val="24"/>
        </w:rPr>
        <w:t>favor</w:t>
      </w:r>
      <w:proofErr w:type="spellEnd"/>
      <w:r>
        <w:rPr>
          <w:rFonts w:ascii="Times New Roman" w:eastAsia="Times New Roman" w:hAnsi="Times New Roman" w:cs="Times New Roman"/>
          <w:color w:val="000000"/>
          <w:sz w:val="24"/>
          <w:szCs w:val="24"/>
        </w:rPr>
        <w:t xml:space="preserve"> a voluntary approach, highlighting </w:t>
      </w:r>
      <w:r>
        <w:rPr>
          <w:rFonts w:ascii="Times New Roman" w:eastAsia="Times New Roman" w:hAnsi="Times New Roman" w:cs="Times New Roman"/>
          <w:sz w:val="24"/>
          <w:szCs w:val="24"/>
        </w:rPr>
        <w:t>that UNCLOS already provides for capacity building and technology transfer. Developing States however, counter-argued that this would not be enough, and that without a clear obligation on states with associated funding through the BBNJ instrument, the objectives and principles that would be formulated in the final text would not be effective.</w:t>
      </w:r>
    </w:p>
    <w:p w14:paraId="4021BD70"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modalities of CB &amp; TT, th</w:t>
      </w:r>
      <w:r>
        <w:rPr>
          <w:rFonts w:ascii="Times New Roman" w:eastAsia="Times New Roman" w:hAnsi="Times New Roman" w:cs="Times New Roman"/>
          <w:color w:val="000000"/>
          <w:sz w:val="24"/>
          <w:szCs w:val="24"/>
        </w:rPr>
        <w:t xml:space="preserve">e EU stressed that all CB&amp;TT measures should be related to facilities and equipment, human resources and institutional strengthening, and knowledge dissemination, while the G-77/China supported including a list of modalities in the ILBI concerning enhancing technological capacities in MSR, infrastructure, and equipment. Delegates, however, cautioned against undermining or duplicating UNCLOS provisions or </w:t>
      </w:r>
      <w:r>
        <w:rPr>
          <w:rFonts w:ascii="Times New Roman" w:eastAsia="Times New Roman" w:hAnsi="Times New Roman" w:cs="Times New Roman"/>
          <w:color w:val="000000"/>
          <w:sz w:val="24"/>
          <w:szCs w:val="24"/>
        </w:rPr>
        <w:lastRenderedPageBreak/>
        <w:t xml:space="preserve">initiatives under the ISA, and the IOC, recommending coordinated efforts. On what delegates agreed was the need for the </w:t>
      </w:r>
      <w:r>
        <w:rPr>
          <w:rFonts w:ascii="Times New Roman" w:eastAsia="Times New Roman" w:hAnsi="Times New Roman" w:cs="Times New Roman"/>
          <w:sz w:val="24"/>
          <w:szCs w:val="24"/>
        </w:rPr>
        <w:t xml:space="preserve">development of a clearinghouse mechanism and a capacity-building network platform to access and disseminate information. Notably, CARICOM noted that the clearinghouse should be a one-stop-shop, linked to regional or sectoral networks of existing mechanisms, broad in scope, and managed at the global level, with the IOC having a coordinating role (see more in Earth Negotiation Bulletin, Summary of the First </w:t>
      </w:r>
      <w:proofErr w:type="spellStart"/>
      <w:r>
        <w:rPr>
          <w:rFonts w:ascii="Times New Roman" w:eastAsia="Times New Roman" w:hAnsi="Times New Roman" w:cs="Times New Roman"/>
          <w:sz w:val="24"/>
          <w:szCs w:val="24"/>
        </w:rPr>
        <w:t>Session,Vol</w:t>
      </w:r>
      <w:proofErr w:type="spellEnd"/>
      <w:r>
        <w:rPr>
          <w:rFonts w:ascii="Times New Roman" w:eastAsia="Times New Roman" w:hAnsi="Times New Roman" w:cs="Times New Roman"/>
          <w:sz w:val="24"/>
          <w:szCs w:val="24"/>
        </w:rPr>
        <w:t xml:space="preserve"> 25, No 179, pp. 13-14; at </w:t>
      </w:r>
      <w:hyperlink r:id="rId8">
        <w:r>
          <w:rPr>
            <w:rFonts w:ascii="Times New Roman" w:eastAsia="Times New Roman" w:hAnsi="Times New Roman" w:cs="Times New Roman"/>
            <w:sz w:val="24"/>
            <w:szCs w:val="24"/>
          </w:rPr>
          <w:t>http://enb.iisd.org/download/pdf/enb25179e.pdf</w:t>
        </w:r>
      </w:hyperlink>
      <w:r>
        <w:rPr>
          <w:rFonts w:ascii="Times New Roman" w:eastAsia="Times New Roman" w:hAnsi="Times New Roman" w:cs="Times New Roman"/>
          <w:sz w:val="24"/>
          <w:szCs w:val="24"/>
        </w:rPr>
        <w:t xml:space="preserve">). </w:t>
      </w:r>
    </w:p>
    <w:p w14:paraId="696D57D0"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Although capacity building and technology transfer is a separate package, it nevertheless appears to be more of a </w:t>
      </w:r>
      <w:proofErr w:type="gramStart"/>
      <w:r>
        <w:rPr>
          <w:rFonts w:ascii="Times New Roman" w:eastAsia="Times New Roman" w:hAnsi="Times New Roman" w:cs="Times New Roman"/>
          <w:sz w:val="24"/>
          <w:szCs w:val="24"/>
        </w:rPr>
        <w:t>cross cutting</w:t>
      </w:r>
      <w:proofErr w:type="gramEnd"/>
      <w:r>
        <w:rPr>
          <w:rFonts w:ascii="Times New Roman" w:eastAsia="Times New Roman" w:hAnsi="Times New Roman" w:cs="Times New Roman"/>
          <w:sz w:val="24"/>
          <w:szCs w:val="24"/>
        </w:rPr>
        <w:t xml:space="preserve"> issue and for many delegates was one of the most important elements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packages. In fact, CB &amp; TT spilled over into debates about access and benefit sharing related to MGRs as </w:t>
      </w:r>
      <w:proofErr w:type="gramStart"/>
      <w:r>
        <w:rPr>
          <w:rFonts w:ascii="Times New Roman" w:eastAsia="Times New Roman" w:hAnsi="Times New Roman" w:cs="Times New Roman"/>
          <w:sz w:val="24"/>
          <w:szCs w:val="24"/>
        </w:rPr>
        <w:t>well, and</w:t>
      </w:r>
      <w:proofErr w:type="gramEnd"/>
      <w:r>
        <w:rPr>
          <w:rFonts w:ascii="Times New Roman" w:eastAsia="Times New Roman" w:hAnsi="Times New Roman" w:cs="Times New Roman"/>
          <w:sz w:val="24"/>
          <w:szCs w:val="24"/>
        </w:rPr>
        <w:t xml:space="preserve"> were also tied to the implementation of requirements related to marine conservation and impact assessment during the discussions.</w:t>
      </w:r>
      <w:r>
        <w:rPr>
          <w:rFonts w:ascii="Times New Roman" w:eastAsia="Times New Roman" w:hAnsi="Times New Roman" w:cs="Times New Roman"/>
          <w:color w:val="000000"/>
          <w:sz w:val="24"/>
          <w:szCs w:val="24"/>
        </w:rPr>
        <w:t xml:space="preserve"> </w:t>
      </w:r>
    </w:p>
    <w:p w14:paraId="22CEB682" w14:textId="77777777" w:rsidR="000E1B39" w:rsidRDefault="00000000">
      <w:p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 aftermath of IGC-2, convergence has been made, first, on identifying and streamlining the objectives; secondly, on the inclusion in the ILBI of a general obligation on the promotion of cooperation on CB&amp;TT; and third, that there must be a needs-based and country-driven CB&amp;TT. On the other hand, divergence remains on whether CB&amp;TT is voluntary or mandatory; the categorization of states in relation to CB&amp;TT and preferential treatment for CB&amp;TT; the clearinghouse mechanism; CB&amp;TT and its relationship to IPRs; and establishing a funding mechanism (see Earth Observation Bulletin, 8 April 2019, p. 13).</w:t>
      </w:r>
    </w:p>
    <w:p w14:paraId="6F3C5AF0" w14:textId="77777777" w:rsidR="000E1B39" w:rsidRDefault="000E1B39">
      <w:pPr>
        <w:spacing w:after="0" w:line="276" w:lineRule="auto"/>
        <w:jc w:val="both"/>
        <w:rPr>
          <w:rFonts w:ascii="Times New Roman" w:eastAsia="Times New Roman" w:hAnsi="Times New Roman" w:cs="Times New Roman"/>
          <w:sz w:val="24"/>
          <w:szCs w:val="24"/>
        </w:rPr>
      </w:pPr>
    </w:p>
    <w:p w14:paraId="79798E7D"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color w:val="000000"/>
          <w:sz w:val="24"/>
          <w:szCs w:val="24"/>
        </w:rPr>
        <w:t>Way Ahead</w:t>
      </w:r>
      <w:r>
        <w:rPr>
          <w:rFonts w:ascii="Times New Roman" w:eastAsia="Times New Roman" w:hAnsi="Times New Roman" w:cs="Times New Roman"/>
          <w:color w:val="000000"/>
          <w:sz w:val="24"/>
          <w:szCs w:val="24"/>
        </w:rPr>
        <w:t xml:space="preserve">: It is expected that the ILBI will make broad references to the relevant provisions of the UNCLOS, it will underscore the significance of CB &amp; TT in conserving BBNJ and the ensuing obligation of the parties under ILBI; most likely it will include an indicative, non-exhaustive, and flexible list of CB&amp;TT types and modalities that can be updated. Also, reference would be made to the need for a clearinghouse, drawing inspiration from other processes. On the clearinghouse mechanism, this will most probably acquire a central institutional role in the ILBI, as one of the institutional arrangements to be created, including CB &amp; TT data. </w:t>
      </w:r>
    </w:p>
    <w:p w14:paraId="475C416E" w14:textId="77777777" w:rsidR="000E1B39" w:rsidRDefault="000E1B39">
      <w:pPr>
        <w:spacing w:after="0" w:line="276" w:lineRule="auto"/>
        <w:jc w:val="both"/>
        <w:rPr>
          <w:rFonts w:ascii="Times New Roman" w:eastAsia="Times New Roman" w:hAnsi="Times New Roman" w:cs="Times New Roman"/>
          <w:color w:val="000000"/>
          <w:sz w:val="24"/>
          <w:szCs w:val="24"/>
        </w:rPr>
      </w:pPr>
    </w:p>
    <w:p w14:paraId="3946E1B8"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 Concluding Thoughts</w:t>
      </w:r>
    </w:p>
    <w:p w14:paraId="6F4E11A1"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 state of negotiations does not offer us certainty as to how the ILBI would look like and how effective would be. While it is now almost evident that at the end of the day there will be an ILBI adopted by the IGC, even if not at the closure of IGC-4, it is important to be realistic about what a BBNJ treaty can and cannot accomplish within the framework of the agreed upon packages. Despite increasing public and scholarly concern about, and attention to the problem of protection of marine biodiversity, it is not certain whether States will come up with a treaty that effectively and holistically protects BBNJ. National interests of States, including adjacent coastal States, the non-undermining clause, and the reluctance of regional bodies to compromise their powers, make us look the glass half-empty. In addition, it is notable that to date there is hardly any discussion on the institutional coordination of the all the competent international and regional bodies as well as scant reference to surveillance and enforcement. In sum, there is serious risk that the final document, when it is adopted, will be a very water-</w:t>
      </w:r>
      <w:r>
        <w:rPr>
          <w:rFonts w:ascii="Times New Roman" w:eastAsia="Times New Roman" w:hAnsi="Times New Roman" w:cs="Times New Roman"/>
          <w:sz w:val="24"/>
          <w:szCs w:val="24"/>
        </w:rPr>
        <w:lastRenderedPageBreak/>
        <w:t xml:space="preserve">downed agreement, which may not be a ‘paper treaty’, but not close to the initial aspirations of the international community, especially the NGOs, in this regard. </w:t>
      </w:r>
    </w:p>
    <w:p w14:paraId="210739C3" w14:textId="77777777" w:rsidR="000E1B39" w:rsidRDefault="000E1B39">
      <w:pPr>
        <w:spacing w:after="0" w:line="276" w:lineRule="auto"/>
        <w:jc w:val="both"/>
        <w:rPr>
          <w:rFonts w:ascii="Times New Roman" w:eastAsia="Times New Roman" w:hAnsi="Times New Roman" w:cs="Times New Roman"/>
          <w:sz w:val="24"/>
          <w:szCs w:val="24"/>
        </w:rPr>
      </w:pPr>
    </w:p>
    <w:p w14:paraId="2D3FB373" w14:textId="77777777" w:rsidR="000E1B39" w:rsidRDefault="00000000">
      <w:pPr>
        <w:spacing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Efthymios Papastavridis</w:t>
      </w:r>
    </w:p>
    <w:p w14:paraId="7FD412CC" w14:textId="77777777" w:rsidR="000E1B39" w:rsidRDefault="000E1B39">
      <w:pPr>
        <w:jc w:val="both"/>
        <w:rPr>
          <w:rFonts w:ascii="Times New Roman" w:eastAsia="Times New Roman" w:hAnsi="Times New Roman" w:cs="Times New Roman"/>
          <w:sz w:val="20"/>
          <w:szCs w:val="20"/>
        </w:rPr>
      </w:pPr>
    </w:p>
    <w:p w14:paraId="05E21C04" w14:textId="77777777" w:rsidR="000E1B39" w:rsidRDefault="000E1B39">
      <w:pPr>
        <w:jc w:val="both"/>
        <w:rPr>
          <w:rFonts w:ascii="Times New Roman" w:eastAsia="Times New Roman" w:hAnsi="Times New Roman" w:cs="Times New Roman"/>
          <w:sz w:val="20"/>
          <w:szCs w:val="20"/>
        </w:rPr>
      </w:pPr>
    </w:p>
    <w:p w14:paraId="4E597B53" w14:textId="77777777" w:rsidR="000E1B39" w:rsidRDefault="000E1B39">
      <w:pPr>
        <w:jc w:val="both"/>
        <w:rPr>
          <w:rFonts w:ascii="Times New Roman" w:eastAsia="Times New Roman" w:hAnsi="Times New Roman" w:cs="Times New Roman"/>
          <w:sz w:val="20"/>
          <w:szCs w:val="20"/>
        </w:rPr>
      </w:pPr>
    </w:p>
    <w:p w14:paraId="59DD0FFE" w14:textId="77777777" w:rsidR="000E1B39" w:rsidRDefault="00000000">
      <w:pPr>
        <w:pBdr>
          <w:top w:val="nil"/>
          <w:left w:val="nil"/>
          <w:bottom w:val="nil"/>
          <w:right w:val="nil"/>
          <w:between w:val="nil"/>
        </w:pBdr>
        <w:spacing w:after="0" w:line="276" w:lineRule="auto"/>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Annex </w:t>
      </w:r>
    </w:p>
    <w:p w14:paraId="10BB723F" w14:textId="77777777" w:rsidR="000E1B39" w:rsidRDefault="000E1B39">
      <w:pPr>
        <w:pBdr>
          <w:top w:val="nil"/>
          <w:left w:val="nil"/>
          <w:bottom w:val="nil"/>
          <w:right w:val="nil"/>
          <w:between w:val="nil"/>
        </w:pBdr>
        <w:spacing w:after="0" w:line="276" w:lineRule="auto"/>
        <w:ind w:left="720"/>
        <w:rPr>
          <w:rFonts w:ascii="Times New Roman" w:eastAsia="Times New Roman" w:hAnsi="Times New Roman" w:cs="Times New Roman"/>
          <w:color w:val="000000"/>
          <w:sz w:val="24"/>
          <w:szCs w:val="24"/>
        </w:rPr>
      </w:pPr>
    </w:p>
    <w:tbl>
      <w:tblPr>
        <w:tblStyle w:val="a"/>
        <w:tblW w:w="926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3"/>
        <w:gridCol w:w="5803"/>
        <w:gridCol w:w="2262"/>
      </w:tblGrid>
      <w:tr w:rsidR="000E1B39" w14:paraId="630F536E" w14:textId="77777777">
        <w:tc>
          <w:tcPr>
            <w:tcW w:w="1203" w:type="dxa"/>
          </w:tcPr>
          <w:p w14:paraId="021A8EBE"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2004</w:t>
            </w:r>
          </w:p>
        </w:tc>
        <w:tc>
          <w:tcPr>
            <w:tcW w:w="5803" w:type="dxa"/>
          </w:tcPr>
          <w:p w14:paraId="4FE2B6C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 General Assembly established the Ad Hoc Open-ended Informal Working Group to study issues relating to the conservation and sustainable use of marine biological diversity beyond areas of national jurisdiction (Working Group)</w:t>
            </w:r>
          </w:p>
        </w:tc>
        <w:tc>
          <w:tcPr>
            <w:tcW w:w="2262" w:type="dxa"/>
          </w:tcPr>
          <w:p w14:paraId="478C0E59"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UNGA Res 59/24</w:t>
            </w:r>
          </w:p>
        </w:tc>
      </w:tr>
      <w:tr w:rsidR="000E1B39" w14:paraId="36A47E2E" w14:textId="77777777">
        <w:tc>
          <w:tcPr>
            <w:tcW w:w="1203" w:type="dxa"/>
          </w:tcPr>
          <w:p w14:paraId="5E00A0C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2006</w:t>
            </w:r>
          </w:p>
          <w:p w14:paraId="59245811"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13-17 Feb 2006)</w:t>
            </w:r>
          </w:p>
        </w:tc>
        <w:tc>
          <w:tcPr>
            <w:tcW w:w="5803" w:type="dxa"/>
          </w:tcPr>
          <w:p w14:paraId="62536E59"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First Meeting of the Working Group</w:t>
            </w:r>
          </w:p>
        </w:tc>
        <w:tc>
          <w:tcPr>
            <w:tcW w:w="2262" w:type="dxa"/>
          </w:tcPr>
          <w:p w14:paraId="35BD34E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Report is contained in document A/61/</w:t>
            </w:r>
            <w:proofErr w:type="gramStart"/>
            <w:r>
              <w:rPr>
                <w:rFonts w:ascii="Times New Roman" w:eastAsia="Times New Roman" w:hAnsi="Times New Roman" w:cs="Times New Roman"/>
                <w:color w:val="000000"/>
                <w:sz w:val="24"/>
                <w:szCs w:val="24"/>
              </w:rPr>
              <w:t>65  (</w:t>
            </w:r>
            <w:proofErr w:type="gramEnd"/>
            <w:r>
              <w:rPr>
                <w:rFonts w:ascii="Times New Roman" w:eastAsia="Times New Roman" w:hAnsi="Times New Roman" w:cs="Times New Roman"/>
                <w:color w:val="000000"/>
                <w:sz w:val="24"/>
                <w:szCs w:val="24"/>
              </w:rPr>
              <w:t>Letter Addressed to the President of the GA)</w:t>
            </w:r>
          </w:p>
        </w:tc>
      </w:tr>
      <w:tr w:rsidR="000E1B39" w14:paraId="362360F9" w14:textId="77777777">
        <w:tc>
          <w:tcPr>
            <w:tcW w:w="1203" w:type="dxa"/>
          </w:tcPr>
          <w:p w14:paraId="5F897DE1"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2008</w:t>
            </w:r>
          </w:p>
          <w:p w14:paraId="38AF1268"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28 April-2 May 2008)</w:t>
            </w:r>
          </w:p>
        </w:tc>
        <w:tc>
          <w:tcPr>
            <w:tcW w:w="5803" w:type="dxa"/>
          </w:tcPr>
          <w:p w14:paraId="2F61E850"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Second Meeting of the Working Group</w:t>
            </w:r>
          </w:p>
        </w:tc>
        <w:tc>
          <w:tcPr>
            <w:tcW w:w="2262" w:type="dxa"/>
          </w:tcPr>
          <w:p w14:paraId="5A1A184E"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Report is contained in document A/63/79 (Letter addressed to the President of the GA)</w:t>
            </w:r>
          </w:p>
        </w:tc>
      </w:tr>
      <w:tr w:rsidR="000E1B39" w14:paraId="045CAF37" w14:textId="77777777">
        <w:tc>
          <w:tcPr>
            <w:tcW w:w="1203" w:type="dxa"/>
          </w:tcPr>
          <w:p w14:paraId="064BF4D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2010</w:t>
            </w:r>
          </w:p>
          <w:p w14:paraId="2AFDBC45"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1-5 February 2010)</w:t>
            </w:r>
          </w:p>
        </w:tc>
        <w:tc>
          <w:tcPr>
            <w:tcW w:w="5803" w:type="dxa"/>
          </w:tcPr>
          <w:p w14:paraId="632C71D0"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Third Meeting of the Working Group</w:t>
            </w:r>
          </w:p>
        </w:tc>
        <w:tc>
          <w:tcPr>
            <w:tcW w:w="2262" w:type="dxa"/>
          </w:tcPr>
          <w:p w14:paraId="3B173518"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outcome of the third meeting is contained in document A/65/68 (Letter addressed to the President of the GA).</w:t>
            </w:r>
          </w:p>
        </w:tc>
      </w:tr>
      <w:tr w:rsidR="000E1B39" w14:paraId="371298FD" w14:textId="77777777">
        <w:tc>
          <w:tcPr>
            <w:tcW w:w="1203" w:type="dxa"/>
          </w:tcPr>
          <w:p w14:paraId="72BA8E1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2011</w:t>
            </w:r>
          </w:p>
          <w:p w14:paraId="79EB1D7D"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31 May-3 June 2011)</w:t>
            </w:r>
          </w:p>
        </w:tc>
        <w:tc>
          <w:tcPr>
            <w:tcW w:w="5803" w:type="dxa"/>
          </w:tcPr>
          <w:p w14:paraId="4BD749B5"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Fourth Meeting of the Working Group</w:t>
            </w:r>
          </w:p>
          <w:p w14:paraId="1D3383FD" w14:textId="77777777" w:rsidR="000E1B39"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meeting recommended, inter alia, that: </w:t>
            </w:r>
          </w:p>
          <w:p w14:paraId="5C5B559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A process be initiated, by the General Assembly, with a view to ensuring that the legal framework for the conservation and sustainable use of marine biodiversity in areas beyond national jurisdiction effectively addresses those issues by identifying gaps and ways forward, including through the implementation of existing instruments and the possible development of a multilateral agreement under </w:t>
            </w:r>
            <w:proofErr w:type="gramStart"/>
            <w:r>
              <w:rPr>
                <w:rFonts w:ascii="Times New Roman" w:eastAsia="Times New Roman" w:hAnsi="Times New Roman" w:cs="Times New Roman"/>
                <w:color w:val="000000"/>
                <w:sz w:val="24"/>
                <w:szCs w:val="24"/>
              </w:rPr>
              <w:t>UNCLOS;</w:t>
            </w:r>
            <w:proofErr w:type="gramEnd"/>
            <w:r>
              <w:rPr>
                <w:rFonts w:ascii="Times New Roman" w:eastAsia="Times New Roman" w:hAnsi="Times New Roman" w:cs="Times New Roman"/>
                <w:color w:val="000000"/>
                <w:sz w:val="24"/>
                <w:szCs w:val="24"/>
              </w:rPr>
              <w:t xml:space="preserve"> </w:t>
            </w:r>
          </w:p>
          <w:p w14:paraId="36EEF259"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(b) This process would address the conservation and sustainable use of marine biodiversity in areas beyond national jurisdiction</w:t>
            </w:r>
            <w:proofErr w:type="gramStart"/>
            <w:r>
              <w:rPr>
                <w:rFonts w:ascii="Times New Roman" w:eastAsia="Times New Roman" w:hAnsi="Times New Roman" w:cs="Times New Roman"/>
                <w:color w:val="000000"/>
                <w:sz w:val="24"/>
                <w:szCs w:val="24"/>
              </w:rPr>
              <w:t>, in particular, together</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and as a whole, marine</w:t>
            </w:r>
            <w:proofErr w:type="gramEnd"/>
            <w:r>
              <w:rPr>
                <w:rFonts w:ascii="Times New Roman" w:eastAsia="Times New Roman" w:hAnsi="Times New Roman" w:cs="Times New Roman"/>
                <w:color w:val="000000"/>
                <w:sz w:val="24"/>
                <w:szCs w:val="24"/>
              </w:rPr>
              <w:t xml:space="preserve"> genetic resources, including questions on the sharing of benefits, measures such as area-based management tools, including marine protected areas, and environmental impact assessments, capacity-building and the transfer of marine </w:t>
            </w:r>
            <w:proofErr w:type="gramStart"/>
            <w:r>
              <w:rPr>
                <w:rFonts w:ascii="Times New Roman" w:eastAsia="Times New Roman" w:hAnsi="Times New Roman" w:cs="Times New Roman"/>
                <w:color w:val="000000"/>
                <w:sz w:val="24"/>
                <w:szCs w:val="24"/>
              </w:rPr>
              <w:t>technology;</w:t>
            </w:r>
            <w:proofErr w:type="gramEnd"/>
            <w:r>
              <w:rPr>
                <w:rFonts w:ascii="Times New Roman" w:eastAsia="Times New Roman" w:hAnsi="Times New Roman" w:cs="Times New Roman"/>
                <w:color w:val="000000"/>
                <w:sz w:val="24"/>
                <w:szCs w:val="24"/>
              </w:rPr>
              <w:t xml:space="preserve"> </w:t>
            </w:r>
          </w:p>
          <w:p w14:paraId="07D4032C"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This process would take place: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in the existing Working Group; and (ii) in the format of intersessional workshops aimed at improving understanding of the issues and clarifying key questions as an input to the work of the Working Group;</w:t>
            </w:r>
          </w:p>
        </w:tc>
        <w:tc>
          <w:tcPr>
            <w:tcW w:w="2262" w:type="dxa"/>
          </w:tcPr>
          <w:p w14:paraId="6B8A635B"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outcome of the meeting is contained in document A/66/119 (Letter Addressed to the President of the GA).</w:t>
            </w:r>
          </w:p>
        </w:tc>
      </w:tr>
      <w:tr w:rsidR="000E1B39" w14:paraId="17354BFA" w14:textId="77777777">
        <w:tc>
          <w:tcPr>
            <w:tcW w:w="1203" w:type="dxa"/>
          </w:tcPr>
          <w:p w14:paraId="5F83F05C"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2012</w:t>
            </w:r>
          </w:p>
          <w:p w14:paraId="63A8DA1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7-11 May 2012)</w:t>
            </w:r>
          </w:p>
        </w:tc>
        <w:tc>
          <w:tcPr>
            <w:tcW w:w="5803" w:type="dxa"/>
          </w:tcPr>
          <w:p w14:paraId="5FC3173E"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Fifth Meeting of the Working Group (following the recommendations of the Working Group at its Fourth Meeting)</w:t>
            </w:r>
          </w:p>
          <w:p w14:paraId="5A5F8787"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meeting recommended to hold two intersessional workshops on marine genetic resources and on conservation and management tools, including area-based management and environmental impact assessments</w:t>
            </w:r>
          </w:p>
        </w:tc>
        <w:tc>
          <w:tcPr>
            <w:tcW w:w="2262" w:type="dxa"/>
          </w:tcPr>
          <w:p w14:paraId="1DDF365D"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outcome of the meeting is contained in document A/67/95 (Letter Addressed to the President of the GA).</w:t>
            </w:r>
          </w:p>
        </w:tc>
      </w:tr>
      <w:tr w:rsidR="000E1B39" w14:paraId="4542D386" w14:textId="77777777">
        <w:tc>
          <w:tcPr>
            <w:tcW w:w="1203" w:type="dxa"/>
          </w:tcPr>
          <w:p w14:paraId="72B0868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2013</w:t>
            </w:r>
          </w:p>
          <w:p w14:paraId="792567D7"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2-3 May and 6-7 May 2013)</w:t>
            </w:r>
          </w:p>
        </w:tc>
        <w:tc>
          <w:tcPr>
            <w:tcW w:w="5803" w:type="dxa"/>
          </w:tcPr>
          <w:p w14:paraId="2B0DA6E8"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Intersessional Workshops on MGRs and on conservation and management tools, including area-based management and environmental impact assessments.</w:t>
            </w:r>
          </w:p>
        </w:tc>
        <w:tc>
          <w:tcPr>
            <w:tcW w:w="2262" w:type="dxa"/>
          </w:tcPr>
          <w:p w14:paraId="45C8D93D"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summary of proceedings at the workshops is contained in document A/AC.276/6.</w:t>
            </w:r>
          </w:p>
        </w:tc>
      </w:tr>
      <w:tr w:rsidR="000E1B39" w14:paraId="25A14E38" w14:textId="77777777">
        <w:tc>
          <w:tcPr>
            <w:tcW w:w="1203" w:type="dxa"/>
          </w:tcPr>
          <w:p w14:paraId="2FB997C5"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2013</w:t>
            </w:r>
          </w:p>
          <w:p w14:paraId="7E001D1B"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19-23 August 2013)</w:t>
            </w:r>
          </w:p>
        </w:tc>
        <w:tc>
          <w:tcPr>
            <w:tcW w:w="5803" w:type="dxa"/>
          </w:tcPr>
          <w:p w14:paraId="65698C0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Sixth Meeting of the Working Group</w:t>
            </w:r>
          </w:p>
          <w:p w14:paraId="1D2D755C"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tc>
        <w:tc>
          <w:tcPr>
            <w:tcW w:w="2262" w:type="dxa"/>
          </w:tcPr>
          <w:p w14:paraId="73FC0038"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outcome of the meeting is contained in document A/68/399 (Letter addressed to the President of the GA).</w:t>
            </w:r>
          </w:p>
        </w:tc>
      </w:tr>
      <w:tr w:rsidR="000E1B39" w14:paraId="378898B0" w14:textId="77777777">
        <w:tc>
          <w:tcPr>
            <w:tcW w:w="1203" w:type="dxa"/>
          </w:tcPr>
          <w:p w14:paraId="38428725"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2014</w:t>
            </w:r>
          </w:p>
          <w:p w14:paraId="6B47773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1-4 April 2014)</w:t>
            </w:r>
          </w:p>
        </w:tc>
        <w:tc>
          <w:tcPr>
            <w:tcW w:w="5803" w:type="dxa"/>
          </w:tcPr>
          <w:p w14:paraId="2FB69FCD"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Seventh Meeting of the Working Group</w:t>
            </w:r>
          </w:p>
          <w:p w14:paraId="0C1D5551"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(considered the scope, parameters and feasibility of an international instrument under UNCLOS, within the mandate established by the General Assembly in its resolution 66/231 and in the light of resolution 67/78, with a view to making recommendations to the Assembly)</w:t>
            </w:r>
          </w:p>
        </w:tc>
        <w:tc>
          <w:tcPr>
            <w:tcW w:w="2262" w:type="dxa"/>
          </w:tcPr>
          <w:p w14:paraId="5C5EAFBC"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outcome of the meeting is contained in document A/69/82 (Letter Addressed to the President of the GA).</w:t>
            </w:r>
          </w:p>
        </w:tc>
      </w:tr>
      <w:tr w:rsidR="000E1B39" w14:paraId="5DABDD0B" w14:textId="77777777">
        <w:tc>
          <w:tcPr>
            <w:tcW w:w="1203" w:type="dxa"/>
          </w:tcPr>
          <w:p w14:paraId="0E56662A"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2014 </w:t>
            </w:r>
          </w:p>
          <w:p w14:paraId="239A2503"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16-19 June 2014)</w:t>
            </w:r>
          </w:p>
        </w:tc>
        <w:tc>
          <w:tcPr>
            <w:tcW w:w="5803" w:type="dxa"/>
          </w:tcPr>
          <w:p w14:paraId="6B8AB011"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Eighth Meeting of the Working Group</w:t>
            </w:r>
          </w:p>
        </w:tc>
        <w:tc>
          <w:tcPr>
            <w:tcW w:w="2262" w:type="dxa"/>
          </w:tcPr>
          <w:p w14:paraId="42915D0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outcome of the meeting is contained in document A/69/177 (Letter Addressed to the President of the GA).</w:t>
            </w:r>
          </w:p>
        </w:tc>
      </w:tr>
      <w:tr w:rsidR="000E1B39" w14:paraId="13775DF2" w14:textId="77777777">
        <w:tc>
          <w:tcPr>
            <w:tcW w:w="1203" w:type="dxa"/>
          </w:tcPr>
          <w:p w14:paraId="254BCB9C"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2015</w:t>
            </w:r>
          </w:p>
          <w:p w14:paraId="67CEE6A0"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20-23 January 2015)</w:t>
            </w:r>
          </w:p>
        </w:tc>
        <w:tc>
          <w:tcPr>
            <w:tcW w:w="5803" w:type="dxa"/>
          </w:tcPr>
          <w:p w14:paraId="077288DB"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Ninth and Final </w:t>
            </w:r>
            <w:proofErr w:type="gramStart"/>
            <w:r>
              <w:rPr>
                <w:rFonts w:ascii="Times New Roman" w:eastAsia="Times New Roman" w:hAnsi="Times New Roman" w:cs="Times New Roman"/>
                <w:color w:val="000000"/>
                <w:sz w:val="24"/>
                <w:szCs w:val="24"/>
              </w:rPr>
              <w:t>Meeting</w:t>
            </w:r>
            <w:proofErr w:type="gramEnd"/>
            <w:r>
              <w:rPr>
                <w:rFonts w:ascii="Times New Roman" w:eastAsia="Times New Roman" w:hAnsi="Times New Roman" w:cs="Times New Roman"/>
                <w:color w:val="000000"/>
                <w:sz w:val="24"/>
                <w:szCs w:val="24"/>
              </w:rPr>
              <w:t xml:space="preserve"> of the Working Group</w:t>
            </w:r>
          </w:p>
          <w:p w14:paraId="4FF8EF48" w14:textId="77777777" w:rsidR="000E1B39"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Working Group recommended to the GA that it, inter alia: </w:t>
            </w:r>
          </w:p>
          <w:p w14:paraId="1C008010" w14:textId="77777777" w:rsidR="000E1B39"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Decide to develop an international legally binding instrument under the Convention on the conservation and sustainable use of marine biological diversity of areas beyond national jurisdiction and, to that end: </w:t>
            </w:r>
          </w:p>
          <w:p w14:paraId="5A3DB6A9" w14:textId="77777777" w:rsidR="000E1B39" w:rsidRDefault="00000000">
            <w:pPr>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xml:space="preserve">. prior to holding an intergovernmental conference, decide to establish a preparatory committee, to make substantive recommendations to the General Assembly on the elements of a draft text of an international legally binding instrument under the Convention, the preparatory committee starting its work in 2016 and, by the end of 2017, reporting to the Assembly on its </w:t>
            </w:r>
            <w:proofErr w:type="gramStart"/>
            <w:r>
              <w:rPr>
                <w:rFonts w:ascii="Times New Roman" w:eastAsia="Times New Roman" w:hAnsi="Times New Roman" w:cs="Times New Roman"/>
                <w:color w:val="000000"/>
                <w:sz w:val="24"/>
                <w:szCs w:val="24"/>
              </w:rPr>
              <w:t>progress;</w:t>
            </w:r>
            <w:proofErr w:type="gramEnd"/>
            <w:r>
              <w:rPr>
                <w:rFonts w:ascii="Times New Roman" w:eastAsia="Times New Roman" w:hAnsi="Times New Roman" w:cs="Times New Roman"/>
                <w:color w:val="000000"/>
                <w:sz w:val="24"/>
                <w:szCs w:val="24"/>
              </w:rPr>
              <w:t xml:space="preserve"> </w:t>
            </w:r>
          </w:p>
          <w:p w14:paraId="0C954ADD" w14:textId="77777777" w:rsidR="000E1B39"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ii. before the end of the seventy-second session of the General Assembly, and taking into account the aforementioned report of the preparatory committee, decide on the convening and on the starting date of an intergovernmental conference, under the auspices of the United Nations, to consider the recommendations of the preparatory committee on the elements and to elaborate the text of an international legally binding instrument under the Convention; </w:t>
            </w:r>
          </w:p>
          <w:p w14:paraId="5665AF1D" w14:textId="77777777" w:rsidR="000E1B39"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Decide that negotiations shall address the topics identified in the package agreed in 2011, namely the conservation and sustainable use of marine biological diversity of areas beyond national jurisdiction, in particular, together and as a whole, marine genetic resources, including questions on the sharing of benefits, measures such as area-based management tools, including marine protected </w:t>
            </w:r>
            <w:r>
              <w:rPr>
                <w:rFonts w:ascii="Times New Roman" w:eastAsia="Times New Roman" w:hAnsi="Times New Roman" w:cs="Times New Roman"/>
                <w:sz w:val="24"/>
                <w:szCs w:val="24"/>
              </w:rPr>
              <w:t xml:space="preserve">areas, environmental impact assessments and capacity-building and the transfer of marine technology; </w:t>
            </w:r>
          </w:p>
          <w:p w14:paraId="15FBD988" w14:textId="77777777" w:rsidR="000E1B39"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Recognize that the process should not undermine existing relevant legal instruments and frameworks and relevant global, regional and sectoral </w:t>
            </w:r>
            <w:proofErr w:type="gramStart"/>
            <w:r>
              <w:rPr>
                <w:rFonts w:ascii="Times New Roman" w:eastAsia="Times New Roman" w:hAnsi="Times New Roman" w:cs="Times New Roman"/>
                <w:sz w:val="24"/>
                <w:szCs w:val="24"/>
              </w:rPr>
              <w:t>bodies;</w:t>
            </w:r>
            <w:proofErr w:type="gramEnd"/>
            <w:r>
              <w:rPr>
                <w:rFonts w:ascii="Times New Roman" w:eastAsia="Times New Roman" w:hAnsi="Times New Roman" w:cs="Times New Roman"/>
                <w:sz w:val="24"/>
                <w:szCs w:val="24"/>
              </w:rPr>
              <w:t xml:space="preserve"> </w:t>
            </w:r>
          </w:p>
          <w:p w14:paraId="79D502C1"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-Following-up on the recommendations of the Working Group, the General Assembly adopted, on 19 June 2015, resolution 69/292 entitled “Development of an international legally binding instrument under the United Nations Convention on the Law of the Sea on the conservation and sustainable use of marine biological diversity of areas beyond national jurisdiction”.</w:t>
            </w:r>
          </w:p>
          <w:p w14:paraId="7BD7A9D5" w14:textId="77777777" w:rsidR="000E1B39"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GA decided to develop an international legally binding instrument under UNCLOS on the conservation and sustainable use of marine biological diversity of areas beyond national jurisdiction. </w:t>
            </w:r>
          </w:p>
          <w:p w14:paraId="1B9B5D2C"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To that end, it decided to establish, prior to holding an intergovernmental conference, a Preparatory Committee </w:t>
            </w:r>
            <w:r>
              <w:rPr>
                <w:rFonts w:ascii="Times New Roman" w:eastAsia="Times New Roman" w:hAnsi="Times New Roman" w:cs="Times New Roman"/>
                <w:color w:val="000000"/>
                <w:sz w:val="24"/>
                <w:szCs w:val="24"/>
              </w:rPr>
              <w:lastRenderedPageBreak/>
              <w:t>(</w:t>
            </w:r>
            <w:proofErr w:type="spellStart"/>
            <w:r>
              <w:rPr>
                <w:rFonts w:ascii="Times New Roman" w:eastAsia="Times New Roman" w:hAnsi="Times New Roman" w:cs="Times New Roman"/>
                <w:color w:val="000000"/>
                <w:sz w:val="24"/>
                <w:szCs w:val="24"/>
              </w:rPr>
              <w:t>PrepCom</w:t>
            </w:r>
            <w:proofErr w:type="spellEnd"/>
            <w:r>
              <w:rPr>
                <w:rFonts w:ascii="Times New Roman" w:eastAsia="Times New Roman" w:hAnsi="Times New Roman" w:cs="Times New Roman"/>
                <w:color w:val="000000"/>
                <w:sz w:val="24"/>
                <w:szCs w:val="24"/>
              </w:rPr>
              <w:t>), to make substantive recommendations to the General Assembly on the elements of a draft text of an international legally binding instrument under UNCLOS (ILBI), taking into account the various reports of the Co-Chairs on the work of the Ad Hoc Open-ended Informal Working Group to study issues relating to the conservation and sustainable use of marine biological diversity beyond areas of national jurisdiction.</w:t>
            </w:r>
          </w:p>
        </w:tc>
        <w:tc>
          <w:tcPr>
            <w:tcW w:w="2262" w:type="dxa"/>
          </w:tcPr>
          <w:p w14:paraId="32522026"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 outcome of the meeting is contained in document A/69/780 (Letter Addressed to the President of the GA).</w:t>
            </w:r>
          </w:p>
          <w:p w14:paraId="13A8305E"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6544277"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5986B18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1F55BA9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6E453A7"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069FFD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D89A517"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148F3B1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55DAFC7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4D13EE31"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10A5B7E7"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408CD430"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5B502E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C3D9DCE"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2DBB6B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61FE2E66"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6F46F2AB"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FD86E61"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D0F3436"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4B52E591"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463DBF8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49E934F9"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UNGA Res 69/292 of 19 June 2015</w:t>
            </w:r>
          </w:p>
          <w:p w14:paraId="12A1FE44"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6BA426F4"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tc>
      </w:tr>
      <w:tr w:rsidR="000E1B39" w14:paraId="7D2B1776" w14:textId="77777777">
        <w:tc>
          <w:tcPr>
            <w:tcW w:w="1203" w:type="dxa"/>
          </w:tcPr>
          <w:p w14:paraId="655BD7C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2016 </w:t>
            </w:r>
          </w:p>
          <w:p w14:paraId="0F7165A7"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 March-8 April 2016 and 26 August-9 September 2016)</w:t>
            </w:r>
          </w:p>
        </w:tc>
        <w:tc>
          <w:tcPr>
            <w:tcW w:w="5803" w:type="dxa"/>
          </w:tcPr>
          <w:p w14:paraId="0C557D48"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First and Second Sessions of the </w:t>
            </w:r>
            <w:proofErr w:type="spellStart"/>
            <w:r>
              <w:rPr>
                <w:rFonts w:ascii="Times New Roman" w:eastAsia="Times New Roman" w:hAnsi="Times New Roman" w:cs="Times New Roman"/>
                <w:color w:val="000000"/>
                <w:sz w:val="24"/>
                <w:szCs w:val="24"/>
              </w:rPr>
              <w:t>PrepCom</w:t>
            </w:r>
            <w:proofErr w:type="spellEnd"/>
          </w:p>
        </w:tc>
        <w:tc>
          <w:tcPr>
            <w:tcW w:w="2262" w:type="dxa"/>
          </w:tcPr>
          <w:p w14:paraId="46B3DCD1"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Chair’s Overview of the First and Second Session at &lt;http://www.un.org/depts/los/biodiversity/prepcom.htm?&gt;</w:t>
            </w:r>
          </w:p>
        </w:tc>
      </w:tr>
      <w:tr w:rsidR="000E1B39" w14:paraId="654DB9CA" w14:textId="77777777">
        <w:tc>
          <w:tcPr>
            <w:tcW w:w="1203" w:type="dxa"/>
          </w:tcPr>
          <w:p w14:paraId="79300C6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2017</w:t>
            </w:r>
          </w:p>
          <w:p w14:paraId="4358425A"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March-7 April 2017 and 10-21 July 2017)</w:t>
            </w:r>
          </w:p>
        </w:tc>
        <w:tc>
          <w:tcPr>
            <w:tcW w:w="5803" w:type="dxa"/>
          </w:tcPr>
          <w:p w14:paraId="2BF6516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Third and Fourth Sessions of the </w:t>
            </w:r>
            <w:proofErr w:type="spellStart"/>
            <w:r>
              <w:rPr>
                <w:rFonts w:ascii="Times New Roman" w:eastAsia="Times New Roman" w:hAnsi="Times New Roman" w:cs="Times New Roman"/>
                <w:color w:val="000000"/>
                <w:sz w:val="24"/>
                <w:szCs w:val="24"/>
              </w:rPr>
              <w:t>PrepCom</w:t>
            </w:r>
            <w:proofErr w:type="spellEnd"/>
          </w:p>
          <w:p w14:paraId="239EE7E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 its fourth session, the </w:t>
            </w:r>
            <w:proofErr w:type="spellStart"/>
            <w:r>
              <w:rPr>
                <w:rFonts w:ascii="Times New Roman" w:eastAsia="Times New Roman" w:hAnsi="Times New Roman" w:cs="Times New Roman"/>
                <w:color w:val="000000"/>
                <w:sz w:val="24"/>
                <w:szCs w:val="24"/>
              </w:rPr>
              <w:t>PrepCom</w:t>
            </w:r>
            <w:proofErr w:type="spellEnd"/>
            <w:r>
              <w:rPr>
                <w:rFonts w:ascii="Times New Roman" w:eastAsia="Times New Roman" w:hAnsi="Times New Roman" w:cs="Times New Roman"/>
                <w:color w:val="000000"/>
                <w:sz w:val="24"/>
                <w:szCs w:val="24"/>
              </w:rPr>
              <w:t xml:space="preserve"> adopted its report to the General Assembly, including recommendations </w:t>
            </w:r>
          </w:p>
          <w:p w14:paraId="2232E421"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156698B6"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1BFD45FA"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5E7242B6"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6076377A"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23B2AB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2E2C82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1259546" w14:textId="77777777" w:rsidR="000E1B39" w:rsidRDefault="00000000">
            <w:pPr>
              <w:pBdr>
                <w:top w:val="nil"/>
                <w:left w:val="nil"/>
                <w:bottom w:val="nil"/>
                <w:right w:val="nil"/>
                <w:between w:val="nil"/>
              </w:pBdr>
              <w:shd w:val="clear" w:color="auto" w:fill="FFFFFF"/>
              <w:spacing w:after="2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Following the Recommendations of the </w:t>
            </w:r>
            <w:proofErr w:type="spellStart"/>
            <w:r>
              <w:rPr>
                <w:rFonts w:ascii="Times New Roman" w:eastAsia="Times New Roman" w:hAnsi="Times New Roman" w:cs="Times New Roman"/>
                <w:color w:val="000000"/>
                <w:sz w:val="24"/>
                <w:szCs w:val="24"/>
              </w:rPr>
              <w:t>PrepCom</w:t>
            </w:r>
            <w:proofErr w:type="spellEnd"/>
            <w:r>
              <w:rPr>
                <w:rFonts w:ascii="Times New Roman" w:eastAsia="Times New Roman" w:hAnsi="Times New Roman" w:cs="Times New Roman"/>
                <w:color w:val="000000"/>
                <w:sz w:val="24"/>
                <w:szCs w:val="24"/>
              </w:rPr>
              <w:t xml:space="preserve">, the GA, in its resolution 72/249 of 24 December 2017, decided to convene an Intergovernmental Conference, under the auspices of the UN, to consider the recommendations of the </w:t>
            </w:r>
            <w:proofErr w:type="spellStart"/>
            <w:r>
              <w:rPr>
                <w:rFonts w:ascii="Times New Roman" w:eastAsia="Times New Roman" w:hAnsi="Times New Roman" w:cs="Times New Roman"/>
                <w:color w:val="000000"/>
                <w:sz w:val="24"/>
                <w:szCs w:val="24"/>
              </w:rPr>
              <w:t>PrepCom</w:t>
            </w:r>
            <w:proofErr w:type="spellEnd"/>
            <w:r>
              <w:rPr>
                <w:rFonts w:ascii="Times New Roman" w:eastAsia="Times New Roman" w:hAnsi="Times New Roman" w:cs="Times New Roman"/>
                <w:color w:val="000000"/>
                <w:sz w:val="24"/>
                <w:szCs w:val="24"/>
              </w:rPr>
              <w:t>, with a view to developing the instrument as soon as possible.</w:t>
            </w:r>
          </w:p>
          <w:p w14:paraId="49DC8A1A" w14:textId="77777777" w:rsidR="000E1B39" w:rsidRDefault="00000000">
            <w:pPr>
              <w:pBdr>
                <w:top w:val="nil"/>
                <w:left w:val="nil"/>
                <w:bottom w:val="nil"/>
                <w:right w:val="nil"/>
                <w:between w:val="nil"/>
              </w:pBdr>
              <w:shd w:val="clear" w:color="auto" w:fill="FFFFFF"/>
              <w:spacing w:before="280"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Conference will meet for four sessions, with the first session to be convened from 4 to 17 September 2018. The second and third sessions will take place in 2019, and the fourth session in the first half of 2020.</w:t>
            </w:r>
          </w:p>
        </w:tc>
        <w:tc>
          <w:tcPr>
            <w:tcW w:w="2262" w:type="dxa"/>
          </w:tcPr>
          <w:p w14:paraId="2CAAE209"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Chair’s Overview of the Third and Fourth Session and the Chair’s Non-Paper on the Elements of a Draft Text of an ILBI see &lt;http://www.un.org/depts/los/biodiversity/prepcom.htm?&gt;</w:t>
            </w:r>
          </w:p>
          <w:p w14:paraId="32AE3DE6"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Report of the </w:t>
            </w:r>
            <w:proofErr w:type="spellStart"/>
            <w:r>
              <w:rPr>
                <w:rFonts w:ascii="Times New Roman" w:eastAsia="Times New Roman" w:hAnsi="Times New Roman" w:cs="Times New Roman"/>
                <w:color w:val="000000"/>
                <w:sz w:val="24"/>
                <w:szCs w:val="24"/>
              </w:rPr>
              <w:t>PrepCom</w:t>
            </w:r>
            <w:proofErr w:type="spellEnd"/>
            <w:r>
              <w:rPr>
                <w:rFonts w:ascii="Times New Roman" w:eastAsia="Times New Roman" w:hAnsi="Times New Roman" w:cs="Times New Roman"/>
                <w:color w:val="000000"/>
                <w:sz w:val="24"/>
                <w:szCs w:val="24"/>
              </w:rPr>
              <w:t xml:space="preserve"> is included in document A/AC.287/2017/PC.4/2).</w:t>
            </w:r>
          </w:p>
          <w:p w14:paraId="61897718"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1AACC0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406303FC"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UNGA Resolution 72/249 of 24 December 2017</w:t>
            </w:r>
          </w:p>
          <w:p w14:paraId="319CBEBA"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E1B39" w14:paraId="571C515F" w14:textId="77777777">
        <w:tc>
          <w:tcPr>
            <w:tcW w:w="1203" w:type="dxa"/>
          </w:tcPr>
          <w:p w14:paraId="71DD5A83"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p w14:paraId="53E6558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16-</w:t>
            </w:r>
            <w:r>
              <w:rPr>
                <w:rFonts w:ascii="Times New Roman" w:eastAsia="Times New Roman" w:hAnsi="Times New Roman" w:cs="Times New Roman"/>
                <w:color w:val="000000"/>
                <w:sz w:val="24"/>
                <w:szCs w:val="24"/>
              </w:rPr>
              <w:lastRenderedPageBreak/>
              <w:t xml:space="preserve">18 April 2018) </w:t>
            </w:r>
          </w:p>
          <w:p w14:paraId="466B8198"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4-17 September 2018)</w:t>
            </w:r>
          </w:p>
          <w:p w14:paraId="2557797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7DC7F03"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51015E52"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C8C4D86"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6D86F06F"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6CC2BB9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5A3BE5E"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5CAD14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0CB3BF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FC7CB19"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EC72E2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York (25 March-5 April 2019)</w:t>
            </w:r>
          </w:p>
        </w:tc>
        <w:tc>
          <w:tcPr>
            <w:tcW w:w="5803" w:type="dxa"/>
          </w:tcPr>
          <w:p w14:paraId="3A43BDF1"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Organizational Meeting of the Conference</w:t>
            </w:r>
          </w:p>
          <w:p w14:paraId="53DAA85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678A04C"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5CAA27CC"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6C5B30D"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First Session of the Session (IGC-1)</w:t>
            </w:r>
          </w:p>
          <w:p w14:paraId="6972A973"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6EDB95AA"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9098261"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CDBCB88"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171C09D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9B1F9BC"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BC67478"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76EEAE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75364215"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D92193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8DF0B82"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FC9459C"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7801ACF"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Second Session of the Conference (IGC-2)</w:t>
            </w:r>
          </w:p>
        </w:tc>
        <w:tc>
          <w:tcPr>
            <w:tcW w:w="2262" w:type="dxa"/>
          </w:tcPr>
          <w:p w14:paraId="48914653"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0843B0C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27E2695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3F0D3CD" w14:textId="77777777" w:rsidR="000E1B39" w:rsidRDefault="000E1B39">
            <w:pPr>
              <w:pBdr>
                <w:top w:val="nil"/>
                <w:left w:val="nil"/>
                <w:bottom w:val="nil"/>
                <w:right w:val="nil"/>
                <w:between w:val="nil"/>
              </w:pBdr>
              <w:spacing w:after="160"/>
              <w:jc w:val="both"/>
              <w:rPr>
                <w:rFonts w:ascii="Times New Roman" w:eastAsia="Times New Roman" w:hAnsi="Times New Roman" w:cs="Times New Roman"/>
                <w:color w:val="000000"/>
                <w:sz w:val="24"/>
                <w:szCs w:val="24"/>
              </w:rPr>
            </w:pPr>
          </w:p>
          <w:p w14:paraId="38FA3019"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Official Documents of the IGC-1, including a President Aid to Negotiations (25 June 2018) and the meeting coverage by DOALOS can be found at </w:t>
            </w:r>
            <w:hyperlink r:id="rId9">
              <w:r>
                <w:rPr>
                  <w:rFonts w:ascii="Times New Roman" w:eastAsia="Times New Roman" w:hAnsi="Times New Roman" w:cs="Times New Roman"/>
                  <w:color w:val="0000FF"/>
                  <w:sz w:val="24"/>
                  <w:szCs w:val="24"/>
                  <w:u w:val="single"/>
                </w:rPr>
                <w:t>https://www.un.org/bbnj/content/first-substantive-session</w:t>
              </w:r>
            </w:hyperlink>
          </w:p>
          <w:p w14:paraId="7113F3A4"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 3 December 2018, the President circulated a President’s Aid to Negotiations in preparation for IGC-2. It was not a zero-draft treaty </w:t>
            </w:r>
            <w:proofErr w:type="gramStart"/>
            <w:r>
              <w:rPr>
                <w:rFonts w:ascii="Times New Roman" w:eastAsia="Times New Roman" w:hAnsi="Times New Roman" w:cs="Times New Roman"/>
                <w:color w:val="000000"/>
                <w:sz w:val="24"/>
                <w:szCs w:val="24"/>
              </w:rPr>
              <w:t>text, yet</w:t>
            </w:r>
            <w:proofErr w:type="gramEnd"/>
            <w:r>
              <w:rPr>
                <w:rFonts w:ascii="Times New Roman" w:eastAsia="Times New Roman" w:hAnsi="Times New Roman" w:cs="Times New Roman"/>
                <w:color w:val="000000"/>
                <w:sz w:val="24"/>
                <w:szCs w:val="24"/>
              </w:rPr>
              <w:t xml:space="preserve"> included text/proposals/views with various options. See at </w:t>
            </w:r>
            <w:hyperlink r:id="rId10">
              <w:r>
                <w:rPr>
                  <w:rFonts w:ascii="Times New Roman" w:eastAsia="Times New Roman" w:hAnsi="Times New Roman" w:cs="Times New Roman"/>
                  <w:color w:val="0000FF"/>
                  <w:sz w:val="24"/>
                  <w:szCs w:val="24"/>
                  <w:u w:val="single"/>
                </w:rPr>
                <w:t>https://undocs.org/A/CONF.232/2019/1</w:t>
              </w:r>
            </w:hyperlink>
            <w:r>
              <w:rPr>
                <w:rFonts w:ascii="Times New Roman" w:eastAsia="Times New Roman" w:hAnsi="Times New Roman" w:cs="Times New Roman"/>
                <w:color w:val="000000"/>
                <w:sz w:val="24"/>
                <w:szCs w:val="24"/>
              </w:rPr>
              <w:t xml:space="preserve">  </w:t>
            </w:r>
          </w:p>
          <w:p w14:paraId="2576BC23" w14:textId="77777777" w:rsidR="000E1B39" w:rsidRDefault="00000000">
            <w:pPr>
              <w:pBdr>
                <w:top w:val="nil"/>
                <w:left w:val="nil"/>
                <w:bottom w:val="nil"/>
                <w:right w:val="nil"/>
                <w:between w:val="nil"/>
              </w:pBdr>
              <w:spacing w:after="1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Official Documents of the IGC-2 and the meeting coverage by DOALOS can be found at </w:t>
            </w:r>
            <w:hyperlink r:id="rId11">
              <w:r>
                <w:rPr>
                  <w:rFonts w:ascii="Times New Roman" w:eastAsia="Times New Roman" w:hAnsi="Times New Roman" w:cs="Times New Roman"/>
                  <w:color w:val="0000FF"/>
                  <w:sz w:val="24"/>
                  <w:szCs w:val="24"/>
                  <w:u w:val="single"/>
                </w:rPr>
                <w:t>https://www.un.org/bbnj/content/second-substantive-session</w:t>
              </w:r>
            </w:hyperlink>
          </w:p>
        </w:tc>
      </w:tr>
    </w:tbl>
    <w:p w14:paraId="746A8E5D" w14:textId="77777777" w:rsidR="000E1B39" w:rsidRDefault="000E1B39">
      <w:pPr>
        <w:spacing w:line="276" w:lineRule="auto"/>
        <w:jc w:val="both"/>
        <w:rPr>
          <w:rFonts w:ascii="Times New Roman" w:eastAsia="Times New Roman" w:hAnsi="Times New Roman" w:cs="Times New Roman"/>
          <w:sz w:val="24"/>
          <w:szCs w:val="24"/>
        </w:rPr>
      </w:pPr>
      <w:bookmarkStart w:id="2" w:name="_1fob9te" w:colFirst="0" w:colLast="0"/>
      <w:bookmarkEnd w:id="2"/>
    </w:p>
    <w:p w14:paraId="36E4725B" w14:textId="77777777" w:rsidR="000E1B39" w:rsidRDefault="000E1B39">
      <w:pPr>
        <w:spacing w:line="276" w:lineRule="auto"/>
        <w:jc w:val="both"/>
        <w:rPr>
          <w:rFonts w:ascii="Times New Roman" w:eastAsia="Times New Roman" w:hAnsi="Times New Roman" w:cs="Times New Roman"/>
          <w:sz w:val="24"/>
          <w:szCs w:val="24"/>
        </w:rPr>
      </w:pPr>
    </w:p>
    <w:p w14:paraId="7503EE8A" w14:textId="77777777" w:rsidR="000E1B39" w:rsidRDefault="000E1B39">
      <w:pPr>
        <w:spacing w:line="276" w:lineRule="auto"/>
        <w:jc w:val="both"/>
        <w:rPr>
          <w:rFonts w:ascii="Times New Roman" w:eastAsia="Times New Roman" w:hAnsi="Times New Roman" w:cs="Times New Roman"/>
          <w:sz w:val="24"/>
          <w:szCs w:val="24"/>
        </w:rPr>
      </w:pPr>
    </w:p>
    <w:p w14:paraId="32E30A09" w14:textId="77777777" w:rsidR="000E1B39"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ANNEX II</w:t>
      </w:r>
    </w:p>
    <w:p w14:paraId="4B04D64F" w14:textId="77777777" w:rsidR="000E1B39" w:rsidRDefault="000E1B39">
      <w:pPr>
        <w:spacing w:line="276" w:lineRule="auto"/>
        <w:jc w:val="center"/>
        <w:rPr>
          <w:rFonts w:ascii="Times New Roman" w:eastAsia="Times New Roman" w:hAnsi="Times New Roman" w:cs="Times New Roman"/>
          <w:b/>
          <w:sz w:val="24"/>
          <w:szCs w:val="24"/>
        </w:rPr>
      </w:pPr>
    </w:p>
    <w:p w14:paraId="139E62C7" w14:textId="77777777" w:rsidR="000E1B39"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Select Bibliography</w:t>
      </w:r>
    </w:p>
    <w:p w14:paraId="3E402A1C" w14:textId="77777777" w:rsidR="000E1B39" w:rsidRDefault="00000000">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Biodiversity in Areas beyond National Jurisdiction</w:t>
      </w:r>
    </w:p>
    <w:p w14:paraId="3E9C4864" w14:textId="77777777" w:rsidR="000E1B39" w:rsidRDefault="000E1B39">
      <w:pPr>
        <w:spacing w:line="276" w:lineRule="auto"/>
        <w:jc w:val="both"/>
        <w:rPr>
          <w:rFonts w:ascii="Times New Roman" w:eastAsia="Times New Roman" w:hAnsi="Times New Roman" w:cs="Times New Roman"/>
          <w:b/>
          <w:sz w:val="24"/>
          <w:szCs w:val="24"/>
        </w:rPr>
      </w:pPr>
    </w:p>
    <w:p w14:paraId="0C920477"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Books</w:t>
      </w:r>
    </w:p>
    <w:p w14:paraId="58C1FE6E"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-Burnett D and Carter L, </w:t>
      </w:r>
      <w:r>
        <w:rPr>
          <w:rFonts w:ascii="Times New Roman" w:eastAsia="Times New Roman" w:hAnsi="Times New Roman" w:cs="Times New Roman"/>
          <w:i/>
          <w:sz w:val="24"/>
          <w:szCs w:val="24"/>
        </w:rPr>
        <w:t>International Submarine Cables and Biodiversity of Areas beyond National Jurisdiction: The Cloud Beneath the Sea</w:t>
      </w:r>
      <w:r>
        <w:rPr>
          <w:rFonts w:ascii="Times New Roman" w:eastAsia="Times New Roman" w:hAnsi="Times New Roman" w:cs="Times New Roman"/>
          <w:sz w:val="24"/>
          <w:szCs w:val="24"/>
        </w:rPr>
        <w:t xml:space="preserve"> (Brill, 2017).</w:t>
      </w:r>
    </w:p>
    <w:p w14:paraId="254A9A74"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-Freestone D. (ed), </w:t>
      </w:r>
      <w:r>
        <w:rPr>
          <w:rFonts w:ascii="Times New Roman" w:eastAsia="Times New Roman" w:hAnsi="Times New Roman" w:cs="Times New Roman"/>
          <w:i/>
          <w:sz w:val="24"/>
          <w:szCs w:val="24"/>
        </w:rPr>
        <w:t xml:space="preserve">Conserving Biodiversity Beyond National Jurisdiction </w:t>
      </w:r>
      <w:r>
        <w:rPr>
          <w:rFonts w:ascii="Times New Roman" w:eastAsia="Times New Roman" w:hAnsi="Times New Roman" w:cs="Times New Roman"/>
          <w:sz w:val="24"/>
          <w:szCs w:val="24"/>
        </w:rPr>
        <w:t>(Brill/</w:t>
      </w:r>
      <w:proofErr w:type="spellStart"/>
      <w:r>
        <w:rPr>
          <w:rFonts w:ascii="Times New Roman" w:eastAsia="Times New Roman" w:hAnsi="Times New Roman" w:cs="Times New Roman"/>
          <w:sz w:val="24"/>
          <w:szCs w:val="24"/>
        </w:rPr>
        <w:t>Nijhoff</w:t>
      </w:r>
      <w:proofErr w:type="spellEnd"/>
      <w:r>
        <w:rPr>
          <w:rFonts w:ascii="Times New Roman" w:eastAsia="Times New Roman" w:hAnsi="Times New Roman" w:cs="Times New Roman"/>
          <w:sz w:val="24"/>
          <w:szCs w:val="24"/>
        </w:rPr>
        <w:t>, 2019)</w:t>
      </w:r>
    </w:p>
    <w:p w14:paraId="3A141B79"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-Gjerde K et al., </w:t>
      </w:r>
      <w:r>
        <w:rPr>
          <w:rFonts w:ascii="Times New Roman" w:eastAsia="Times New Roman" w:hAnsi="Times New Roman" w:cs="Times New Roman"/>
          <w:i/>
          <w:sz w:val="24"/>
          <w:szCs w:val="24"/>
        </w:rPr>
        <w:t xml:space="preserve">Regulatory and Governance Gaps in the International Regime for the Conservation and Sustainable Use of Marine Biodiversity in Areas beyond National Jurisdiction </w:t>
      </w:r>
      <w:r>
        <w:rPr>
          <w:rFonts w:ascii="Times New Roman" w:eastAsia="Times New Roman" w:hAnsi="Times New Roman" w:cs="Times New Roman"/>
          <w:sz w:val="24"/>
          <w:szCs w:val="24"/>
        </w:rPr>
        <w:t>(IUCN,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Gland, Switzerland, 2008)</w:t>
      </w:r>
    </w:p>
    <w:p w14:paraId="306EC7CD"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Rayfuse</w:t>
      </w:r>
      <w:proofErr w:type="spellEnd"/>
      <w:r>
        <w:rPr>
          <w:rFonts w:ascii="Times New Roman" w:eastAsia="Times New Roman" w:hAnsi="Times New Roman" w:cs="Times New Roman"/>
          <w:sz w:val="24"/>
          <w:szCs w:val="24"/>
        </w:rPr>
        <w:t xml:space="preserve"> R. (ed.), </w:t>
      </w:r>
      <w:r>
        <w:rPr>
          <w:rFonts w:ascii="Times New Roman" w:eastAsia="Times New Roman" w:hAnsi="Times New Roman" w:cs="Times New Roman"/>
          <w:i/>
          <w:sz w:val="24"/>
          <w:szCs w:val="24"/>
        </w:rPr>
        <w:t xml:space="preserve">Research Handbook on International Marine Environmental Law </w:t>
      </w:r>
      <w:r>
        <w:rPr>
          <w:rFonts w:ascii="Times New Roman" w:eastAsia="Times New Roman" w:hAnsi="Times New Roman" w:cs="Times New Roman"/>
          <w:sz w:val="24"/>
          <w:szCs w:val="24"/>
        </w:rPr>
        <w:t xml:space="preserve">(Edward Elgar, 2015), </w:t>
      </w:r>
      <w:proofErr w:type="spellStart"/>
      <w:r>
        <w:rPr>
          <w:rFonts w:ascii="Times New Roman" w:eastAsia="Times New Roman" w:hAnsi="Times New Roman" w:cs="Times New Roman"/>
          <w:sz w:val="24"/>
          <w:szCs w:val="24"/>
        </w:rPr>
        <w:t>chs</w:t>
      </w:r>
      <w:proofErr w:type="spellEnd"/>
      <w:r>
        <w:rPr>
          <w:rFonts w:ascii="Times New Roman" w:eastAsia="Times New Roman" w:hAnsi="Times New Roman" w:cs="Times New Roman"/>
          <w:sz w:val="24"/>
          <w:szCs w:val="24"/>
        </w:rPr>
        <w:t xml:space="preserve"> 12-14</w:t>
      </w:r>
    </w:p>
    <w:p w14:paraId="24F3CAF5" w14:textId="77777777" w:rsidR="000E1B39" w:rsidRDefault="00000000">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Scovazzi</w:t>
      </w:r>
      <w:proofErr w:type="spellEnd"/>
      <w:r>
        <w:rPr>
          <w:rFonts w:ascii="Times New Roman" w:eastAsia="Times New Roman" w:hAnsi="Times New Roman" w:cs="Times New Roman"/>
          <w:sz w:val="24"/>
          <w:szCs w:val="24"/>
        </w:rPr>
        <w:t xml:space="preserve"> T. (ed.), </w:t>
      </w:r>
      <w:r>
        <w:rPr>
          <w:rFonts w:ascii="Times New Roman" w:eastAsia="Times New Roman" w:hAnsi="Times New Roman" w:cs="Times New Roman"/>
          <w:i/>
          <w:sz w:val="24"/>
          <w:szCs w:val="24"/>
        </w:rPr>
        <w:t xml:space="preserve">Marine Specially Protected Areas: The General Aspects and the Mediterranean Regional System </w:t>
      </w:r>
      <w:r>
        <w:rPr>
          <w:rFonts w:ascii="Times New Roman" w:eastAsia="Times New Roman" w:hAnsi="Times New Roman" w:cs="Times New Roman"/>
          <w:sz w:val="24"/>
          <w:szCs w:val="24"/>
        </w:rPr>
        <w:t>(The Hague: Kluwer, 1999).</w:t>
      </w:r>
    </w:p>
    <w:p w14:paraId="37BDD76C" w14:textId="77777777" w:rsidR="000E1B39" w:rsidRDefault="000E1B39">
      <w:pPr>
        <w:spacing w:line="276" w:lineRule="auto"/>
        <w:jc w:val="both"/>
        <w:rPr>
          <w:rFonts w:ascii="Times New Roman" w:eastAsia="Times New Roman" w:hAnsi="Times New Roman" w:cs="Times New Roman"/>
          <w:b/>
          <w:sz w:val="24"/>
          <w:szCs w:val="24"/>
        </w:rPr>
      </w:pPr>
    </w:p>
    <w:p w14:paraId="08FE097A"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Chapters in Edited Volumes</w:t>
      </w:r>
    </w:p>
    <w:p w14:paraId="14BE4C7D"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-Freestone D., ‘The Final Frontier: The Law of the Sea Convention and Areas beyond National Jurisdiction’ in HN Scheiber and M-S Kwon (eds), </w:t>
      </w:r>
      <w:r>
        <w:rPr>
          <w:rFonts w:ascii="Times New Roman" w:eastAsia="Times New Roman" w:hAnsi="Times New Roman" w:cs="Times New Roman"/>
          <w:i/>
          <w:sz w:val="24"/>
          <w:szCs w:val="24"/>
        </w:rPr>
        <w:t>Securing the Ocean for the Next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Generation </w:t>
      </w:r>
      <w:r>
        <w:rPr>
          <w:rFonts w:ascii="Times New Roman" w:eastAsia="Times New Roman" w:hAnsi="Times New Roman" w:cs="Times New Roman"/>
          <w:sz w:val="24"/>
          <w:szCs w:val="24"/>
        </w:rPr>
        <w:t>(Law of the Sea Institute, Berkeley, CA, 2012), 1–15</w:t>
      </w:r>
    </w:p>
    <w:p w14:paraId="63890F9B"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-Freestone D., ‘Governance of Areas Beyond National Jurisdiction: An Unfinished Agenda’ in Barrett and Barnes (eds.), </w:t>
      </w:r>
      <w:r>
        <w:rPr>
          <w:rFonts w:ascii="Times New Roman" w:eastAsia="Times New Roman" w:hAnsi="Times New Roman" w:cs="Times New Roman"/>
          <w:i/>
          <w:sz w:val="24"/>
          <w:szCs w:val="24"/>
        </w:rPr>
        <w:t xml:space="preserve">Law of the Sea: LOSC as a Living Treaty </w:t>
      </w:r>
      <w:r>
        <w:rPr>
          <w:rFonts w:ascii="Times New Roman" w:eastAsia="Times New Roman" w:hAnsi="Times New Roman" w:cs="Times New Roman"/>
          <w:sz w:val="24"/>
          <w:szCs w:val="24"/>
        </w:rPr>
        <w:t>(BIICL, London, 2016), 231-265.</w:t>
      </w:r>
    </w:p>
    <w:p w14:paraId="1C288FFE"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-Freestone D, ‘The UN Process to Develop an Internationally Legally Binding Instrument under the 1982 Law of the Sea Convention: Issues and Challenges’ in ibid. (ed) </w:t>
      </w:r>
      <w:r>
        <w:rPr>
          <w:rFonts w:ascii="Times New Roman" w:eastAsia="Times New Roman" w:hAnsi="Times New Roman" w:cs="Times New Roman"/>
          <w:i/>
          <w:sz w:val="24"/>
          <w:szCs w:val="24"/>
        </w:rPr>
        <w:t xml:space="preserve">Conserving Biodiversity Beyond National Jurisdiction </w:t>
      </w:r>
      <w:r>
        <w:rPr>
          <w:rFonts w:ascii="Times New Roman" w:eastAsia="Times New Roman" w:hAnsi="Times New Roman" w:cs="Times New Roman"/>
          <w:sz w:val="24"/>
          <w:szCs w:val="24"/>
        </w:rPr>
        <w:t>(Brill/</w:t>
      </w:r>
      <w:proofErr w:type="spellStart"/>
      <w:r>
        <w:rPr>
          <w:rFonts w:ascii="Times New Roman" w:eastAsia="Times New Roman" w:hAnsi="Times New Roman" w:cs="Times New Roman"/>
          <w:sz w:val="24"/>
          <w:szCs w:val="24"/>
        </w:rPr>
        <w:t>Nijhoff</w:t>
      </w:r>
      <w:proofErr w:type="spellEnd"/>
      <w:r>
        <w:rPr>
          <w:rFonts w:ascii="Times New Roman" w:eastAsia="Times New Roman" w:hAnsi="Times New Roman" w:cs="Times New Roman"/>
          <w:sz w:val="24"/>
          <w:szCs w:val="24"/>
        </w:rPr>
        <w:t>, 2019), 3-46.</w:t>
      </w:r>
    </w:p>
    <w:p w14:paraId="5B28BF37"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-Gjerde K. ‘Challenges to Protecting the Marine Environment beyond National Jurisdiction’, Freestone, D. (ed.), </w:t>
      </w:r>
      <w:r>
        <w:rPr>
          <w:rFonts w:ascii="Times New Roman" w:eastAsia="Times New Roman" w:hAnsi="Times New Roman" w:cs="Times New Roman"/>
          <w:i/>
          <w:sz w:val="24"/>
          <w:szCs w:val="24"/>
        </w:rPr>
        <w:t xml:space="preserve">The 1982 Law of the Sea Convention at 30: Successes, Challenges and New Agendas </w:t>
      </w:r>
      <w:r>
        <w:rPr>
          <w:rFonts w:ascii="Times New Roman" w:eastAsia="Times New Roman" w:hAnsi="Times New Roman" w:cs="Times New Roman"/>
          <w:sz w:val="24"/>
          <w:szCs w:val="24"/>
        </w:rPr>
        <w:t>(Leiden: Brill | Nijhoff, 2013), 165-173.</w:t>
      </w:r>
    </w:p>
    <w:p w14:paraId="453C86CF"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-Kirchner A. ‘Bioprospecting, Marine Scientific Research and the Patentability of Genetic Resources’ in AM Gutiérrez (ed) </w:t>
      </w:r>
      <w:r>
        <w:rPr>
          <w:rFonts w:ascii="Times New Roman" w:eastAsia="Times New Roman" w:hAnsi="Times New Roman" w:cs="Times New Roman"/>
          <w:i/>
          <w:sz w:val="24"/>
          <w:szCs w:val="24"/>
        </w:rPr>
        <w:t>Serving the Rule of International Law: Essays in Honour of Professor David Joseph Attard</w:t>
      </w:r>
      <w:r>
        <w:rPr>
          <w:rFonts w:ascii="Times New Roman" w:eastAsia="Times New Roman" w:hAnsi="Times New Roman" w:cs="Times New Roman"/>
          <w:sz w:val="24"/>
          <w:szCs w:val="24"/>
        </w:rPr>
        <w:t xml:space="preserve"> (Routledge London 2010) 119–128</w:t>
      </w:r>
    </w:p>
    <w:p w14:paraId="3E0C8745"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-Kirchner-Freis I, and A. Kirchner, ‘Genetic Resources of the Sea’ D. Attard et al (eds), The IMLI Manual on International Maritime Law: Volume I: The Law of the Sea (OUP, 2014), Chapter 13</w:t>
      </w:r>
    </w:p>
    <w:p w14:paraId="01AE3444"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Lodge M., ‘The Deep Seabed’, in D. Rothwell </w:t>
      </w:r>
      <w:r>
        <w:rPr>
          <w:rFonts w:ascii="Times New Roman" w:eastAsia="Times New Roman" w:hAnsi="Times New Roman" w:cs="Times New Roman"/>
          <w:i/>
          <w:sz w:val="24"/>
          <w:szCs w:val="24"/>
        </w:rPr>
        <w:t xml:space="preserve">et al </w:t>
      </w:r>
      <w:r>
        <w:rPr>
          <w:rFonts w:ascii="Times New Roman" w:eastAsia="Times New Roman" w:hAnsi="Times New Roman" w:cs="Times New Roman"/>
          <w:sz w:val="24"/>
          <w:szCs w:val="24"/>
        </w:rPr>
        <w:t xml:space="preserve">(eds.), </w:t>
      </w:r>
      <w:r>
        <w:rPr>
          <w:rFonts w:ascii="Times New Roman" w:eastAsia="Times New Roman" w:hAnsi="Times New Roman" w:cs="Times New Roman"/>
          <w:i/>
          <w:sz w:val="24"/>
          <w:szCs w:val="24"/>
        </w:rPr>
        <w:t xml:space="preserve">The Oxford Handbook of the Law of the Sea </w:t>
      </w:r>
      <w:r>
        <w:rPr>
          <w:rFonts w:ascii="Times New Roman" w:eastAsia="Times New Roman" w:hAnsi="Times New Roman" w:cs="Times New Roman"/>
          <w:sz w:val="24"/>
          <w:szCs w:val="24"/>
        </w:rPr>
        <w:t>(OUP, 2015), 226.</w:t>
      </w:r>
    </w:p>
    <w:p w14:paraId="1317D226"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-Mossop J., ‘Marine Bioprospecting’, in D. Rothwell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(eds.), </w:t>
      </w:r>
      <w:r>
        <w:rPr>
          <w:rFonts w:ascii="Times New Roman" w:eastAsia="Times New Roman" w:hAnsi="Times New Roman" w:cs="Times New Roman"/>
          <w:i/>
          <w:sz w:val="24"/>
          <w:szCs w:val="24"/>
        </w:rPr>
        <w:t xml:space="preserve">The Oxford Handbook of the Law of the Sea </w:t>
      </w:r>
      <w:r>
        <w:rPr>
          <w:rFonts w:ascii="Times New Roman" w:eastAsia="Times New Roman" w:hAnsi="Times New Roman" w:cs="Times New Roman"/>
          <w:sz w:val="24"/>
          <w:szCs w:val="24"/>
        </w:rPr>
        <w:t>(OUP, 2015), 825.</w:t>
      </w:r>
    </w:p>
    <w:p w14:paraId="13E5AD30"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-Oral, N, “Protection of Vulnerable Marine Ecosystems in Areas Beyond National Jurisdiction: Can International Law Meet the Challenge?” in Strati A, </w:t>
      </w:r>
      <w:proofErr w:type="spellStart"/>
      <w:r>
        <w:rPr>
          <w:rFonts w:ascii="Times New Roman" w:eastAsia="Times New Roman" w:hAnsi="Times New Roman" w:cs="Times New Roman"/>
          <w:sz w:val="24"/>
          <w:szCs w:val="24"/>
        </w:rPr>
        <w:t>Gavouneli</w:t>
      </w:r>
      <w:proofErr w:type="spellEnd"/>
      <w:r>
        <w:rPr>
          <w:rFonts w:ascii="Times New Roman" w:eastAsia="Times New Roman" w:hAnsi="Times New Roman" w:cs="Times New Roman"/>
          <w:sz w:val="24"/>
          <w:szCs w:val="24"/>
        </w:rPr>
        <w:t xml:space="preserve"> M, and </w:t>
      </w:r>
      <w:proofErr w:type="spellStart"/>
      <w:r>
        <w:rPr>
          <w:rFonts w:ascii="Times New Roman" w:eastAsia="Times New Roman" w:hAnsi="Times New Roman" w:cs="Times New Roman"/>
          <w:sz w:val="24"/>
          <w:szCs w:val="24"/>
        </w:rPr>
        <w:t>Skourtos</w:t>
      </w:r>
      <w:proofErr w:type="spellEnd"/>
      <w:r>
        <w:rPr>
          <w:rFonts w:ascii="Times New Roman" w:eastAsia="Times New Roman" w:hAnsi="Times New Roman" w:cs="Times New Roman"/>
          <w:sz w:val="24"/>
          <w:szCs w:val="24"/>
        </w:rPr>
        <w:t xml:space="preserve"> N. (eds.), </w:t>
      </w:r>
      <w:r>
        <w:rPr>
          <w:rFonts w:ascii="Times New Roman" w:eastAsia="Times New Roman" w:hAnsi="Times New Roman" w:cs="Times New Roman"/>
          <w:i/>
          <w:sz w:val="24"/>
          <w:szCs w:val="24"/>
        </w:rPr>
        <w:t>Unresolved Issues and New Challenges to the Law of the Sea: Time Before and Time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After </w:t>
      </w:r>
      <w:r>
        <w:rPr>
          <w:rFonts w:ascii="Times New Roman" w:eastAsia="Times New Roman" w:hAnsi="Times New Roman" w:cs="Times New Roman"/>
          <w:sz w:val="24"/>
          <w:szCs w:val="24"/>
        </w:rPr>
        <w:t>(Leiden: Martinus Nijhoff Publishers, 2006), pp. 85–108.</w:t>
      </w:r>
    </w:p>
    <w:p w14:paraId="6D31C973"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-Thiel H., ‘Approaches to the Establishment of Protected Areas on the High Seas’, in A. Kirchner (ed.), </w:t>
      </w:r>
      <w:r>
        <w:rPr>
          <w:rFonts w:ascii="Times New Roman" w:eastAsia="Times New Roman" w:hAnsi="Times New Roman" w:cs="Times New Roman"/>
          <w:i/>
          <w:sz w:val="24"/>
          <w:szCs w:val="24"/>
        </w:rPr>
        <w:t xml:space="preserve">International Marine Environmental Law </w:t>
      </w:r>
      <w:r>
        <w:rPr>
          <w:rFonts w:ascii="Times New Roman" w:eastAsia="Times New Roman" w:hAnsi="Times New Roman" w:cs="Times New Roman"/>
          <w:sz w:val="24"/>
          <w:szCs w:val="24"/>
        </w:rPr>
        <w:t>(The Hague: Kluwer, 2003), pp. 169–192.</w:t>
      </w:r>
    </w:p>
    <w:p w14:paraId="2A0A37C4" w14:textId="77777777" w:rsidR="000E1B39" w:rsidRDefault="00000000">
      <w:pPr>
        <w:widowControl w:val="0"/>
        <w:tabs>
          <w:tab w:val="left" w:pos="-1440"/>
          <w:tab w:val="left" w:pos="-720"/>
          <w:tab w:val="left" w:pos="0"/>
          <w:tab w:val="left" w:pos="283"/>
          <w:tab w:val="left" w:pos="566"/>
          <w:tab w:val="left" w:pos="720"/>
          <w:tab w:val="left" w:pos="850"/>
          <w:tab w:val="left" w:pos="1134"/>
          <w:tab w:val="left" w:pos="1440"/>
          <w:tab w:val="left" w:pos="1700"/>
          <w:tab w:val="left" w:pos="1983"/>
          <w:tab w:val="left" w:pos="2160"/>
          <w:tab w:val="left" w:pos="2268"/>
          <w:tab w:val="left" w:pos="2551"/>
          <w:tab w:val="left" w:pos="2834"/>
          <w:tab w:val="left" w:pos="2880"/>
          <w:tab w:val="left" w:pos="3117"/>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RM Warner, ‘Conserving Marine Biodiversity in Areas Beyond National Jurisdiction: Co-Evolution and Interaction with the Law of the Sea’ in DR Rothwell, AG Oude Elferink, KN Scott and T Stephens (eds.), </w:t>
      </w:r>
      <w:r>
        <w:rPr>
          <w:rFonts w:ascii="Times New Roman" w:eastAsia="Times New Roman" w:hAnsi="Times New Roman" w:cs="Times New Roman"/>
          <w:i/>
          <w:sz w:val="24"/>
          <w:szCs w:val="24"/>
        </w:rPr>
        <w:t>The Oxford Handbook on the Law of the Sea</w:t>
      </w:r>
      <w:r>
        <w:rPr>
          <w:rFonts w:ascii="Times New Roman" w:eastAsia="Times New Roman" w:hAnsi="Times New Roman" w:cs="Times New Roman"/>
          <w:sz w:val="24"/>
          <w:szCs w:val="24"/>
        </w:rPr>
        <w:t xml:space="preserve"> (OUP, 2015) pp. 752-76.</w:t>
      </w:r>
    </w:p>
    <w:p w14:paraId="650A1EC3" w14:textId="77777777" w:rsidR="000E1B39" w:rsidRDefault="000E1B39">
      <w:pPr>
        <w:spacing w:line="276" w:lineRule="auto"/>
        <w:jc w:val="both"/>
        <w:rPr>
          <w:rFonts w:ascii="Times New Roman" w:eastAsia="Times New Roman" w:hAnsi="Times New Roman" w:cs="Times New Roman"/>
          <w:b/>
          <w:sz w:val="24"/>
          <w:szCs w:val="24"/>
        </w:rPr>
      </w:pPr>
    </w:p>
    <w:p w14:paraId="504B0065" w14:textId="77777777" w:rsidR="000E1B39" w:rsidRDefault="00000000">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Articles</w:t>
      </w:r>
    </w:p>
    <w:p w14:paraId="685B0F8F"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-Ardron JA, </w:t>
      </w:r>
      <w:proofErr w:type="spellStart"/>
      <w:r>
        <w:rPr>
          <w:rFonts w:ascii="Times New Roman" w:eastAsia="Times New Roman" w:hAnsi="Times New Roman" w:cs="Times New Roman"/>
          <w:sz w:val="24"/>
          <w:szCs w:val="24"/>
        </w:rPr>
        <w:t>Rayfuse</w:t>
      </w:r>
      <w:proofErr w:type="spellEnd"/>
      <w:r>
        <w:rPr>
          <w:rFonts w:ascii="Times New Roman" w:eastAsia="Times New Roman" w:hAnsi="Times New Roman" w:cs="Times New Roman"/>
          <w:sz w:val="24"/>
          <w:szCs w:val="24"/>
        </w:rPr>
        <w:t xml:space="preserve"> R, Gjerde K, Warner R., ‘The sustainable use and conservation of biodiversity in ABNJ: what can be achieved using existing international agreements?’ (2014) 49 Marine Policy </w:t>
      </w:r>
      <w:proofErr w:type="gramStart"/>
      <w:r>
        <w:rPr>
          <w:rFonts w:ascii="Times New Roman" w:eastAsia="Times New Roman" w:hAnsi="Times New Roman" w:cs="Times New Roman"/>
          <w:sz w:val="24"/>
          <w:szCs w:val="24"/>
        </w:rPr>
        <w:t>98-108;</w:t>
      </w:r>
      <w:proofErr w:type="gramEnd"/>
    </w:p>
    <w:p w14:paraId="0870DE3C"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-Barnes R., ‘The Proposed LOSC Implementation Agreement on Areas Beyond National Jurisdiction and Its Impact on International Fisheries Law’ (2016) 31 </w:t>
      </w:r>
      <w:r>
        <w:rPr>
          <w:rFonts w:ascii="Times New Roman" w:eastAsia="Times New Roman" w:hAnsi="Times New Roman" w:cs="Times New Roman"/>
          <w:i/>
          <w:sz w:val="24"/>
          <w:szCs w:val="24"/>
        </w:rPr>
        <w:t>International Journal of Marine Coastal Law</w:t>
      </w:r>
      <w:r>
        <w:rPr>
          <w:rFonts w:ascii="Times New Roman" w:eastAsia="Times New Roman" w:hAnsi="Times New Roman" w:cs="Times New Roman"/>
          <w:sz w:val="24"/>
          <w:szCs w:val="24"/>
        </w:rPr>
        <w:t>, 1-37.</w:t>
      </w:r>
    </w:p>
    <w:p w14:paraId="6D0A4BE2"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-Blasiak R et al. ‘Shaping an International Agreement on Marine Biodiversity beyond Areas of National Jurisdiction; Lessons from High Seas Fisheries’ (2016) 71 </w:t>
      </w:r>
      <w:r>
        <w:rPr>
          <w:rFonts w:ascii="Times New Roman" w:eastAsia="Times New Roman" w:hAnsi="Times New Roman" w:cs="Times New Roman"/>
          <w:i/>
          <w:sz w:val="24"/>
          <w:szCs w:val="24"/>
        </w:rPr>
        <w:t>Marine Policy</w:t>
      </w:r>
      <w:r>
        <w:rPr>
          <w:rFonts w:ascii="Times New Roman" w:eastAsia="Times New Roman" w:hAnsi="Times New Roman" w:cs="Times New Roman"/>
          <w:sz w:val="24"/>
          <w:szCs w:val="24"/>
        </w:rPr>
        <w:t>, 210-216.</w:t>
      </w:r>
    </w:p>
    <w:p w14:paraId="3F0DFDC2"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Druel</w:t>
      </w:r>
      <w:proofErr w:type="spellEnd"/>
      <w:r>
        <w:rPr>
          <w:rFonts w:ascii="Times New Roman" w:eastAsia="Times New Roman" w:hAnsi="Times New Roman" w:cs="Times New Roman"/>
          <w:sz w:val="24"/>
          <w:szCs w:val="24"/>
        </w:rPr>
        <w:t xml:space="preserve"> E. and Gjerde K.M. ‘Sustaining Marine Life beyond Boundaries: Options for an Implementing Agreement for Marine Biodiversity Beyond National Jurisdiction under the United Nations Convention on the Law of the Sea’ (2014) 49 </w:t>
      </w:r>
      <w:r>
        <w:rPr>
          <w:rFonts w:ascii="Times New Roman" w:eastAsia="Times New Roman" w:hAnsi="Times New Roman" w:cs="Times New Roman"/>
          <w:i/>
          <w:sz w:val="24"/>
          <w:szCs w:val="24"/>
        </w:rPr>
        <w:t>Marine Policy</w:t>
      </w:r>
      <w:r>
        <w:rPr>
          <w:rFonts w:ascii="Times New Roman" w:eastAsia="Times New Roman" w:hAnsi="Times New Roman" w:cs="Times New Roman"/>
          <w:sz w:val="24"/>
          <w:szCs w:val="24"/>
        </w:rPr>
        <w:t>, 90–97</w:t>
      </w:r>
    </w:p>
    <w:p w14:paraId="16CCE19B"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-Englender et al. ‘Cooperation and Compliance Control in Areas beyond National Jurisdiction’, (2014) 49 </w:t>
      </w:r>
      <w:r>
        <w:rPr>
          <w:rFonts w:ascii="Times New Roman" w:eastAsia="Times New Roman" w:hAnsi="Times New Roman" w:cs="Times New Roman"/>
          <w:i/>
          <w:sz w:val="24"/>
          <w:szCs w:val="24"/>
        </w:rPr>
        <w:t>Marine Policy</w:t>
      </w:r>
      <w:r>
        <w:rPr>
          <w:rFonts w:ascii="Times New Roman" w:eastAsia="Times New Roman" w:hAnsi="Times New Roman" w:cs="Times New Roman"/>
          <w:sz w:val="24"/>
          <w:szCs w:val="24"/>
        </w:rPr>
        <w:t xml:space="preserve"> 186-194.</w:t>
      </w:r>
    </w:p>
    <w:p w14:paraId="4CF7C0E3"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-Freestone D., ‘International Governance, Responsibility and Management of Areas beyond National Jurisdiction’, (2012) 27 </w:t>
      </w:r>
      <w:r>
        <w:rPr>
          <w:rFonts w:ascii="Times New Roman" w:eastAsia="Times New Roman" w:hAnsi="Times New Roman" w:cs="Times New Roman"/>
          <w:i/>
          <w:sz w:val="24"/>
          <w:szCs w:val="24"/>
        </w:rPr>
        <w:t>International Journal of Marine and Coastal Law</w:t>
      </w:r>
      <w:r>
        <w:rPr>
          <w:rFonts w:ascii="Times New Roman" w:eastAsia="Times New Roman" w:hAnsi="Times New Roman" w:cs="Times New Roman"/>
          <w:sz w:val="24"/>
          <w:szCs w:val="24"/>
        </w:rPr>
        <w:t xml:space="preserve"> 191-204.</w:t>
      </w:r>
    </w:p>
    <w:p w14:paraId="57AFAC8A"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-Kraska J. ‘National Security Considerations for a Binding Instrument on Managing Biodiversity Beyond National Jurisdiction’, (2018) 112 </w:t>
      </w:r>
      <w:r>
        <w:rPr>
          <w:rFonts w:ascii="Times New Roman" w:eastAsia="Times New Roman" w:hAnsi="Times New Roman" w:cs="Times New Roman"/>
          <w:i/>
          <w:sz w:val="24"/>
          <w:szCs w:val="24"/>
        </w:rPr>
        <w:t>AJIL Unbound</w:t>
      </w:r>
      <w:r>
        <w:rPr>
          <w:rFonts w:ascii="Times New Roman" w:eastAsia="Times New Roman" w:hAnsi="Times New Roman" w:cs="Times New Roman"/>
          <w:sz w:val="24"/>
          <w:szCs w:val="24"/>
        </w:rPr>
        <w:t>, 150-154.</w:t>
      </w:r>
    </w:p>
    <w:p w14:paraId="097B0F71"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-Long R. and M Chaves, ‘Anatomy of a new international instrument for marine biodiversity beyond national jurisdiction. First impressions of the preparatory process’ (2015) 6 </w:t>
      </w:r>
      <w:r>
        <w:rPr>
          <w:rFonts w:ascii="Times New Roman" w:eastAsia="Times New Roman" w:hAnsi="Times New Roman" w:cs="Times New Roman"/>
          <w:i/>
          <w:sz w:val="24"/>
          <w:szCs w:val="24"/>
        </w:rPr>
        <w:t xml:space="preserve">Environmental Liability, </w:t>
      </w:r>
      <w:r>
        <w:rPr>
          <w:rFonts w:ascii="Times New Roman" w:eastAsia="Times New Roman" w:hAnsi="Times New Roman" w:cs="Times New Roman"/>
          <w:sz w:val="24"/>
          <w:szCs w:val="24"/>
        </w:rPr>
        <w:t>213–229.</w:t>
      </w:r>
    </w:p>
    <w:p w14:paraId="510C0557"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-Lodge, M. W., “Improving International Governance in the Deep Sea” (2004) 19 </w:t>
      </w:r>
      <w:r>
        <w:rPr>
          <w:rFonts w:ascii="Times New Roman" w:eastAsia="Times New Roman" w:hAnsi="Times New Roman" w:cs="Times New Roman"/>
          <w:i/>
          <w:sz w:val="24"/>
          <w:szCs w:val="24"/>
        </w:rPr>
        <w:t xml:space="preserve">International Journal of Marine and Coastal Law </w:t>
      </w:r>
      <w:r>
        <w:rPr>
          <w:rFonts w:ascii="Times New Roman" w:eastAsia="Times New Roman" w:hAnsi="Times New Roman" w:cs="Times New Roman"/>
          <w:sz w:val="24"/>
          <w:szCs w:val="24"/>
        </w:rPr>
        <w:t>pp. 299–316.</w:t>
      </w:r>
    </w:p>
    <w:p w14:paraId="5535C9A6"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 D et al, ‘Current legal regime for environmental impact assessment in areas beyond national jurisdiction and its future approaches’ (2016) 56 </w:t>
      </w:r>
      <w:r>
        <w:rPr>
          <w:rFonts w:ascii="Times New Roman" w:eastAsia="Times New Roman" w:hAnsi="Times New Roman" w:cs="Times New Roman"/>
          <w:i/>
          <w:sz w:val="24"/>
          <w:szCs w:val="24"/>
        </w:rPr>
        <w:t xml:space="preserve">Marine Policy </w:t>
      </w:r>
      <w:r>
        <w:rPr>
          <w:rFonts w:ascii="Times New Roman" w:eastAsia="Times New Roman" w:hAnsi="Times New Roman" w:cs="Times New Roman"/>
          <w:sz w:val="24"/>
          <w:szCs w:val="24"/>
        </w:rPr>
        <w:t>23–30</w:t>
      </w:r>
    </w:p>
    <w:p w14:paraId="0B85C67D"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-Matz-Lück N. and Fuchs J. ‘The Impact of OSPAR on Protected Area Management beyond National Jurisdiction: Effective Regional Cooperation or a Network of Paper Parks?’ (2014) 49 </w:t>
      </w:r>
      <w:r>
        <w:rPr>
          <w:rFonts w:ascii="Times New Roman" w:eastAsia="Times New Roman" w:hAnsi="Times New Roman" w:cs="Times New Roman"/>
          <w:i/>
          <w:sz w:val="24"/>
          <w:szCs w:val="24"/>
        </w:rPr>
        <w:t xml:space="preserve">Marine Policy </w:t>
      </w:r>
      <w:r>
        <w:rPr>
          <w:rFonts w:ascii="Times New Roman" w:eastAsia="Times New Roman" w:hAnsi="Times New Roman" w:cs="Times New Roman"/>
          <w:sz w:val="24"/>
          <w:szCs w:val="24"/>
        </w:rPr>
        <w:t>155–65.</w:t>
      </w:r>
    </w:p>
    <w:p w14:paraId="261C7371"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Molenaar E., ‘Marine Biodiversity in Areas beyond National Jurisdiction”, (2007) 22 </w:t>
      </w:r>
      <w:r>
        <w:rPr>
          <w:rFonts w:ascii="Times New Roman" w:eastAsia="Times New Roman" w:hAnsi="Times New Roman" w:cs="Times New Roman"/>
          <w:i/>
          <w:sz w:val="24"/>
          <w:szCs w:val="24"/>
        </w:rPr>
        <w:t xml:space="preserve">International Journal of Marine and Coastal Law </w:t>
      </w:r>
      <w:r>
        <w:rPr>
          <w:rFonts w:ascii="Times New Roman" w:eastAsia="Times New Roman" w:hAnsi="Times New Roman" w:cs="Times New Roman"/>
          <w:sz w:val="24"/>
          <w:szCs w:val="24"/>
        </w:rPr>
        <w:t>pp. 89–124.</w:t>
      </w:r>
    </w:p>
    <w:p w14:paraId="2C857B36"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-Oude Elferink A., ‘Environmental Impact Assessment in Areas beyond National Jurisdiction’ (2012)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27 </w:t>
      </w:r>
      <w:r>
        <w:rPr>
          <w:rFonts w:ascii="Times New Roman" w:eastAsia="Times New Roman" w:hAnsi="Times New Roman" w:cs="Times New Roman"/>
          <w:i/>
          <w:sz w:val="24"/>
          <w:szCs w:val="24"/>
        </w:rPr>
        <w:t xml:space="preserve">International Journal of Marine and Coastal Law </w:t>
      </w:r>
      <w:r>
        <w:rPr>
          <w:rFonts w:ascii="Times New Roman" w:eastAsia="Times New Roman" w:hAnsi="Times New Roman" w:cs="Times New Roman"/>
          <w:sz w:val="24"/>
          <w:szCs w:val="24"/>
        </w:rPr>
        <w:t>449–480</w:t>
      </w:r>
    </w:p>
    <w:p w14:paraId="17D49332" w14:textId="77777777" w:rsidR="000E1B39" w:rsidRDefault="00000000">
      <w:pPr>
        <w:spacing w:after="0" w:line="276"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Scovazzi</w:t>
      </w:r>
      <w:proofErr w:type="spellEnd"/>
      <w:r>
        <w:rPr>
          <w:rFonts w:ascii="Times New Roman" w:eastAsia="Times New Roman" w:hAnsi="Times New Roman" w:cs="Times New Roman"/>
          <w:sz w:val="24"/>
          <w:szCs w:val="24"/>
        </w:rPr>
        <w:t xml:space="preserve"> T. “Marine Protected Areas on the High Seas: Some Legal and Policy Considerations”, (2004) 19 </w:t>
      </w:r>
      <w:r>
        <w:rPr>
          <w:rFonts w:ascii="Times New Roman" w:eastAsia="Times New Roman" w:hAnsi="Times New Roman" w:cs="Times New Roman"/>
          <w:i/>
          <w:sz w:val="24"/>
          <w:szCs w:val="24"/>
        </w:rPr>
        <w:t xml:space="preserve">International Journal of Marine and Coastal Law </w:t>
      </w:r>
      <w:r>
        <w:rPr>
          <w:rFonts w:ascii="Times New Roman" w:eastAsia="Times New Roman" w:hAnsi="Times New Roman" w:cs="Times New Roman"/>
          <w:sz w:val="24"/>
          <w:szCs w:val="24"/>
        </w:rPr>
        <w:t>pp. 1–17.</w:t>
      </w:r>
    </w:p>
    <w:p w14:paraId="511FB111"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Scovazzi</w:t>
      </w:r>
      <w:proofErr w:type="spellEnd"/>
      <w:r>
        <w:rPr>
          <w:rFonts w:ascii="Times New Roman" w:eastAsia="Times New Roman" w:hAnsi="Times New Roman" w:cs="Times New Roman"/>
          <w:sz w:val="24"/>
          <w:szCs w:val="24"/>
        </w:rPr>
        <w:t xml:space="preserve"> T. “Mining, Protection of the Environment, Scientific Research and Bioprospecting: Some Considerations on the Role of the International Sea-Bed Authority”, (2004) 19 </w:t>
      </w:r>
      <w:r>
        <w:rPr>
          <w:rFonts w:ascii="Times New Roman" w:eastAsia="Times New Roman" w:hAnsi="Times New Roman" w:cs="Times New Roman"/>
          <w:i/>
          <w:sz w:val="24"/>
          <w:szCs w:val="24"/>
        </w:rPr>
        <w:t>International Journal of</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Marine and Coastal Law, </w:t>
      </w:r>
      <w:r>
        <w:rPr>
          <w:rFonts w:ascii="Times New Roman" w:eastAsia="Times New Roman" w:hAnsi="Times New Roman" w:cs="Times New Roman"/>
          <w:sz w:val="24"/>
          <w:szCs w:val="24"/>
        </w:rPr>
        <w:t>383–409.</w:t>
      </w:r>
    </w:p>
    <w:p w14:paraId="47D8B317"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Scovazzi</w:t>
      </w:r>
      <w:proofErr w:type="spellEnd"/>
      <w:r>
        <w:rPr>
          <w:rFonts w:ascii="Times New Roman" w:eastAsia="Times New Roman" w:hAnsi="Times New Roman" w:cs="Times New Roman"/>
          <w:sz w:val="24"/>
          <w:szCs w:val="24"/>
        </w:rPr>
        <w:t xml:space="preserve"> T., ‘Negotiating Conservation and Sustainable Use of Marine Biological Diversity in Areas beyond National Jurisdiction: Prospects and Challenges’, (2014) 24</w:t>
      </w:r>
      <w:r>
        <w:rPr>
          <w:rFonts w:ascii="Times New Roman" w:eastAsia="Times New Roman" w:hAnsi="Times New Roman" w:cs="Times New Roman"/>
          <w:i/>
          <w:sz w:val="24"/>
          <w:szCs w:val="24"/>
        </w:rPr>
        <w:t xml:space="preserve"> Italian Yearbook of International Law </w:t>
      </w:r>
      <w:r>
        <w:rPr>
          <w:rFonts w:ascii="Times New Roman" w:eastAsia="Times New Roman" w:hAnsi="Times New Roman" w:cs="Times New Roman"/>
          <w:sz w:val="24"/>
          <w:szCs w:val="24"/>
        </w:rPr>
        <w:t>63-93.</w:t>
      </w:r>
    </w:p>
    <w:p w14:paraId="5F5B51FE"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-Tladi D., ‘The Proposed Implementing Agreement: Options for Coherence and Consistency in the Establishment of Protected Areas beyond National Jurisdiction’ (2015) 30 </w:t>
      </w:r>
      <w:r>
        <w:rPr>
          <w:rFonts w:ascii="Times New Roman" w:eastAsia="Times New Roman" w:hAnsi="Times New Roman" w:cs="Times New Roman"/>
          <w:i/>
          <w:sz w:val="24"/>
          <w:szCs w:val="24"/>
        </w:rPr>
        <w:t>International Journal of Marine and Coastal Law</w:t>
      </w:r>
      <w:r>
        <w:rPr>
          <w:rFonts w:ascii="Times New Roman" w:eastAsia="Times New Roman" w:hAnsi="Times New Roman" w:cs="Times New Roman"/>
          <w:sz w:val="24"/>
          <w:szCs w:val="24"/>
        </w:rPr>
        <w:t xml:space="preserve"> 654-673.</w:t>
      </w:r>
    </w:p>
    <w:p w14:paraId="4D6578E8"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-Young M. and Friedman A., ‘Biodiversity beyond National Jurisdiction: Regimes and their Interaction’ (2018) 112 </w:t>
      </w:r>
      <w:r>
        <w:rPr>
          <w:rFonts w:ascii="Times New Roman" w:eastAsia="Times New Roman" w:hAnsi="Times New Roman" w:cs="Times New Roman"/>
          <w:i/>
          <w:sz w:val="24"/>
          <w:szCs w:val="24"/>
        </w:rPr>
        <w:t>AJIL Unbound</w:t>
      </w:r>
      <w:r>
        <w:rPr>
          <w:rFonts w:ascii="Times New Roman" w:eastAsia="Times New Roman" w:hAnsi="Times New Roman" w:cs="Times New Roman"/>
          <w:sz w:val="24"/>
          <w:szCs w:val="24"/>
        </w:rPr>
        <w:t>, 123-128.</w:t>
      </w:r>
    </w:p>
    <w:p w14:paraId="48DC2AE1"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-Warner R. ‘</w:t>
      </w:r>
      <w:hyperlink r:id="rId12">
        <w:r>
          <w:rPr>
            <w:rFonts w:ascii="Times New Roman" w:eastAsia="Times New Roman" w:hAnsi="Times New Roman" w:cs="Times New Roman"/>
            <w:sz w:val="24"/>
            <w:szCs w:val="24"/>
          </w:rPr>
          <w:t>Strengthening Governance Frameworks for Conservation and Sustainable Use of Marine Biodiversity in Areas beyond National Jurisdiction: Southern Hemisphere Perspectives</w:t>
        </w:r>
      </w:hyperlink>
      <w:r>
        <w:rPr>
          <w:rFonts w:ascii="Times New Roman" w:eastAsia="Times New Roman" w:hAnsi="Times New Roman" w:cs="Times New Roman"/>
          <w:sz w:val="24"/>
          <w:szCs w:val="24"/>
        </w:rPr>
        <w:t xml:space="preserve">’ (2017) 32 </w:t>
      </w:r>
      <w:r>
        <w:rPr>
          <w:rFonts w:ascii="Times New Roman" w:eastAsia="Times New Roman" w:hAnsi="Times New Roman" w:cs="Times New Roman"/>
          <w:i/>
          <w:sz w:val="24"/>
          <w:szCs w:val="24"/>
        </w:rPr>
        <w:t>International Journal of Marine and Coastal Law</w:t>
      </w:r>
      <w:r>
        <w:rPr>
          <w:rFonts w:ascii="Times New Roman" w:eastAsia="Times New Roman" w:hAnsi="Times New Roman" w:cs="Times New Roman"/>
          <w:sz w:val="24"/>
          <w:szCs w:val="24"/>
        </w:rPr>
        <w:t>, 607-634.</w:t>
      </w:r>
    </w:p>
    <w:p w14:paraId="4165E855" w14:textId="77777777" w:rsidR="000E1B39" w:rsidRDefault="000E1B39">
      <w:pPr>
        <w:spacing w:after="0" w:line="276" w:lineRule="auto"/>
        <w:jc w:val="both"/>
        <w:rPr>
          <w:rFonts w:ascii="Times New Roman" w:eastAsia="Times New Roman" w:hAnsi="Times New Roman" w:cs="Times New Roman"/>
          <w:sz w:val="24"/>
          <w:szCs w:val="24"/>
        </w:rPr>
      </w:pPr>
    </w:p>
    <w:p w14:paraId="7D8EE29C" w14:textId="77777777" w:rsidR="000E1B39" w:rsidRDefault="00000000">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 Publications</w:t>
      </w:r>
    </w:p>
    <w:p w14:paraId="6D9883CA"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-Dunn DC et al, Adjacency: How legal precedent, ecological connectivity, and traditional knowledge inform our understanding of proximity (Policy Brief UN </w:t>
      </w:r>
      <w:proofErr w:type="spellStart"/>
      <w:r>
        <w:rPr>
          <w:rFonts w:ascii="Times New Roman" w:eastAsia="Times New Roman" w:hAnsi="Times New Roman" w:cs="Times New Roman"/>
          <w:sz w:val="24"/>
          <w:szCs w:val="24"/>
        </w:rPr>
        <w:t>PrepCom</w:t>
      </w:r>
      <w:proofErr w:type="spellEnd"/>
      <w:r>
        <w:rPr>
          <w:rFonts w:ascii="Times New Roman" w:eastAsia="Times New Roman" w:hAnsi="Times New Roman" w:cs="Times New Roman"/>
          <w:sz w:val="24"/>
          <w:szCs w:val="24"/>
        </w:rPr>
        <w:t xml:space="preserve"> 3; Nereus Scientific &amp; Technical Briefs on ABNJ series) (available at https:// www.researchgate.net/publication/318842160_Adjacency_How_legal_precedent_ecological_connectivity_and_Traditional_Knowledge_inform_our_understanding_of_proximity_POLICY_BRIEF_-_UN_PrepCom_3). </w:t>
      </w:r>
    </w:p>
    <w:p w14:paraId="0F04C5CF"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Kelleher G. (ed.), </w:t>
      </w:r>
      <w:r>
        <w:rPr>
          <w:rFonts w:ascii="Times New Roman" w:eastAsia="Times New Roman" w:hAnsi="Times New Roman" w:cs="Times New Roman"/>
          <w:i/>
          <w:sz w:val="24"/>
          <w:szCs w:val="24"/>
        </w:rPr>
        <w:t xml:space="preserve">Guidelines for Marine Protected Areas </w:t>
      </w:r>
      <w:r>
        <w:rPr>
          <w:rFonts w:ascii="Times New Roman" w:eastAsia="Times New Roman" w:hAnsi="Times New Roman" w:cs="Times New Roman"/>
          <w:sz w:val="24"/>
          <w:szCs w:val="24"/>
        </w:rPr>
        <w:t>(Gland, IUCN–The World Conservation Union, 1999).</w:t>
      </w:r>
    </w:p>
    <w:p w14:paraId="45255F8E"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Payne C, ‘Biodiversity in High Seas Areas: An Integrated Legal Approach’ 21:9 ASIL Insights, 1 September 2017, at &lt; </w:t>
      </w:r>
      <w:hyperlink r:id="rId13">
        <w:r>
          <w:rPr>
            <w:rFonts w:ascii="Times New Roman" w:eastAsia="Times New Roman" w:hAnsi="Times New Roman" w:cs="Times New Roman"/>
            <w:color w:val="000000"/>
            <w:sz w:val="24"/>
            <w:szCs w:val="24"/>
          </w:rPr>
          <w:t>https://www.asil.org/insights/volume/21/issue/9/biodiversity-high-seas-areas-integrated-legal-approach</w:t>
        </w:r>
      </w:hyperlink>
      <w:r>
        <w:rPr>
          <w:rFonts w:ascii="Times New Roman" w:eastAsia="Times New Roman" w:hAnsi="Times New Roman" w:cs="Times New Roman"/>
          <w:sz w:val="24"/>
          <w:szCs w:val="24"/>
        </w:rPr>
        <w:t xml:space="preserve"> &gt;</w:t>
      </w:r>
    </w:p>
    <w:p w14:paraId="45CF9DC2" w14:textId="77777777" w:rsidR="000E1B39"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hyperlink r:id="rId14">
        <w:r>
          <w:rPr>
            <w:rFonts w:ascii="Times New Roman" w:eastAsia="Times New Roman" w:hAnsi="Times New Roman" w:cs="Times New Roman"/>
            <w:color w:val="000000"/>
            <w:sz w:val="24"/>
            <w:szCs w:val="24"/>
          </w:rPr>
          <w:t>Hubert A.-M. and Craik N, ‘Towards Normative Coherence in the International Law of the Sea for the Conservation and Sustainable Use of Marine Biological Diversity of Areas Beyond National Jurisdiction’</w:t>
        </w:r>
      </w:hyperlink>
      <w:r>
        <w:rPr>
          <w:rFonts w:ascii="Times New Roman" w:eastAsia="Times New Roman" w:hAnsi="Times New Roman" w:cs="Times New Roman"/>
          <w:sz w:val="24"/>
          <w:szCs w:val="24"/>
        </w:rPr>
        <w:t xml:space="preserve">, 1 February 2018 </w:t>
      </w:r>
    </w:p>
    <w:p w14:paraId="48E3E6C7" w14:textId="77777777" w:rsidR="000E1B39"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Young, T. R., The Legal Framework for MPAs and Successes and Failures in Their Incorporation into National Legislation, in Report and documentation of the Workshop on Marine Protected Areas and Fisheries Management: Review of Issues and Considerations, Rome, 12–14 June 2006, FAO Fisheries Report No. 825 (2007), pp. 221–300.</w:t>
      </w:r>
    </w:p>
    <w:p w14:paraId="6A194F2F" w14:textId="77777777" w:rsidR="000E1B39" w:rsidRDefault="000E1B39">
      <w:pPr>
        <w:spacing w:line="276" w:lineRule="auto"/>
        <w:jc w:val="both"/>
        <w:rPr>
          <w:rFonts w:ascii="Times New Roman" w:eastAsia="Times New Roman" w:hAnsi="Times New Roman" w:cs="Times New Roman"/>
          <w:sz w:val="24"/>
          <w:szCs w:val="24"/>
        </w:rPr>
      </w:pPr>
    </w:p>
    <w:p w14:paraId="67FFB7AE" w14:textId="77777777" w:rsidR="000E1B39" w:rsidRDefault="000E1B39">
      <w:pPr>
        <w:spacing w:line="276" w:lineRule="auto"/>
        <w:jc w:val="both"/>
        <w:rPr>
          <w:rFonts w:ascii="Times New Roman" w:eastAsia="Times New Roman" w:hAnsi="Times New Roman" w:cs="Times New Roman"/>
          <w:sz w:val="24"/>
          <w:szCs w:val="24"/>
        </w:rPr>
      </w:pPr>
    </w:p>
    <w:sectPr w:rsidR="000E1B3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E70FD"/>
    <w:multiLevelType w:val="multilevel"/>
    <w:tmpl w:val="BEC2C9A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01091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B39"/>
    <w:rsid w:val="000E1B39"/>
    <w:rsid w:val="001C4DCC"/>
    <w:rsid w:val="00AA6E0A"/>
    <w:rsid w:val="00E20E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32F31"/>
  <w15:docId w15:val="{3F096385-315D-4D16-A961-49DD6553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FootnoteReference">
    <w:name w:val="footnote reference"/>
    <w:aliases w:val="Ref,de nota al pie,stylish"/>
    <w:basedOn w:val="DefaultParagraphFont"/>
    <w:uiPriority w:val="99"/>
    <w:unhideWhenUsed/>
    <w:rsid w:val="00F15952"/>
    <w:rPr>
      <w:vertAlign w:val="superscript"/>
    </w:rPr>
  </w:style>
  <w:style w:type="paragraph" w:customStyle="1" w:styleId="NoSpacing1">
    <w:name w:val="No Spacing1"/>
    <w:uiPriority w:val="1"/>
    <w:qFormat/>
    <w:rsid w:val="00F15952"/>
    <w:pPr>
      <w:spacing w:after="0" w:line="240" w:lineRule="auto"/>
    </w:pPr>
    <w:rPr>
      <w:rFonts w:ascii="Times New Roman" w:hAnsi="Times New Roman" w:cs="Times New Roman"/>
      <w:sz w:val="24"/>
    </w:rPr>
  </w:style>
  <w:style w:type="paragraph" w:styleId="FootnoteText">
    <w:name w:val="footnote text"/>
    <w:basedOn w:val="Normal"/>
    <w:link w:val="FootnoteTextChar"/>
    <w:uiPriority w:val="99"/>
    <w:unhideWhenUsed/>
    <w:rsid w:val="00A12FA3"/>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A12FA3"/>
    <w:rPr>
      <w:sz w:val="20"/>
      <w:szCs w:val="20"/>
      <w:lang w:val="en-US"/>
    </w:rPr>
  </w:style>
  <w:style w:type="character" w:styleId="CommentReference">
    <w:name w:val="annotation reference"/>
    <w:basedOn w:val="DefaultParagraphFont"/>
    <w:uiPriority w:val="99"/>
    <w:semiHidden/>
    <w:unhideWhenUsed/>
    <w:rsid w:val="00A12FA3"/>
    <w:rPr>
      <w:sz w:val="16"/>
      <w:szCs w:val="16"/>
    </w:rPr>
  </w:style>
  <w:style w:type="paragraph" w:styleId="CommentText">
    <w:name w:val="annotation text"/>
    <w:basedOn w:val="Normal"/>
    <w:link w:val="CommentTextChar"/>
    <w:uiPriority w:val="99"/>
    <w:semiHidden/>
    <w:unhideWhenUsed/>
    <w:rsid w:val="00A12FA3"/>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A12FA3"/>
    <w:rPr>
      <w:sz w:val="20"/>
      <w:szCs w:val="20"/>
      <w:lang w:val="en-US"/>
    </w:rPr>
  </w:style>
  <w:style w:type="paragraph" w:styleId="BalloonText">
    <w:name w:val="Balloon Text"/>
    <w:basedOn w:val="Normal"/>
    <w:link w:val="BalloonTextChar"/>
    <w:uiPriority w:val="99"/>
    <w:semiHidden/>
    <w:unhideWhenUsed/>
    <w:rsid w:val="00A12F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FA3"/>
    <w:rPr>
      <w:rFonts w:ascii="Segoe UI" w:hAnsi="Segoe UI" w:cs="Segoe UI"/>
      <w:sz w:val="18"/>
      <w:szCs w:val="18"/>
    </w:rPr>
  </w:style>
  <w:style w:type="paragraph" w:styleId="NormalWeb">
    <w:name w:val="Normal (Web)"/>
    <w:basedOn w:val="Normal"/>
    <w:uiPriority w:val="99"/>
    <w:unhideWhenUsed/>
    <w:rsid w:val="00AB31C8"/>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39"/>
    <w:rsid w:val="00AB3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AB31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7547EC"/>
    <w:pPr>
      <w:autoSpaceDE w:val="0"/>
      <w:autoSpaceDN w:val="0"/>
      <w:adjustRightInd w:val="0"/>
      <w:spacing w:after="0" w:line="201" w:lineRule="atLeast"/>
    </w:pPr>
    <w:rPr>
      <w:rFonts w:ascii="Times New Roman" w:hAnsi="Times New Roman" w:cs="Times New Roman"/>
      <w:sz w:val="24"/>
      <w:szCs w:val="24"/>
    </w:rPr>
  </w:style>
  <w:style w:type="paragraph" w:customStyle="1" w:styleId="Default">
    <w:name w:val="Default"/>
    <w:rsid w:val="000E03A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E03A7"/>
    <w:pPr>
      <w:spacing w:after="0" w:line="240" w:lineRule="auto"/>
    </w:pPr>
    <w:rPr>
      <w:lang w:val="en-US"/>
    </w:rPr>
  </w:style>
  <w:style w:type="character" w:styleId="Strong">
    <w:name w:val="Strong"/>
    <w:basedOn w:val="DefaultParagraphFont"/>
    <w:uiPriority w:val="22"/>
    <w:qFormat/>
    <w:rsid w:val="005C0099"/>
    <w:rPr>
      <w:b/>
      <w:bCs/>
    </w:rPr>
  </w:style>
  <w:style w:type="character" w:customStyle="1" w:styleId="A2">
    <w:name w:val="A2"/>
    <w:uiPriority w:val="99"/>
    <w:rsid w:val="00CD6AEB"/>
    <w:rPr>
      <w:color w:val="000000"/>
      <w:sz w:val="20"/>
      <w:szCs w:val="20"/>
    </w:rPr>
  </w:style>
  <w:style w:type="paragraph" w:customStyle="1" w:styleId="Pa6">
    <w:name w:val="Pa6"/>
    <w:basedOn w:val="Default"/>
    <w:next w:val="Default"/>
    <w:uiPriority w:val="99"/>
    <w:rsid w:val="0083357A"/>
    <w:pPr>
      <w:spacing w:line="201" w:lineRule="atLeast"/>
    </w:pPr>
    <w:rPr>
      <w:color w:val="auto"/>
    </w:rPr>
  </w:style>
  <w:style w:type="character" w:styleId="Hyperlink">
    <w:name w:val="Hyperlink"/>
    <w:basedOn w:val="DefaultParagraphFont"/>
    <w:uiPriority w:val="99"/>
    <w:unhideWhenUsed/>
    <w:rsid w:val="003029DD"/>
    <w:rPr>
      <w:color w:val="0000FF"/>
      <w:u w:val="single"/>
    </w:rPr>
  </w:style>
  <w:style w:type="paragraph" w:styleId="CommentSubject">
    <w:name w:val="annotation subject"/>
    <w:basedOn w:val="CommentText"/>
    <w:next w:val="CommentText"/>
    <w:link w:val="CommentSubjectChar"/>
    <w:uiPriority w:val="99"/>
    <w:semiHidden/>
    <w:unhideWhenUsed/>
    <w:rsid w:val="00D70F8E"/>
    <w:rPr>
      <w:b/>
      <w:bCs/>
      <w:lang w:val="en-GB"/>
    </w:rPr>
  </w:style>
  <w:style w:type="character" w:customStyle="1" w:styleId="CommentSubjectChar">
    <w:name w:val="Comment Subject Char"/>
    <w:basedOn w:val="CommentTextChar"/>
    <w:link w:val="CommentSubject"/>
    <w:uiPriority w:val="99"/>
    <w:semiHidden/>
    <w:rsid w:val="00D70F8E"/>
    <w:rPr>
      <w:b/>
      <w:bCs/>
      <w:sz w:val="20"/>
      <w:szCs w:val="20"/>
      <w:lang w:val="en-US"/>
    </w:rPr>
  </w:style>
  <w:style w:type="character" w:styleId="UnresolvedMention">
    <w:name w:val="Unresolved Mention"/>
    <w:basedOn w:val="DefaultParagraphFont"/>
    <w:uiPriority w:val="99"/>
    <w:semiHidden/>
    <w:unhideWhenUsed/>
    <w:rsid w:val="00E95CDC"/>
    <w:rPr>
      <w:color w:val="605E5C"/>
      <w:shd w:val="clear" w:color="auto" w:fill="E1DFDD"/>
    </w:rPr>
  </w:style>
  <w:style w:type="paragraph" w:styleId="EndnoteText">
    <w:name w:val="endnote text"/>
    <w:basedOn w:val="Normal"/>
    <w:link w:val="EndnoteTextChar"/>
    <w:uiPriority w:val="99"/>
    <w:unhideWhenUsed/>
    <w:rsid w:val="00046099"/>
    <w:pPr>
      <w:spacing w:after="0" w:line="240" w:lineRule="auto"/>
    </w:pPr>
    <w:rPr>
      <w:sz w:val="20"/>
      <w:szCs w:val="20"/>
    </w:rPr>
  </w:style>
  <w:style w:type="character" w:customStyle="1" w:styleId="EndnoteTextChar">
    <w:name w:val="Endnote Text Char"/>
    <w:basedOn w:val="DefaultParagraphFont"/>
    <w:link w:val="EndnoteText"/>
    <w:uiPriority w:val="99"/>
    <w:rsid w:val="00046099"/>
    <w:rPr>
      <w:sz w:val="20"/>
      <w:szCs w:val="20"/>
    </w:rPr>
  </w:style>
  <w:style w:type="paragraph" w:styleId="Header">
    <w:name w:val="header"/>
    <w:basedOn w:val="Normal"/>
    <w:link w:val="HeaderChar"/>
    <w:uiPriority w:val="99"/>
    <w:unhideWhenUsed/>
    <w:rsid w:val="00E31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E81"/>
  </w:style>
  <w:style w:type="paragraph" w:styleId="Footer">
    <w:name w:val="footer"/>
    <w:basedOn w:val="Normal"/>
    <w:link w:val="FooterChar"/>
    <w:uiPriority w:val="99"/>
    <w:unhideWhenUsed/>
    <w:rsid w:val="00E31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E8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nb.iisd.org/download/pdf/enb25179e.pdf" TargetMode="External"/><Relationship Id="rId13" Type="http://schemas.openxmlformats.org/officeDocument/2006/relationships/hyperlink" Target="https://www.asil.org/insights/volume/21/issue/9/biodiversity-high-seas-areas-integrated-legal-approach" TargetMode="External"/><Relationship Id="rId3" Type="http://schemas.openxmlformats.org/officeDocument/2006/relationships/settings" Target="settings.xml"/><Relationship Id="rId7" Type="http://schemas.openxmlformats.org/officeDocument/2006/relationships/hyperlink" Target="http://enb.iisd.org/download/pdf/enb25179e.pdf" TargetMode="External"/><Relationship Id="rId12" Type="http://schemas.openxmlformats.org/officeDocument/2006/relationships/hyperlink" Target="http://catalogue.ppl.nl/xslt/DB=1/SET=4/TTL=1/SHW?FRST=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b.iisd.org/download/pdf/enb25195e.pdf" TargetMode="External"/><Relationship Id="rId11" Type="http://schemas.openxmlformats.org/officeDocument/2006/relationships/hyperlink" Target="https://www.un.org/bbnj/content/second-substantive-session" TargetMode="External"/><Relationship Id="rId5" Type="http://schemas.openxmlformats.org/officeDocument/2006/relationships/hyperlink" Target="http://enb.iisd.org/download/pdf/enb25178e.pdf" TargetMode="External"/><Relationship Id="rId15" Type="http://schemas.openxmlformats.org/officeDocument/2006/relationships/fontTable" Target="fontTable.xml"/><Relationship Id="rId10" Type="http://schemas.openxmlformats.org/officeDocument/2006/relationships/hyperlink" Target="https://undocs.org/A/CONF.232/2019/1" TargetMode="External"/><Relationship Id="rId4" Type="http://schemas.openxmlformats.org/officeDocument/2006/relationships/webSettings" Target="webSettings.xml"/><Relationship Id="rId9" Type="http://schemas.openxmlformats.org/officeDocument/2006/relationships/hyperlink" Target="https://www.un.org/bbnj/content/first-substantive-session" TargetMode="External"/><Relationship Id="rId14" Type="http://schemas.openxmlformats.org/officeDocument/2006/relationships/hyperlink" Target="http://site.uit.no/jclos/files/2018/02/JCLOS-Coherence-Blog-Hubert-Craik-v-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24</Pages>
  <Words>10893</Words>
  <Characters>60774</Characters>
  <Application>Microsoft Office Word</Application>
  <DocSecurity>0</DocSecurity>
  <Lines>1197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Author</cp:lastModifiedBy>
  <cp:revision>2</cp:revision>
  <dcterms:created xsi:type="dcterms:W3CDTF">2019-04-18T16:29:00Z</dcterms:created>
  <dcterms:modified xsi:type="dcterms:W3CDTF">2026-01-15T16:24:00Z</dcterms:modified>
</cp:coreProperties>
</file>