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EFAF" w14:textId="19366D8F" w:rsidR="005964E7" w:rsidRDefault="005964E7" w:rsidP="005964E7">
      <w:pPr>
        <w:jc w:val="center"/>
        <w:rPr>
          <w:b/>
          <w:bCs/>
          <w:sz w:val="28"/>
          <w:szCs w:val="28"/>
          <w:lang w:val="el-GR"/>
        </w:rPr>
      </w:pPr>
      <w:r w:rsidRPr="005964E7">
        <w:rPr>
          <w:b/>
          <w:bCs/>
          <w:sz w:val="28"/>
          <w:szCs w:val="28"/>
          <w:lang w:val="el-GR"/>
        </w:rPr>
        <w:t>Δίκαιο της Θάλασσας</w:t>
      </w:r>
    </w:p>
    <w:p w14:paraId="4D459887" w14:textId="5274DDE1" w:rsidR="005964E7" w:rsidRDefault="005964E7" w:rsidP="005964E7">
      <w:pPr>
        <w:rPr>
          <w:sz w:val="28"/>
          <w:szCs w:val="28"/>
          <w:lang w:val="el-GR"/>
        </w:rPr>
      </w:pPr>
    </w:p>
    <w:p w14:paraId="4CA686A1" w14:textId="7998FD2D" w:rsidR="005964E7" w:rsidRPr="00387D20" w:rsidRDefault="005964E7" w:rsidP="005964E7">
      <w:pPr>
        <w:rPr>
          <w:b/>
          <w:bCs/>
          <w:lang w:val="el-GR"/>
        </w:rPr>
      </w:pPr>
      <w:r w:rsidRPr="00387D20">
        <w:rPr>
          <w:b/>
          <w:bCs/>
          <w:lang w:val="el-GR"/>
        </w:rPr>
        <w:t>Το Σύστημα Επίλυσης Διαφορών</w:t>
      </w:r>
    </w:p>
    <w:p w14:paraId="0C80F3F5" w14:textId="77777777" w:rsidR="005964E7" w:rsidRDefault="005964E7" w:rsidP="005964E7">
      <w:pPr>
        <w:rPr>
          <w:lang w:val="el-GR"/>
        </w:rPr>
      </w:pPr>
    </w:p>
    <w:p w14:paraId="25F2B0A6" w14:textId="789E0583" w:rsidR="005964E7" w:rsidRDefault="00387D20" w:rsidP="005964E7">
      <w:pPr>
        <w:rPr>
          <w:lang w:val="el-GR"/>
        </w:rPr>
      </w:pPr>
      <w:r>
        <w:rPr>
          <w:lang w:val="el-GR"/>
        </w:rPr>
        <w:t>Υποχρεωτική ρήτρα επίλυσης διαφορών</w:t>
      </w:r>
    </w:p>
    <w:p w14:paraId="654197D7" w14:textId="04997F77" w:rsidR="00387D20" w:rsidRDefault="00387D20" w:rsidP="005964E7">
      <w:r>
        <w:rPr>
          <w:lang w:val="el-GR"/>
        </w:rPr>
        <w:t>2 προβλήματα</w:t>
      </w:r>
      <w:r>
        <w:t xml:space="preserve">: </w:t>
      </w:r>
    </w:p>
    <w:p w14:paraId="35265B8B" w14:textId="47CC6A74" w:rsidR="00387D20" w:rsidRPr="00387D20" w:rsidRDefault="00387D20" w:rsidP="00387D20">
      <w:pPr>
        <w:pStyle w:val="ListParagraph"/>
        <w:numPr>
          <w:ilvl w:val="0"/>
          <w:numId w:val="1"/>
        </w:numPr>
        <w:rPr>
          <w:lang w:val="el-GR"/>
        </w:rPr>
      </w:pPr>
      <w:r>
        <w:t>Cafeteria</w:t>
      </w:r>
      <w:r w:rsidRPr="00387D20">
        <w:rPr>
          <w:lang w:val="el-GR"/>
        </w:rPr>
        <w:t xml:space="preserve"> </w:t>
      </w:r>
      <w:r>
        <w:t>approach</w:t>
      </w:r>
      <w:r w:rsidRPr="00387D20">
        <w:rPr>
          <w:lang w:val="el-GR"/>
        </w:rPr>
        <w:t xml:space="preserve"> (</w:t>
      </w:r>
      <w:r>
        <w:rPr>
          <w:lang w:val="el-GR"/>
        </w:rPr>
        <w:t>τα</w:t>
      </w:r>
      <w:r w:rsidRPr="00387D20">
        <w:rPr>
          <w:lang w:val="el-GR"/>
        </w:rPr>
        <w:t xml:space="preserve"> </w:t>
      </w:r>
      <w:r>
        <w:rPr>
          <w:lang w:val="el-GR"/>
        </w:rPr>
        <w:t>κράτη</w:t>
      </w:r>
      <w:r w:rsidRPr="00387D20">
        <w:rPr>
          <w:lang w:val="el-GR"/>
        </w:rPr>
        <w:t xml:space="preserve"> </w:t>
      </w:r>
      <w:r>
        <w:rPr>
          <w:lang w:val="el-GR"/>
        </w:rPr>
        <w:t xml:space="preserve">μπορούν να επιλέξουν το </w:t>
      </w:r>
      <w:r>
        <w:t>forum</w:t>
      </w:r>
      <w:r w:rsidRPr="00387D20">
        <w:rPr>
          <w:lang w:val="el-GR"/>
        </w:rPr>
        <w:t>)</w:t>
      </w:r>
    </w:p>
    <w:p w14:paraId="0303F056" w14:textId="3127092F" w:rsidR="00387D20" w:rsidRPr="00387D20" w:rsidRDefault="00387D20" w:rsidP="00387D20">
      <w:pPr>
        <w:pStyle w:val="ListParagraph"/>
        <w:numPr>
          <w:ilvl w:val="0"/>
          <w:numId w:val="1"/>
        </w:numPr>
        <w:rPr>
          <w:lang w:val="el-GR"/>
        </w:rPr>
      </w:pPr>
      <w:r>
        <w:t>Salami</w:t>
      </w:r>
      <w:r w:rsidRPr="00387D20">
        <w:rPr>
          <w:lang w:val="el-GR"/>
        </w:rPr>
        <w:t>-</w:t>
      </w:r>
      <w:r>
        <w:t>slicing</w:t>
      </w:r>
      <w:r w:rsidRPr="00387D20">
        <w:rPr>
          <w:lang w:val="el-GR"/>
        </w:rPr>
        <w:t xml:space="preserve"> (</w:t>
      </w:r>
      <w:r>
        <w:rPr>
          <w:lang w:val="el-GR"/>
        </w:rPr>
        <w:t>υπάρχουν ζητήματα εκτός υποχρεωτικότητας)</w:t>
      </w:r>
    </w:p>
    <w:p w14:paraId="73550E76" w14:textId="4F3BAAA0" w:rsidR="00387D20" w:rsidRDefault="00387D20" w:rsidP="00387D20">
      <w:pPr>
        <w:rPr>
          <w:lang w:val="el-GR"/>
        </w:rPr>
      </w:pPr>
      <w:r w:rsidRPr="00387D20">
        <w:rPr>
          <w:u w:val="single"/>
          <w:lang w:val="el-GR"/>
        </w:rPr>
        <w:t>Πώς δουλεύει το σύστημα</w:t>
      </w:r>
      <w:r>
        <w:rPr>
          <w:lang w:val="el-GR"/>
        </w:rPr>
        <w:t>;</w:t>
      </w:r>
    </w:p>
    <w:p w14:paraId="09BFF991" w14:textId="0F1810DE" w:rsidR="00387D20" w:rsidRPr="00910143" w:rsidRDefault="00596247" w:rsidP="00596247">
      <w:r>
        <w:rPr>
          <w:lang w:val="el-GR"/>
        </w:rPr>
        <w:t>4 διαδικασίες</w:t>
      </w:r>
      <w:r w:rsidR="00910143">
        <w:rPr>
          <w:lang w:val="el-GR"/>
        </w:rPr>
        <w:t xml:space="preserve"> (</w:t>
      </w:r>
      <w:r w:rsidR="00910143">
        <w:t>cafeteria approach)</w:t>
      </w:r>
    </w:p>
    <w:p w14:paraId="426D5972" w14:textId="2E7B77CC" w:rsidR="00596247" w:rsidRPr="00596247" w:rsidRDefault="00596247" w:rsidP="00596247">
      <w:pPr>
        <w:rPr>
          <w:color w:val="156082" w:themeColor="accent1"/>
          <w:lang w:val="el-GR"/>
        </w:rPr>
      </w:pPr>
      <w:r>
        <w:rPr>
          <w:lang w:val="el-GR"/>
        </w:rPr>
        <w:t xml:space="preserve">Α) </w:t>
      </w:r>
      <w:r w:rsidRPr="00596247">
        <w:rPr>
          <w:color w:val="156082" w:themeColor="accent1"/>
          <w:lang w:val="el-GR"/>
        </w:rPr>
        <w:t>Χάγη</w:t>
      </w:r>
    </w:p>
    <w:p w14:paraId="566E9A72" w14:textId="06489C6C" w:rsidR="00596247" w:rsidRDefault="00596247" w:rsidP="00596247">
      <w:r>
        <w:rPr>
          <w:lang w:val="el-GR"/>
        </w:rPr>
        <w:t xml:space="preserve">Β) </w:t>
      </w:r>
      <w:r w:rsidRPr="00596247">
        <w:rPr>
          <w:color w:val="156082" w:themeColor="accent1"/>
        </w:rPr>
        <w:t>ITLOS</w:t>
      </w:r>
    </w:p>
    <w:p w14:paraId="2E439810" w14:textId="629B0BF8" w:rsidR="00596247" w:rsidRPr="00596247" w:rsidRDefault="00596247" w:rsidP="00596247">
      <w:pPr>
        <w:rPr>
          <w:color w:val="156082" w:themeColor="accent1"/>
          <w:lang w:val="el-GR"/>
        </w:rPr>
      </w:pPr>
      <w:r>
        <w:rPr>
          <w:lang w:val="el-GR"/>
        </w:rPr>
        <w:t xml:space="preserve">Γ) </w:t>
      </w:r>
      <w:r w:rsidRPr="00596247">
        <w:rPr>
          <w:color w:val="156082" w:themeColor="accent1"/>
          <w:lang w:val="el-GR"/>
        </w:rPr>
        <w:t>Διαιτησία</w:t>
      </w:r>
    </w:p>
    <w:p w14:paraId="0188926A" w14:textId="7BA9BA1A" w:rsidR="00596247" w:rsidRDefault="00596247" w:rsidP="00596247">
      <w:pPr>
        <w:rPr>
          <w:color w:val="156082" w:themeColor="accent1"/>
        </w:rPr>
      </w:pPr>
      <w:r>
        <w:rPr>
          <w:lang w:val="el-GR"/>
        </w:rPr>
        <w:t xml:space="preserve">Δ) </w:t>
      </w:r>
      <w:r w:rsidRPr="00596247">
        <w:rPr>
          <w:color w:val="156082" w:themeColor="accent1"/>
          <w:lang w:val="el-GR"/>
        </w:rPr>
        <w:t xml:space="preserve">Ειδική Διαιτησία </w:t>
      </w:r>
    </w:p>
    <w:p w14:paraId="0D75B486" w14:textId="3DB8E239" w:rsidR="00910143" w:rsidRDefault="00910143" w:rsidP="00596247">
      <w:pPr>
        <w:rPr>
          <w:color w:val="156082" w:themeColor="accent1"/>
        </w:rPr>
      </w:pPr>
      <w:r w:rsidRPr="00910143">
        <w:rPr>
          <w:color w:val="156082" w:themeColor="accent1"/>
          <w:lang w:val="el-GR"/>
        </w:rPr>
        <w:t xml:space="preserve">+ </w:t>
      </w:r>
      <w:r>
        <w:rPr>
          <w:color w:val="156082" w:themeColor="accent1"/>
        </w:rPr>
        <w:t>Prompt Release</w:t>
      </w:r>
    </w:p>
    <w:p w14:paraId="22F95D81" w14:textId="323F14EB" w:rsidR="00910143" w:rsidRPr="00910143" w:rsidRDefault="00910143" w:rsidP="00910143">
      <w:pPr>
        <w:rPr>
          <w:b/>
          <w:bCs/>
        </w:rPr>
      </w:pPr>
      <w:r w:rsidRPr="00910143">
        <w:rPr>
          <w:b/>
          <w:bCs/>
        </w:rPr>
        <w:t>Article 292</w:t>
      </w:r>
      <w:r>
        <w:rPr>
          <w:b/>
          <w:bCs/>
        </w:rPr>
        <w:t xml:space="preserve">: </w:t>
      </w:r>
      <w:r w:rsidRPr="00910143">
        <w:rPr>
          <w:b/>
          <w:bCs/>
        </w:rPr>
        <w:t>Prompt release of vessels and crews</w:t>
      </w:r>
    </w:p>
    <w:p w14:paraId="2A0960A6" w14:textId="77777777" w:rsidR="00910143" w:rsidRPr="00910143" w:rsidRDefault="00910143" w:rsidP="00910143">
      <w:r w:rsidRPr="00910143">
        <w:t xml:space="preserve">1. Where the authorities of a State Party have detained a vessel flying the flag of another State Party and it is alleged that the detaining State has not complied with the provisions of this Convention for the prompt release of the vessel or its crew upon the posting of a reasonable bond or other financial security, </w:t>
      </w:r>
      <w:r w:rsidRPr="00910143">
        <w:rPr>
          <w:color w:val="156082" w:themeColor="accent1"/>
        </w:rPr>
        <w:t>the question of release from detention may be submitted to any court or tribunal agreed upon by the parties or, failing such agreement within 10 days from the time of detention, to a court or tribunal accepted by the detaining State under article 287 or to the International Tribunal for the Law of the Sea, unless the parties otherwise agree</w:t>
      </w:r>
      <w:r w:rsidRPr="00910143">
        <w:t>.</w:t>
      </w:r>
    </w:p>
    <w:p w14:paraId="456EDA7F" w14:textId="391238BD" w:rsidR="00910143" w:rsidRPr="00910143" w:rsidRDefault="00910143" w:rsidP="00910143">
      <w:r w:rsidRPr="00910143">
        <w:t>2. The application for release may be made only by or on behalf of the flag State of the vessel.</w:t>
      </w:r>
    </w:p>
    <w:p w14:paraId="48C11207" w14:textId="77777777" w:rsidR="00910143" w:rsidRPr="00910143" w:rsidRDefault="00910143" w:rsidP="00910143">
      <w:pPr>
        <w:rPr>
          <w:color w:val="156082" w:themeColor="accent1"/>
        </w:rPr>
      </w:pPr>
      <w:r w:rsidRPr="00910143">
        <w:t xml:space="preserve">3. The court or tribunal shall deal </w:t>
      </w:r>
      <w:r w:rsidRPr="00910143">
        <w:rPr>
          <w:color w:val="156082" w:themeColor="accent1"/>
        </w:rPr>
        <w:t xml:space="preserve">without delay </w:t>
      </w:r>
      <w:r w:rsidRPr="00910143">
        <w:t xml:space="preserve">with the application for release and shall deal only with the question of release, </w:t>
      </w:r>
      <w:r w:rsidRPr="00910143">
        <w:rPr>
          <w:color w:val="156082" w:themeColor="accent1"/>
        </w:rPr>
        <w:t xml:space="preserve">without prejudice </w:t>
      </w:r>
      <w:r w:rsidRPr="00910143">
        <w:t xml:space="preserve">to the merits of any case before the appropriate domestic forum against the vessel, its owner or its crew. </w:t>
      </w:r>
      <w:r w:rsidRPr="00910143">
        <w:rPr>
          <w:color w:val="156082" w:themeColor="accent1"/>
        </w:rPr>
        <w:t>The authorities of the detaining State remain competent to release the vessel or its crew at any time.</w:t>
      </w:r>
    </w:p>
    <w:p w14:paraId="178C0D02" w14:textId="77777777" w:rsidR="00910143" w:rsidRPr="00910143" w:rsidRDefault="00910143" w:rsidP="00910143">
      <w:pPr>
        <w:rPr>
          <w:color w:val="156082" w:themeColor="accent1"/>
        </w:rPr>
      </w:pPr>
      <w:r w:rsidRPr="00910143">
        <w:lastRenderedPageBreak/>
        <w:t xml:space="preserve">4. </w:t>
      </w:r>
      <w:r w:rsidRPr="00910143">
        <w:rPr>
          <w:color w:val="156082" w:themeColor="accent1"/>
        </w:rPr>
        <w:t>Upon the posting of the bond or other financial security determined by the court or tribunal, the authorities of the detaining State shall comply promptly with the decision of the court or tribunal concerning the release of the vessel or its crew.</w:t>
      </w:r>
    </w:p>
    <w:p w14:paraId="328340DF" w14:textId="77777777" w:rsidR="00910143" w:rsidRPr="00910143" w:rsidRDefault="00910143" w:rsidP="00596247"/>
    <w:p w14:paraId="1F2C696F" w14:textId="01461F04" w:rsidR="00596247" w:rsidRDefault="00596247" w:rsidP="00596247">
      <w:pPr>
        <w:rPr>
          <w:lang w:val="el-GR"/>
        </w:rPr>
      </w:pPr>
      <w:r>
        <w:rPr>
          <w:lang w:val="el-GR"/>
        </w:rPr>
        <w:t>Τα κράτη επιλέγουν μια διαδικασία. Εάν δεν έχουν επιλέξει ή εάν έχουν επιλέξει διαφορετικές διαδικασίες τότε →→ Διαιτησία</w:t>
      </w:r>
    </w:p>
    <w:p w14:paraId="4BF9C942" w14:textId="4BE025C6" w:rsidR="00596247" w:rsidRDefault="00596247" w:rsidP="00596247">
      <w:pPr>
        <w:rPr>
          <w:lang w:val="el-GR"/>
        </w:rPr>
      </w:pPr>
      <w:r>
        <w:rPr>
          <w:lang w:val="el-GR"/>
        </w:rPr>
        <w:t>Υποχρεωτική διαδικασία εκτός εάν τα κράτη συμφωνήσουν κάτι διαφορετικό</w:t>
      </w:r>
    </w:p>
    <w:p w14:paraId="7155847F" w14:textId="079BE8D7" w:rsidR="00596247" w:rsidRDefault="00596247" w:rsidP="00596247">
      <w:pPr>
        <w:rPr>
          <w:lang w:val="el-GR"/>
        </w:rPr>
      </w:pPr>
      <w:r>
        <w:t>Fragmentation</w:t>
      </w:r>
      <w:r w:rsidRPr="00596247">
        <w:rPr>
          <w:lang w:val="el-GR"/>
        </w:rPr>
        <w:t xml:space="preserve">? </w:t>
      </w:r>
      <w:r>
        <w:rPr>
          <w:lang w:val="el-GR"/>
        </w:rPr>
        <w:t>Μήπως ισχύει ούτως ή άλλως; (πχ. Η διαιτησία πάντα είναι μια εναλλακτική στη Χάγη)</w:t>
      </w:r>
    </w:p>
    <w:p w14:paraId="4E728A8C" w14:textId="32891A13" w:rsidR="00596247" w:rsidRDefault="00910143" w:rsidP="00596247">
      <w:r>
        <w:rPr>
          <w:lang w:val="el-GR"/>
        </w:rPr>
        <w:t>Εκτός υποχρεωτικότητας (</w:t>
      </w:r>
      <w:r>
        <w:t>salami-slicing)</w:t>
      </w:r>
    </w:p>
    <w:p w14:paraId="0F88058E" w14:textId="027B9B03" w:rsidR="00910143" w:rsidRDefault="00910143" w:rsidP="00596247">
      <w:pPr>
        <w:rPr>
          <w:lang w:val="el-GR"/>
        </w:rPr>
      </w:pPr>
      <w:r>
        <w:rPr>
          <w:lang w:val="el-GR"/>
        </w:rPr>
        <w:t>Διαφορές που για λόγους πολιτικής ευαισθησίας εξαιρούνται της υποχρεωτικότητας. Δεν υπάρχει ποιοτική διαφορά. Οι λόγοι είναι αμιγώς πολιτικοί.</w:t>
      </w:r>
    </w:p>
    <w:p w14:paraId="167D90A4" w14:textId="3965D15D" w:rsidR="00910143" w:rsidRPr="00634948" w:rsidRDefault="00910143" w:rsidP="00596247">
      <w:pPr>
        <w:rPr>
          <w:color w:val="156082" w:themeColor="accent1"/>
          <w:lang w:val="el-GR"/>
        </w:rPr>
      </w:pPr>
      <w:r>
        <w:rPr>
          <w:lang w:val="el-GR"/>
        </w:rPr>
        <w:t xml:space="preserve">Α) </w:t>
      </w:r>
      <w:r w:rsidRPr="00634948">
        <w:rPr>
          <w:color w:val="E97132" w:themeColor="accent2"/>
          <w:lang w:val="el-GR"/>
        </w:rPr>
        <w:t>Διαφορές ως προς τα δικαιώματα του παράκτιου κράτους στην αλιεία στην ΑΟΖ</w:t>
      </w:r>
    </w:p>
    <w:p w14:paraId="65A4D4D7" w14:textId="57B46CD9" w:rsidR="00E0391B" w:rsidRPr="00E0391B" w:rsidRDefault="00E0391B" w:rsidP="00E0391B">
      <w:pPr>
        <w:rPr>
          <w:b/>
          <w:bCs/>
        </w:rPr>
      </w:pPr>
      <w:r w:rsidRPr="00E0391B">
        <w:rPr>
          <w:b/>
          <w:bCs/>
        </w:rPr>
        <w:t>Article 297</w:t>
      </w:r>
      <w:r w:rsidRPr="00E0391B">
        <w:rPr>
          <w:b/>
          <w:bCs/>
        </w:rPr>
        <w:t xml:space="preserve">: </w:t>
      </w:r>
      <w:r w:rsidRPr="00E0391B">
        <w:rPr>
          <w:b/>
          <w:bCs/>
        </w:rPr>
        <w:t>Limitations on applicability of section 2</w:t>
      </w:r>
    </w:p>
    <w:p w14:paraId="7AD307B1" w14:textId="0A8FB90A" w:rsidR="00E0391B" w:rsidRPr="00E0391B" w:rsidRDefault="00E0391B" w:rsidP="00E0391B">
      <w:pPr>
        <w:rPr>
          <w:b/>
          <w:bCs/>
        </w:rPr>
      </w:pPr>
      <w:r w:rsidRPr="00E0391B">
        <w:rPr>
          <w:b/>
          <w:bCs/>
        </w:rPr>
        <w:t>[…]</w:t>
      </w:r>
    </w:p>
    <w:p w14:paraId="0CDB1CBF" w14:textId="77777777" w:rsidR="00E0391B" w:rsidRPr="00E0391B" w:rsidRDefault="00E0391B" w:rsidP="00E0391B">
      <w:pPr>
        <w:rPr>
          <w:color w:val="156082" w:themeColor="accent1"/>
        </w:rPr>
      </w:pPr>
      <w:r w:rsidRPr="00E0391B">
        <w:t xml:space="preserve">2. (a) Disputes concerning the interpretation or application of the provisions of this Convention </w:t>
      </w:r>
      <w:proofErr w:type="gramStart"/>
      <w:r w:rsidRPr="00E0391B">
        <w:t>with regard to</w:t>
      </w:r>
      <w:proofErr w:type="gramEnd"/>
      <w:r w:rsidRPr="00E0391B">
        <w:t xml:space="preserve"> marine scientific research shall be settled in accordance with section 2, </w:t>
      </w:r>
      <w:r w:rsidRPr="00E0391B">
        <w:rPr>
          <w:color w:val="156082" w:themeColor="accent1"/>
        </w:rPr>
        <w:t>except that the coastal State shall not be obliged to accept the submission to such settlement of any dispute arising out of:</w:t>
      </w:r>
    </w:p>
    <w:p w14:paraId="4CEA8036" w14:textId="77777777" w:rsidR="00E0391B" w:rsidRPr="00E0391B" w:rsidRDefault="00E0391B" w:rsidP="00E0391B">
      <w:pPr>
        <w:rPr>
          <w:color w:val="156082" w:themeColor="accent1"/>
        </w:rPr>
      </w:pPr>
      <w:r w:rsidRPr="00E0391B">
        <w:rPr>
          <w:color w:val="156082" w:themeColor="accent1"/>
        </w:rPr>
        <w:t>(</w:t>
      </w:r>
      <w:proofErr w:type="spellStart"/>
      <w:r w:rsidRPr="00E0391B">
        <w:rPr>
          <w:color w:val="156082" w:themeColor="accent1"/>
        </w:rPr>
        <w:t>i</w:t>
      </w:r>
      <w:proofErr w:type="spellEnd"/>
      <w:r w:rsidRPr="00E0391B">
        <w:rPr>
          <w:color w:val="156082" w:themeColor="accent1"/>
        </w:rPr>
        <w:t>) the exercise by the coastal State of a right or discretion in accordance with article 246; or</w:t>
      </w:r>
    </w:p>
    <w:p w14:paraId="5B4573A1" w14:textId="77777777" w:rsidR="00E0391B" w:rsidRPr="00E0391B" w:rsidRDefault="00E0391B" w:rsidP="00E0391B">
      <w:pPr>
        <w:rPr>
          <w:color w:val="156082" w:themeColor="accent1"/>
        </w:rPr>
      </w:pPr>
      <w:r w:rsidRPr="00E0391B">
        <w:rPr>
          <w:color w:val="156082" w:themeColor="accent1"/>
        </w:rPr>
        <w:t>(ii) a decision by the coastal State to order suspension or cessation of a research project in accordance with article 253.</w:t>
      </w:r>
    </w:p>
    <w:p w14:paraId="1271C36E" w14:textId="77777777" w:rsidR="00E0391B" w:rsidRPr="00E0391B" w:rsidRDefault="00E0391B" w:rsidP="00E0391B">
      <w:r w:rsidRPr="00E0391B">
        <w:t xml:space="preserve">(b) A dispute arising from an allegation by the researching State that with respect to a specific project the coastal State is not exercising its rights under articles 246 and 253 in a manner compatible with this Convention </w:t>
      </w:r>
      <w:r w:rsidRPr="00E0391B">
        <w:rPr>
          <w:color w:val="156082" w:themeColor="accent1"/>
        </w:rPr>
        <w:t>shall be submitted, at the request of either party, to conciliation under Annex V, section 2</w:t>
      </w:r>
      <w:r w:rsidRPr="00E0391B">
        <w:t>, provided that the conciliation commission shall not call in question the exercise by the coastal State of its discretion to designate specific areas as referred to in article 246, paragraph 6, or of its discretion to withhold consent in accordance with article 246, paragraph 5.</w:t>
      </w:r>
    </w:p>
    <w:p w14:paraId="31630191" w14:textId="77777777" w:rsidR="00E0391B" w:rsidRDefault="00E0391B" w:rsidP="00E0391B">
      <w:pPr>
        <w:rPr>
          <w:color w:val="156082" w:themeColor="accent1"/>
          <w:lang w:val="el-GR"/>
        </w:rPr>
      </w:pPr>
      <w:r w:rsidRPr="00E0391B">
        <w:t xml:space="preserve">3. (a) Disputes concerning the interpretation or application of the provisions of this Convention with regard to fisheries shall be settled in accordance with section 2, </w:t>
      </w:r>
      <w:r w:rsidRPr="00E0391B">
        <w:rPr>
          <w:color w:val="156082" w:themeColor="accent1"/>
        </w:rPr>
        <w:t xml:space="preserve">except that the coastal State shall not be obliged to accept the submission to such settlement of any dispute relating to its sovereign rights with respect to the living resources in the </w:t>
      </w:r>
      <w:r w:rsidRPr="00E0391B">
        <w:rPr>
          <w:color w:val="156082" w:themeColor="accent1"/>
        </w:rPr>
        <w:lastRenderedPageBreak/>
        <w:t>exclusive economic zone or their exercise, including its discretionary powers for determining the allowable catch, its harvesting capacity, the allocation of surpluses to other States and the terms and conditions established in its conservation and management laws and regulations.</w:t>
      </w:r>
    </w:p>
    <w:p w14:paraId="3D4971C3" w14:textId="3B7CAF82" w:rsidR="00634948" w:rsidRPr="00E0391B" w:rsidRDefault="00634948" w:rsidP="00E0391B">
      <w:pPr>
        <w:rPr>
          <w:color w:val="156082" w:themeColor="accent1"/>
          <w:lang w:val="el-GR"/>
        </w:rPr>
      </w:pPr>
      <w:r w:rsidRPr="00634948">
        <w:rPr>
          <w:b/>
          <w:bCs/>
          <w:lang w:val="el-GR"/>
        </w:rPr>
        <w:t>Β)</w:t>
      </w:r>
      <w:r w:rsidRPr="00634948">
        <w:rPr>
          <w:color w:val="156082" w:themeColor="accent1"/>
          <w:lang w:val="el-GR"/>
        </w:rPr>
        <w:t xml:space="preserve"> </w:t>
      </w:r>
      <w:r w:rsidRPr="00634948">
        <w:rPr>
          <w:color w:val="E97132" w:themeColor="accent2"/>
          <w:lang w:val="el-GR"/>
        </w:rPr>
        <w:t>Διαφορές οριοθέτησης</w:t>
      </w:r>
    </w:p>
    <w:p w14:paraId="5B74D6BE" w14:textId="6141FD8C" w:rsidR="00E0391B" w:rsidRPr="00E0391B" w:rsidRDefault="00E0391B" w:rsidP="00E0391B">
      <w:pPr>
        <w:rPr>
          <w:b/>
          <w:bCs/>
        </w:rPr>
      </w:pPr>
      <w:r w:rsidRPr="00E0391B">
        <w:rPr>
          <w:b/>
          <w:bCs/>
        </w:rPr>
        <w:t>Article 298</w:t>
      </w:r>
      <w:r w:rsidRPr="00E0391B">
        <w:rPr>
          <w:b/>
          <w:bCs/>
        </w:rPr>
        <w:t xml:space="preserve">: </w:t>
      </w:r>
      <w:r w:rsidRPr="00E0391B">
        <w:rPr>
          <w:b/>
          <w:bCs/>
        </w:rPr>
        <w:t>Optional exceptions to applicability of section 2</w:t>
      </w:r>
    </w:p>
    <w:p w14:paraId="2C5F0D7E" w14:textId="77777777" w:rsidR="00E0391B" w:rsidRPr="00E0391B" w:rsidRDefault="00E0391B" w:rsidP="00E0391B">
      <w:r w:rsidRPr="00E0391B">
        <w:t>1. When signing, ratifying or acceding to this Convention or at any time thereafter, a State may, without prejudice to the obligations arising under section 1, declare in writing that it does not accept any one or more of the procedures provided for in section 2 with respect to one or more of the following categories of disputes:</w:t>
      </w:r>
    </w:p>
    <w:p w14:paraId="559565C7" w14:textId="77777777" w:rsidR="00E0391B" w:rsidRPr="00E0391B" w:rsidRDefault="00E0391B" w:rsidP="00E0391B">
      <w:r w:rsidRPr="00E0391B">
        <w:t>(a) (</w:t>
      </w:r>
      <w:proofErr w:type="spellStart"/>
      <w:r w:rsidRPr="00E0391B">
        <w:t>i</w:t>
      </w:r>
      <w:proofErr w:type="spellEnd"/>
      <w:r w:rsidRPr="00E0391B">
        <w:t>) disputes concerning the interpretation or application of articles 15, 74 and 83 relating to sea boundary delimitations, or those involving historic bays or titles, provided that a State having made such a declaration shall, when such a dispute arises subsequent to the entry into force of this Convention and where no agreement within a reasonable period of time is reached in negotiations between the parties, at the request of any party to the dispute, accept submission of the matter to conciliation under Annex V, section 2; and provided further that any dispute that necessarily involves the concurrent consideration of any unsettled dispute concerning sovereignty or other rights over continental or insular land territory shall be excluded from such submission;</w:t>
      </w:r>
    </w:p>
    <w:p w14:paraId="7688A411" w14:textId="2C721835" w:rsidR="00910143" w:rsidRPr="00AF44DA" w:rsidRDefault="00AF44DA" w:rsidP="00596247">
      <w:pPr>
        <w:rPr>
          <w:b/>
          <w:bCs/>
          <w:lang w:val="el-GR"/>
        </w:rPr>
      </w:pPr>
      <w:r w:rsidRPr="00AF44DA">
        <w:rPr>
          <w:b/>
          <w:bCs/>
          <w:lang w:val="el-GR"/>
        </w:rPr>
        <w:t xml:space="preserve">Η ειδική θέση του </w:t>
      </w:r>
      <w:r w:rsidRPr="00AF44DA">
        <w:rPr>
          <w:b/>
          <w:bCs/>
        </w:rPr>
        <w:t>ITLOS</w:t>
      </w:r>
      <w:r w:rsidRPr="00AF44DA">
        <w:rPr>
          <w:b/>
          <w:bCs/>
          <w:lang w:val="el-GR"/>
        </w:rPr>
        <w:t xml:space="preserve"> </w:t>
      </w:r>
      <w:r w:rsidRPr="00AF44DA">
        <w:rPr>
          <w:b/>
          <w:bCs/>
        </w:rPr>
        <w:t>Seabed</w:t>
      </w:r>
      <w:r w:rsidRPr="00AF44DA">
        <w:rPr>
          <w:b/>
          <w:bCs/>
          <w:lang w:val="el-GR"/>
        </w:rPr>
        <w:t xml:space="preserve"> </w:t>
      </w:r>
      <w:r w:rsidRPr="00AF44DA">
        <w:rPr>
          <w:b/>
          <w:bCs/>
        </w:rPr>
        <w:t>Disputes</w:t>
      </w:r>
      <w:r w:rsidRPr="00AF44DA">
        <w:rPr>
          <w:b/>
          <w:bCs/>
          <w:lang w:val="el-GR"/>
        </w:rPr>
        <w:t xml:space="preserve"> </w:t>
      </w:r>
      <w:r w:rsidRPr="00AF44DA">
        <w:rPr>
          <w:b/>
          <w:bCs/>
        </w:rPr>
        <w:t>Chamber</w:t>
      </w:r>
    </w:p>
    <w:sectPr w:rsidR="00910143" w:rsidRPr="00AF44D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A961C" w14:textId="77777777" w:rsidR="007826E3" w:rsidRDefault="007826E3" w:rsidP="005964E7">
      <w:pPr>
        <w:spacing w:after="0" w:line="240" w:lineRule="auto"/>
      </w:pPr>
      <w:r>
        <w:separator/>
      </w:r>
    </w:p>
  </w:endnote>
  <w:endnote w:type="continuationSeparator" w:id="0">
    <w:p w14:paraId="7F5AA908" w14:textId="77777777" w:rsidR="007826E3" w:rsidRDefault="007826E3" w:rsidP="00596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791356"/>
      <w:docPartObj>
        <w:docPartGallery w:val="Page Numbers (Bottom of Page)"/>
        <w:docPartUnique/>
      </w:docPartObj>
    </w:sdtPr>
    <w:sdtContent>
      <w:p w14:paraId="1D02399A" w14:textId="24277B6D" w:rsidR="005975CC" w:rsidRDefault="005975CC">
        <w:pPr>
          <w:pStyle w:val="Footer"/>
          <w:jc w:val="center"/>
        </w:pPr>
        <w:r>
          <w:fldChar w:fldCharType="begin"/>
        </w:r>
        <w:r>
          <w:instrText>PAGE   \* MERGEFORMAT</w:instrText>
        </w:r>
        <w:r>
          <w:fldChar w:fldCharType="separate"/>
        </w:r>
        <w:r>
          <w:t>2</w:t>
        </w:r>
        <w:r>
          <w:fldChar w:fldCharType="end"/>
        </w:r>
      </w:p>
    </w:sdtContent>
  </w:sdt>
  <w:p w14:paraId="3F92FFFE" w14:textId="77777777" w:rsidR="005975CC" w:rsidRDefault="00597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E3BC6" w14:textId="77777777" w:rsidR="007826E3" w:rsidRDefault="007826E3" w:rsidP="005964E7">
      <w:pPr>
        <w:spacing w:after="0" w:line="240" w:lineRule="auto"/>
      </w:pPr>
      <w:r>
        <w:separator/>
      </w:r>
    </w:p>
  </w:footnote>
  <w:footnote w:type="continuationSeparator" w:id="0">
    <w:p w14:paraId="7A4B02AF" w14:textId="77777777" w:rsidR="007826E3" w:rsidRDefault="007826E3" w:rsidP="00596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D12F" w14:textId="54288DDB" w:rsidR="005964E7" w:rsidRPr="005964E7" w:rsidRDefault="005964E7">
    <w:pPr>
      <w:pStyle w:val="Header"/>
      <w:rPr>
        <w:color w:val="156082" w:themeColor="accent1"/>
        <w:sz w:val="22"/>
        <w:szCs w:val="22"/>
      </w:rPr>
    </w:pPr>
    <w:r w:rsidRPr="005964E7">
      <w:rPr>
        <w:color w:val="156082" w:themeColor="accent1"/>
        <w:sz w:val="22"/>
        <w:szCs w:val="22"/>
        <w:lang w:val="el-GR"/>
      </w:rPr>
      <w:t>Δίκαιο της Θάλασσας</w:t>
    </w:r>
    <w:r w:rsidRPr="005964E7">
      <w:rPr>
        <w:color w:val="156082" w:themeColor="accent1"/>
        <w:sz w:val="22"/>
        <w:szCs w:val="22"/>
      </w:rPr>
      <w:ptab w:relativeTo="margin" w:alignment="center" w:leader="none"/>
    </w:r>
    <w:r w:rsidRPr="005964E7">
      <w:rPr>
        <w:color w:val="156082" w:themeColor="accent1"/>
        <w:sz w:val="22"/>
        <w:szCs w:val="22"/>
      </w:rPr>
      <w:ptab w:relativeTo="margin" w:alignment="right" w:leader="none"/>
    </w:r>
    <w:r w:rsidRPr="005964E7">
      <w:rPr>
        <w:color w:val="156082" w:themeColor="accent1"/>
        <w:sz w:val="22"/>
        <w:szCs w:val="22"/>
        <w:lang w:val="el-GR"/>
      </w:rPr>
      <w:t>Επίλυση Διαφορών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43014"/>
    <w:multiLevelType w:val="hybridMultilevel"/>
    <w:tmpl w:val="CBA89B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F159F2"/>
    <w:multiLevelType w:val="hybridMultilevel"/>
    <w:tmpl w:val="9252E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0100191">
    <w:abstractNumId w:val="0"/>
  </w:num>
  <w:num w:numId="2" w16cid:durableId="191766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E7"/>
    <w:rsid w:val="00350930"/>
    <w:rsid w:val="00387D20"/>
    <w:rsid w:val="00596247"/>
    <w:rsid w:val="005964E7"/>
    <w:rsid w:val="005975CC"/>
    <w:rsid w:val="00634948"/>
    <w:rsid w:val="007273D3"/>
    <w:rsid w:val="007826E3"/>
    <w:rsid w:val="00910143"/>
    <w:rsid w:val="00AF44DA"/>
    <w:rsid w:val="00E03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AD1C"/>
  <w15:chartTrackingRefBased/>
  <w15:docId w15:val="{AE5B2947-0F0C-4C18-AF1A-05227655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4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64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4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4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4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6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4E7"/>
    <w:rPr>
      <w:rFonts w:eastAsiaTheme="majorEastAsia" w:cstheme="majorBidi"/>
      <w:color w:val="272727" w:themeColor="text1" w:themeTint="D8"/>
    </w:rPr>
  </w:style>
  <w:style w:type="paragraph" w:styleId="Title">
    <w:name w:val="Title"/>
    <w:basedOn w:val="Normal"/>
    <w:next w:val="Normal"/>
    <w:link w:val="TitleChar"/>
    <w:uiPriority w:val="10"/>
    <w:qFormat/>
    <w:rsid w:val="00596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4E7"/>
    <w:pPr>
      <w:spacing w:before="160"/>
      <w:jc w:val="center"/>
    </w:pPr>
    <w:rPr>
      <w:i/>
      <w:iCs/>
      <w:color w:val="404040" w:themeColor="text1" w:themeTint="BF"/>
    </w:rPr>
  </w:style>
  <w:style w:type="character" w:customStyle="1" w:styleId="QuoteChar">
    <w:name w:val="Quote Char"/>
    <w:basedOn w:val="DefaultParagraphFont"/>
    <w:link w:val="Quote"/>
    <w:uiPriority w:val="29"/>
    <w:rsid w:val="005964E7"/>
    <w:rPr>
      <w:i/>
      <w:iCs/>
      <w:color w:val="404040" w:themeColor="text1" w:themeTint="BF"/>
    </w:rPr>
  </w:style>
  <w:style w:type="paragraph" w:styleId="ListParagraph">
    <w:name w:val="List Paragraph"/>
    <w:basedOn w:val="Normal"/>
    <w:uiPriority w:val="34"/>
    <w:qFormat/>
    <w:rsid w:val="005964E7"/>
    <w:pPr>
      <w:ind w:left="720"/>
      <w:contextualSpacing/>
    </w:pPr>
  </w:style>
  <w:style w:type="character" w:styleId="IntenseEmphasis">
    <w:name w:val="Intense Emphasis"/>
    <w:basedOn w:val="DefaultParagraphFont"/>
    <w:uiPriority w:val="21"/>
    <w:qFormat/>
    <w:rsid w:val="005964E7"/>
    <w:rPr>
      <w:i/>
      <w:iCs/>
      <w:color w:val="0F4761" w:themeColor="accent1" w:themeShade="BF"/>
    </w:rPr>
  </w:style>
  <w:style w:type="paragraph" w:styleId="IntenseQuote">
    <w:name w:val="Intense Quote"/>
    <w:basedOn w:val="Normal"/>
    <w:next w:val="Normal"/>
    <w:link w:val="IntenseQuoteChar"/>
    <w:uiPriority w:val="30"/>
    <w:qFormat/>
    <w:rsid w:val="00596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4E7"/>
    <w:rPr>
      <w:i/>
      <w:iCs/>
      <w:color w:val="0F4761" w:themeColor="accent1" w:themeShade="BF"/>
    </w:rPr>
  </w:style>
  <w:style w:type="character" w:styleId="IntenseReference">
    <w:name w:val="Intense Reference"/>
    <w:basedOn w:val="DefaultParagraphFont"/>
    <w:uiPriority w:val="32"/>
    <w:qFormat/>
    <w:rsid w:val="005964E7"/>
    <w:rPr>
      <w:b/>
      <w:bCs/>
      <w:smallCaps/>
      <w:color w:val="0F4761" w:themeColor="accent1" w:themeShade="BF"/>
      <w:spacing w:val="5"/>
    </w:rPr>
  </w:style>
  <w:style w:type="paragraph" w:styleId="Header">
    <w:name w:val="header"/>
    <w:basedOn w:val="Normal"/>
    <w:link w:val="HeaderChar"/>
    <w:uiPriority w:val="99"/>
    <w:unhideWhenUsed/>
    <w:rsid w:val="005964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4E7"/>
  </w:style>
  <w:style w:type="paragraph" w:styleId="Footer">
    <w:name w:val="footer"/>
    <w:basedOn w:val="Normal"/>
    <w:link w:val="FooterChar"/>
    <w:uiPriority w:val="99"/>
    <w:unhideWhenUsed/>
    <w:rsid w:val="005964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687710">
      <w:bodyDiv w:val="1"/>
      <w:marLeft w:val="0"/>
      <w:marRight w:val="0"/>
      <w:marTop w:val="0"/>
      <w:marBottom w:val="0"/>
      <w:divBdr>
        <w:top w:val="none" w:sz="0" w:space="0" w:color="auto"/>
        <w:left w:val="none" w:sz="0" w:space="0" w:color="auto"/>
        <w:bottom w:val="none" w:sz="0" w:space="0" w:color="auto"/>
        <w:right w:val="none" w:sz="0" w:space="0" w:color="auto"/>
      </w:divBdr>
    </w:div>
    <w:div w:id="202173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Plakokefalos</dc:creator>
  <cp:keywords/>
  <dc:description/>
  <cp:lastModifiedBy>Ilias Plakokefalos</cp:lastModifiedBy>
  <cp:revision>5</cp:revision>
  <dcterms:created xsi:type="dcterms:W3CDTF">2025-05-01T14:28:00Z</dcterms:created>
  <dcterms:modified xsi:type="dcterms:W3CDTF">2025-05-01T14:41:00Z</dcterms:modified>
</cp:coreProperties>
</file>