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B151A" w14:textId="34D58B31" w:rsidR="00BD78F8" w:rsidRPr="00BD78F8" w:rsidRDefault="00BD78F8" w:rsidP="00BD78F8">
      <w:pPr>
        <w:rPr>
          <w:lang w:val="el-GR"/>
        </w:rPr>
      </w:pPr>
      <w:bookmarkStart w:id="0" w:name="_Hlk56417989"/>
      <w:r w:rsidRPr="00BD78F8">
        <w:rPr>
          <w:lang w:val="el-GR"/>
        </w:rPr>
        <w:t xml:space="preserve">Μάθημα: </w:t>
      </w:r>
      <w:r w:rsidR="00B75960">
        <w:rPr>
          <w:lang w:val="el-GR"/>
        </w:rPr>
        <w:t>10</w:t>
      </w:r>
      <w:r w:rsidRPr="00BD78F8">
        <w:rPr>
          <w:lang w:val="el-GR"/>
        </w:rPr>
        <w:t>/11/2020</w:t>
      </w:r>
    </w:p>
    <w:p w14:paraId="7D156D78" w14:textId="77777777" w:rsidR="00BD78F8" w:rsidRPr="00BD78F8" w:rsidRDefault="00BD78F8" w:rsidP="00BD78F8">
      <w:pPr>
        <w:rPr>
          <w:b/>
          <w:bCs/>
          <w:u w:val="single"/>
          <w:lang w:val="el-GR"/>
        </w:rPr>
      </w:pPr>
      <w:r w:rsidRPr="00BD78F8">
        <w:rPr>
          <w:b/>
          <w:bCs/>
          <w:u w:val="single"/>
          <w:lang w:val="el-GR"/>
        </w:rPr>
        <w:t>Σημειώσεις</w:t>
      </w:r>
    </w:p>
    <w:p w14:paraId="30152744" w14:textId="77777777" w:rsidR="00BD78F8" w:rsidRDefault="00BD78F8" w:rsidP="003B565C">
      <w:pPr>
        <w:jc w:val="center"/>
        <w:rPr>
          <w:sz w:val="28"/>
          <w:szCs w:val="28"/>
          <w:lang w:val="el-GR"/>
        </w:rPr>
      </w:pPr>
    </w:p>
    <w:p w14:paraId="51D96FE8" w14:textId="77777777" w:rsidR="00BD78F8" w:rsidRDefault="00BD78F8" w:rsidP="003B565C">
      <w:pPr>
        <w:jc w:val="center"/>
        <w:rPr>
          <w:sz w:val="28"/>
          <w:szCs w:val="28"/>
          <w:lang w:val="el-GR"/>
        </w:rPr>
      </w:pPr>
    </w:p>
    <w:p w14:paraId="14F0ADF7" w14:textId="277D2F72" w:rsidR="00E47826" w:rsidRPr="00B75960" w:rsidRDefault="004A7727" w:rsidP="003B565C">
      <w:pPr>
        <w:jc w:val="center"/>
        <w:rPr>
          <w:sz w:val="28"/>
          <w:szCs w:val="28"/>
          <w:lang w:val="el-GR"/>
        </w:rPr>
      </w:pPr>
      <w:r w:rsidRPr="003B565C">
        <w:rPr>
          <w:sz w:val="28"/>
          <w:szCs w:val="28"/>
          <w:lang w:val="el-GR"/>
        </w:rPr>
        <w:t>Σχέσεις Διεθνούς και Εσωτερικού Δικαίου</w:t>
      </w:r>
    </w:p>
    <w:p w14:paraId="042D8ED2" w14:textId="77777777" w:rsidR="00BD78F8" w:rsidRDefault="00BD78F8">
      <w:pPr>
        <w:rPr>
          <w:lang w:val="el-GR"/>
        </w:rPr>
      </w:pPr>
    </w:p>
    <w:p w14:paraId="63491B55" w14:textId="06AA6BA4" w:rsidR="004A7727" w:rsidRDefault="004A7727">
      <w:pPr>
        <w:rPr>
          <w:u w:val="single"/>
          <w:lang w:val="el-GR"/>
        </w:rPr>
      </w:pPr>
    </w:p>
    <w:p w14:paraId="52F02B4C" w14:textId="189AF72C" w:rsidR="004A7727" w:rsidRPr="003B565C" w:rsidRDefault="004A7727">
      <w:pPr>
        <w:rPr>
          <w:b/>
          <w:bCs/>
          <w:i/>
          <w:iCs/>
          <w:lang w:val="el-GR"/>
        </w:rPr>
      </w:pPr>
      <w:r w:rsidRPr="003B565C">
        <w:rPr>
          <w:b/>
          <w:bCs/>
          <w:i/>
          <w:iCs/>
          <w:lang w:val="el-GR"/>
        </w:rPr>
        <w:t>Δυαδισμός και Μονισμός</w:t>
      </w:r>
    </w:p>
    <w:p w14:paraId="0C091F31" w14:textId="434AF27F" w:rsidR="004A7727" w:rsidRPr="003B565C" w:rsidRDefault="004A7727" w:rsidP="004A7727">
      <w:pPr>
        <w:rPr>
          <w:b/>
          <w:bCs/>
          <w:i/>
          <w:iCs/>
          <w:lang w:val="el-GR"/>
        </w:rPr>
      </w:pPr>
      <w:r w:rsidRPr="003B565C">
        <w:rPr>
          <w:b/>
          <w:bCs/>
          <w:i/>
          <w:iCs/>
          <w:lang w:val="el-GR"/>
        </w:rPr>
        <w:t>Δυαδισμός</w:t>
      </w:r>
    </w:p>
    <w:p w14:paraId="55542660" w14:textId="29D8CE0F" w:rsidR="004A7727" w:rsidRDefault="004A7727" w:rsidP="004A7727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Διεθνές και εσωτερικό δίκαιο = ισοδύναμα και ανεξάρτητα </w:t>
      </w:r>
      <w:r>
        <w:rPr>
          <w:rFonts w:cstheme="minorHAnsi"/>
          <w:lang w:val="el-GR"/>
        </w:rPr>
        <w:t>→</w:t>
      </w:r>
      <w:r>
        <w:rPr>
          <w:lang w:val="el-GR"/>
        </w:rPr>
        <w:t xml:space="preserve"> άλλες πηγές/διαφορετικά υποκείμενα/διαφορετική θεσμική διάρθρωση</w:t>
      </w:r>
    </w:p>
    <w:p w14:paraId="7D65E039" w14:textId="57ABF3BC" w:rsidR="004A7727" w:rsidRDefault="004A7727" w:rsidP="004A7727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Ακόμη και σε ακραίες περιπτώσεις όπου μια διεθνής συνθήκη περιέχει ενιαίο δίκαιο αυτό δεν εκτείνεται στο εσωτερικό δίκαιο μόνο του</w:t>
      </w:r>
      <w:r>
        <w:rPr>
          <w:rFonts w:cstheme="minorHAnsi"/>
          <w:lang w:val="el-GR"/>
        </w:rPr>
        <w:t>→</w:t>
      </w:r>
      <w:r>
        <w:rPr>
          <w:lang w:val="el-GR"/>
        </w:rPr>
        <w:t xml:space="preserve"> απλώς η πολιτεία θεσπίζει παράλληλο κανόνα</w:t>
      </w:r>
    </w:p>
    <w:p w14:paraId="50FE5BD8" w14:textId="191FFE48" w:rsidR="004A7727" w:rsidRDefault="004A7727" w:rsidP="004A7727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Όργανα το κράτους=</w:t>
      </w:r>
      <w:r w:rsidR="007F5395" w:rsidRPr="007F5395">
        <w:rPr>
          <w:lang w:val="el-GR"/>
        </w:rPr>
        <w:t xml:space="preserve"> </w:t>
      </w:r>
      <w:r>
        <w:rPr>
          <w:lang w:val="el-GR"/>
        </w:rPr>
        <w:t xml:space="preserve">ενεργούντα </w:t>
      </w:r>
      <w:r w:rsidR="007F5395">
        <w:rPr>
          <w:lang w:val="el-GR"/>
        </w:rPr>
        <w:t>κατ’ επιταγή</w:t>
      </w:r>
      <w:r>
        <w:rPr>
          <w:lang w:val="el-GR"/>
        </w:rPr>
        <w:t xml:space="preserve"> του εσωτερικού δικαίου</w:t>
      </w:r>
    </w:p>
    <w:p w14:paraId="26DDA709" w14:textId="1AC1984E" w:rsidR="004A7727" w:rsidRDefault="004A7727" w:rsidP="004A7727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Η πολιτεία δεν πρέπει να παραβιάζει τις διεθνείς της υποχρεώσεις</w:t>
      </w:r>
    </w:p>
    <w:p w14:paraId="0FFCA2DC" w14:textId="59F3E642" w:rsidR="004A7727" w:rsidRDefault="004A7727" w:rsidP="004A7727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Η παρεχόμενη διακριτική ευχέρεια προϋποθέτει την άσκησή της σύμφωνα με τις διεθνείς υποχρεώσεις του κράτους</w:t>
      </w:r>
    </w:p>
    <w:p w14:paraId="7CD5558E" w14:textId="6F4FCC46" w:rsidR="004A7727" w:rsidRDefault="004A7727" w:rsidP="004A7727">
      <w:pPr>
        <w:pStyle w:val="a3"/>
        <w:numPr>
          <w:ilvl w:val="0"/>
          <w:numId w:val="2"/>
        </w:numPr>
        <w:rPr>
          <w:lang w:val="el-GR"/>
        </w:rPr>
      </w:pPr>
      <w:r>
        <w:rPr>
          <w:lang w:val="el-GR"/>
        </w:rPr>
        <w:t>Διάκριση μεταξύ υποχρεώσεων συμπεριφοράς και υποχρεώσεων αποτελέσματος</w:t>
      </w:r>
    </w:p>
    <w:p w14:paraId="635C9B0E" w14:textId="1DA10176" w:rsidR="004A7727" w:rsidRPr="003B565C" w:rsidRDefault="004A7727" w:rsidP="004A7727">
      <w:pPr>
        <w:rPr>
          <w:b/>
          <w:bCs/>
          <w:i/>
          <w:iCs/>
          <w:lang w:val="el-GR"/>
        </w:rPr>
      </w:pPr>
      <w:r w:rsidRPr="003B565C">
        <w:rPr>
          <w:b/>
          <w:bCs/>
          <w:i/>
          <w:iCs/>
          <w:lang w:val="el-GR"/>
        </w:rPr>
        <w:t>Μονισμός</w:t>
      </w:r>
    </w:p>
    <w:p w14:paraId="44C1D140" w14:textId="244350EC" w:rsidR="004A7727" w:rsidRDefault="004A7727" w:rsidP="004A7727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t>Το δίκαιο είναι ενιαίο με ιεραρχική σχέση μεταξύ των κανόνων όπως προκύπτουν στις έννομες τάξεις</w:t>
      </w:r>
    </w:p>
    <w:p w14:paraId="45842721" w14:textId="0A94147B" w:rsidR="004A7727" w:rsidRPr="009F4261" w:rsidRDefault="004A7727" w:rsidP="004A7727">
      <w:pPr>
        <w:ind w:left="360"/>
        <w:rPr>
          <w:color w:val="C00000"/>
        </w:rPr>
      </w:pPr>
      <w:r w:rsidRPr="009F4261">
        <w:rPr>
          <w:color w:val="C00000"/>
        </w:rPr>
        <w:t>Hans Kelsen, Pure Theory of Law</w:t>
      </w:r>
    </w:p>
    <w:p w14:paraId="6DE259A5" w14:textId="7B6AE067" w:rsidR="004A7727" w:rsidRDefault="004A7727" w:rsidP="004A7727">
      <w:pPr>
        <w:ind w:left="360"/>
      </w:pPr>
      <w:r>
        <w:t>‘Can there be an insoluble conflict between two systems of norms? No conflict between international and national law. A delict does not constitute a negation of the law, something that is not law</w:t>
      </w:r>
      <w:r w:rsidR="0077342F">
        <w:t>,</w:t>
      </w:r>
      <w:r>
        <w:t xml:space="preserve"> but it is only a condition to which the law attaches specific consequences</w:t>
      </w:r>
      <w:r w:rsidR="007F5395">
        <w:t xml:space="preserve"> </w:t>
      </w:r>
      <w:r w:rsidR="007F5395">
        <w:rPr>
          <w:rFonts w:cstheme="minorHAnsi"/>
        </w:rPr>
        <w:t>→</w:t>
      </w:r>
      <w:r w:rsidR="007F5395">
        <w:t>there is no contradiction between law and delict.</w:t>
      </w:r>
    </w:p>
    <w:p w14:paraId="4E2FBDDD" w14:textId="7D63DEDD" w:rsidR="007F5395" w:rsidRDefault="007F5395" w:rsidP="004A7727">
      <w:pPr>
        <w:ind w:left="360"/>
      </w:pPr>
      <w:r>
        <w:t>International law determines the conduct of the national legal order in the same way as the constitution, which does not establish a judicial control of the constitutionality of statutes determines the contents of future statutes.</w:t>
      </w:r>
    </w:p>
    <w:p w14:paraId="7B69C469" w14:textId="501A0FF5" w:rsidR="007F5395" w:rsidRPr="007F5395" w:rsidRDefault="007F5395" w:rsidP="007F5395">
      <w:pPr>
        <w:pStyle w:val="a3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Ιεραρχικά ανώτερος αφηρημένος κανόνας </w:t>
      </w:r>
      <w:r>
        <w:rPr>
          <w:rFonts w:cstheme="minorHAnsi"/>
          <w:lang w:val="el-GR"/>
        </w:rPr>
        <w:t>↔ ιεραρχικά κατώτερος συγκεκριμένος κανόνας</w:t>
      </w:r>
    </w:p>
    <w:p w14:paraId="12E31202" w14:textId="01D0F395" w:rsidR="007F5395" w:rsidRPr="007F5395" w:rsidRDefault="007F5395" w:rsidP="007F5395">
      <w:pPr>
        <w:pStyle w:val="a3"/>
        <w:numPr>
          <w:ilvl w:val="0"/>
          <w:numId w:val="3"/>
        </w:numPr>
        <w:rPr>
          <w:lang w:val="el-GR"/>
        </w:rPr>
      </w:pPr>
      <w:r>
        <w:rPr>
          <w:rFonts w:cstheme="minorHAnsi"/>
          <w:lang w:val="el-GR"/>
        </w:rPr>
        <w:t>Στην πυραμίδα αυτή δε γίνεται να υπάρξει σύγκρουση</w:t>
      </w:r>
    </w:p>
    <w:p w14:paraId="481D4B28" w14:textId="4CE175C6" w:rsidR="007F5395" w:rsidRPr="007F5395" w:rsidRDefault="007F5395" w:rsidP="007F5395">
      <w:pPr>
        <w:pStyle w:val="a3"/>
        <w:numPr>
          <w:ilvl w:val="0"/>
          <w:numId w:val="3"/>
        </w:numPr>
        <w:rPr>
          <w:lang w:val="el-GR"/>
        </w:rPr>
      </w:pPr>
      <w:r>
        <w:rPr>
          <w:rFonts w:cstheme="minorHAnsi"/>
          <w:lang w:val="el-GR"/>
        </w:rPr>
        <w:t>Πρωτεία στο διεθνές δίκαιο γιατί ορίζει τις προϋποθέσεις αναγνώρισης των κρατών</w:t>
      </w:r>
    </w:p>
    <w:p w14:paraId="11179CCD" w14:textId="14F3D6BE" w:rsidR="007F5395" w:rsidRPr="007F5395" w:rsidRDefault="007F5395" w:rsidP="007F5395">
      <w:pPr>
        <w:pStyle w:val="a3"/>
        <w:numPr>
          <w:ilvl w:val="0"/>
          <w:numId w:val="3"/>
        </w:numPr>
        <w:rPr>
          <w:lang w:val="el-GR"/>
        </w:rPr>
      </w:pPr>
      <w:r>
        <w:rPr>
          <w:rFonts w:cstheme="minorHAnsi"/>
          <w:lang w:val="el-GR"/>
        </w:rPr>
        <w:t>Εθνικό και διεθνές δίκαιο εντάσσονται στο γενικότερο πλαίσιο της έννομης τάξης</w:t>
      </w:r>
    </w:p>
    <w:p w14:paraId="2FC1169F" w14:textId="77777777" w:rsidR="00BD78F8" w:rsidRDefault="00BD78F8" w:rsidP="007F5395">
      <w:pPr>
        <w:rPr>
          <w:b/>
          <w:bCs/>
          <w:i/>
          <w:iCs/>
          <w:lang w:val="el-GR"/>
        </w:rPr>
      </w:pPr>
    </w:p>
    <w:p w14:paraId="5DC3B2B6" w14:textId="77777777" w:rsidR="00BD78F8" w:rsidRDefault="00BD78F8" w:rsidP="007F5395">
      <w:pPr>
        <w:rPr>
          <w:b/>
          <w:bCs/>
          <w:i/>
          <w:iCs/>
          <w:lang w:val="el-GR"/>
        </w:rPr>
      </w:pPr>
    </w:p>
    <w:p w14:paraId="5871BF81" w14:textId="77777777" w:rsidR="00BD78F8" w:rsidRDefault="00BD78F8" w:rsidP="007F5395">
      <w:pPr>
        <w:rPr>
          <w:b/>
          <w:bCs/>
          <w:i/>
          <w:iCs/>
          <w:lang w:val="el-GR"/>
        </w:rPr>
      </w:pPr>
    </w:p>
    <w:p w14:paraId="6981F18A" w14:textId="6855EBFB" w:rsidR="007F5395" w:rsidRPr="003B565C" w:rsidRDefault="007F5395" w:rsidP="007F5395">
      <w:pPr>
        <w:rPr>
          <w:b/>
          <w:bCs/>
          <w:i/>
          <w:iCs/>
          <w:lang w:val="el-GR"/>
        </w:rPr>
      </w:pPr>
      <w:r w:rsidRPr="003B565C">
        <w:rPr>
          <w:b/>
          <w:bCs/>
          <w:i/>
          <w:iCs/>
          <w:lang w:val="el-GR"/>
        </w:rPr>
        <w:lastRenderedPageBreak/>
        <w:t>Γενικ</w:t>
      </w:r>
      <w:r w:rsidR="003B565C">
        <w:rPr>
          <w:b/>
          <w:bCs/>
          <w:i/>
          <w:iCs/>
          <w:lang w:val="el-GR"/>
        </w:rPr>
        <w:t>έ</w:t>
      </w:r>
      <w:r w:rsidRPr="003B565C">
        <w:rPr>
          <w:b/>
          <w:bCs/>
          <w:i/>
          <w:iCs/>
          <w:lang w:val="el-GR"/>
        </w:rPr>
        <w:t>ς παρατηρήσεις</w:t>
      </w:r>
    </w:p>
    <w:p w14:paraId="4DA16A70" w14:textId="7DF1751D" w:rsidR="007F5395" w:rsidRDefault="007F5395" w:rsidP="007F5395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Δυαδισμός και μονισμός είναι χρήσιμα ερμηνευτικά εργαλεία</w:t>
      </w:r>
    </w:p>
    <w:p w14:paraId="3326E665" w14:textId="13BAF12D" w:rsidR="007F5395" w:rsidRDefault="007F5395" w:rsidP="007F5395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 xml:space="preserve">Ο μονισμός συνδέεται με την ιδέα της αυτόματης ενσωμάτωσης του διεθνούς κανόνα στην εθνική έννομη τάξη # Ο δυαδισμός με την ιδέα της μεταμόρφωσης του κανόνα από διεθνή σε εθνικό </w:t>
      </w:r>
    </w:p>
    <w:p w14:paraId="05C308A5" w14:textId="1C6D18FA" w:rsidR="00877081" w:rsidRDefault="00877081" w:rsidP="00877081">
      <w:pPr>
        <w:rPr>
          <w:lang w:val="el-GR"/>
        </w:rPr>
      </w:pPr>
    </w:p>
    <w:p w14:paraId="2063FED9" w14:textId="77777777" w:rsidR="00877081" w:rsidRPr="00877081" w:rsidRDefault="00877081" w:rsidP="00877081">
      <w:pPr>
        <w:rPr>
          <w:lang w:val="el-GR"/>
        </w:rPr>
      </w:pPr>
    </w:p>
    <w:p w14:paraId="03F43B85" w14:textId="54704F38" w:rsidR="007F5395" w:rsidRDefault="007F5395" w:rsidP="007F5395">
      <w:pPr>
        <w:pStyle w:val="a3"/>
        <w:numPr>
          <w:ilvl w:val="0"/>
          <w:numId w:val="4"/>
        </w:numPr>
      </w:pPr>
      <w:r>
        <w:rPr>
          <w:lang w:val="el-GR"/>
        </w:rPr>
        <w:t>Παραδείγματα</w:t>
      </w:r>
      <w:r w:rsidRPr="007F5395">
        <w:t xml:space="preserve">: </w:t>
      </w:r>
      <w:r>
        <w:rPr>
          <w:lang w:val="el-GR"/>
        </w:rPr>
        <w:t>ΗΠΑ</w:t>
      </w:r>
      <w:r w:rsidRPr="007F5395">
        <w:t xml:space="preserve"> – </w:t>
      </w:r>
      <w:r>
        <w:t>international law is law of the la</w:t>
      </w:r>
      <w:r w:rsidR="00877081">
        <w:t>nd</w:t>
      </w:r>
    </w:p>
    <w:p w14:paraId="60B11D13" w14:textId="739C0290" w:rsidR="007F5395" w:rsidRPr="00377860" w:rsidRDefault="007F5395" w:rsidP="007F5395">
      <w:pPr>
        <w:ind w:left="1440" w:firstLine="720"/>
        <w:rPr>
          <w:lang w:val="el-GR"/>
        </w:rPr>
      </w:pPr>
      <w:r>
        <w:t>H</w:t>
      </w:r>
      <w:r w:rsidRPr="00877081">
        <w:rPr>
          <w:lang w:val="el-GR"/>
        </w:rPr>
        <w:t>.</w:t>
      </w:r>
      <w:r>
        <w:t>B</w:t>
      </w:r>
      <w:r w:rsidR="00877081">
        <w:rPr>
          <w:lang w:val="el-GR"/>
        </w:rPr>
        <w:t xml:space="preserve"> – Οι διεθνείς συμβάσεις ΔΕΝ είναι μέρος του εθνικού δικαίου (μόνο η Βουλή μπορεί να παράξει δίκαιο) ενώ το έθιμο ΕΙΝΑΙ μέρος του εθνικού δικαίου ως μέρος του </w:t>
      </w:r>
      <w:r w:rsidR="00877081">
        <w:t>common</w:t>
      </w:r>
      <w:r w:rsidR="00877081" w:rsidRPr="00877081">
        <w:rPr>
          <w:lang w:val="el-GR"/>
        </w:rPr>
        <w:t xml:space="preserve"> </w:t>
      </w:r>
      <w:r w:rsidR="00877081">
        <w:t>law</w:t>
      </w:r>
    </w:p>
    <w:p w14:paraId="39898664" w14:textId="6D399F91" w:rsidR="00877081" w:rsidRDefault="00877081" w:rsidP="00877081">
      <w:pPr>
        <w:pStyle w:val="a3"/>
        <w:numPr>
          <w:ilvl w:val="0"/>
          <w:numId w:val="5"/>
        </w:numPr>
        <w:rPr>
          <w:lang w:val="el-GR"/>
        </w:rPr>
      </w:pPr>
      <w:r>
        <w:rPr>
          <w:lang w:val="el-GR"/>
        </w:rPr>
        <w:t>Ενώ στην περίπτωση του δυαδισμού είναι προφανές ότι τα κράτη έχουν έλεγχο στην περίπτωση του μονισμού τον αποκτούν με διάφορους τρόπου (</w:t>
      </w:r>
      <w:r w:rsidR="00E63BE9">
        <w:rPr>
          <w:lang w:val="el-GR"/>
        </w:rPr>
        <w:t>π.χ.</w:t>
      </w:r>
      <w:r>
        <w:rPr>
          <w:lang w:val="el-GR"/>
        </w:rPr>
        <w:t xml:space="preserve"> </w:t>
      </w:r>
      <w:r w:rsidR="00E63BE9">
        <w:t>self</w:t>
      </w:r>
      <w:r w:rsidR="00E63BE9" w:rsidRPr="00877081">
        <w:rPr>
          <w:lang w:val="el-GR"/>
        </w:rPr>
        <w:t>-</w:t>
      </w:r>
      <w:r w:rsidR="00E63BE9">
        <w:t>executing</w:t>
      </w:r>
      <w:r w:rsidRPr="00877081">
        <w:rPr>
          <w:lang w:val="el-GR"/>
        </w:rPr>
        <w:t xml:space="preserve"> </w:t>
      </w:r>
      <w:r>
        <w:t>treaties</w:t>
      </w:r>
      <w:r w:rsidRPr="00877081">
        <w:rPr>
          <w:lang w:val="el-GR"/>
        </w:rPr>
        <w:t>)</w:t>
      </w:r>
    </w:p>
    <w:p w14:paraId="39204C1D" w14:textId="1F98EBE7" w:rsidR="00877081" w:rsidRPr="00377860" w:rsidRDefault="00877081" w:rsidP="00877081">
      <w:pPr>
        <w:rPr>
          <w:lang w:val="el-GR"/>
        </w:rPr>
      </w:pPr>
    </w:p>
    <w:p w14:paraId="489EBD82" w14:textId="110C5061" w:rsidR="00877081" w:rsidRPr="003B565C" w:rsidRDefault="00377860" w:rsidP="00877081">
      <w:pPr>
        <w:rPr>
          <w:b/>
          <w:bCs/>
          <w:i/>
          <w:iCs/>
          <w:lang w:val="el-GR"/>
        </w:rPr>
      </w:pPr>
      <w:r w:rsidRPr="003B565C">
        <w:rPr>
          <w:b/>
          <w:bCs/>
          <w:i/>
          <w:iCs/>
          <w:lang w:val="el-GR"/>
        </w:rPr>
        <w:t>Σχέσεις διεθνούς και εσωτερικού δικαίου από την άποψη του διεθνούς δικαίου</w:t>
      </w:r>
    </w:p>
    <w:p w14:paraId="20745B7A" w14:textId="77F48B15" w:rsidR="00377860" w:rsidRDefault="00377860" w:rsidP="00377860">
      <w:pPr>
        <w:pStyle w:val="a3"/>
        <w:numPr>
          <w:ilvl w:val="0"/>
          <w:numId w:val="6"/>
        </w:numPr>
        <w:rPr>
          <w:lang w:val="el-GR"/>
        </w:rPr>
      </w:pPr>
      <w:r>
        <w:rPr>
          <w:lang w:val="el-GR"/>
        </w:rPr>
        <w:t>27 Σύμβαση της Βιέννης ‘ένα κράτος δεν μπορεί να επικαλεσθεί το εσωτερικό του δίκαιο για να δικαιολογήσει τη μη εφαρμογή μιας συνθήκης’</w:t>
      </w:r>
    </w:p>
    <w:p w14:paraId="7B889E29" w14:textId="47E7EAE0" w:rsidR="00377860" w:rsidRPr="00377860" w:rsidRDefault="00377860" w:rsidP="00377860">
      <w:pPr>
        <w:pStyle w:val="a3"/>
        <w:numPr>
          <w:ilvl w:val="0"/>
          <w:numId w:val="6"/>
        </w:numPr>
        <w:rPr>
          <w:color w:val="FF0000"/>
          <w:lang w:val="el-GR"/>
        </w:rPr>
      </w:pPr>
      <w:r w:rsidRPr="00377860">
        <w:rPr>
          <w:color w:val="FF0000"/>
        </w:rPr>
        <w:t>Alabama</w:t>
      </w:r>
      <w:r w:rsidRPr="00377860">
        <w:rPr>
          <w:color w:val="FF0000"/>
          <w:lang w:val="el-GR"/>
        </w:rPr>
        <w:t xml:space="preserve"> (1872) </w:t>
      </w:r>
      <w:r>
        <w:rPr>
          <w:lang w:val="el-GR"/>
        </w:rPr>
        <w:t xml:space="preserve">«Νότιοι» αγόρασαν από βρετανικό ναυπηγείο το </w:t>
      </w:r>
      <w:r>
        <w:t>Alabama</w:t>
      </w:r>
      <w:r>
        <w:rPr>
          <w:lang w:val="el-GR"/>
        </w:rPr>
        <w:t xml:space="preserve"> το οποίο χρησιμοποιήθηκε σε επιχειρήσεις του αμερικανικού εμφυλίου- Η </w:t>
      </w:r>
      <w:r>
        <w:t>Washington</w:t>
      </w:r>
      <w:r w:rsidRPr="00377860">
        <w:rPr>
          <w:lang w:val="el-GR"/>
        </w:rPr>
        <w:t xml:space="preserve"> </w:t>
      </w:r>
      <w:r>
        <w:rPr>
          <w:lang w:val="el-GR"/>
        </w:rPr>
        <w:t>απαίτησε αποζημίωση από το Η.Β γιατί παραβίασε την ουδετερότητά του – Το Η.Β επικαλέστηκε το γεγονός ότι δεν μπορούσε συνταγματικά να ελέγξει την κατασκευή και πώληση του πλοίου-το διαιτητικό δικαστήριο απέρριψε το επιχείρημα</w:t>
      </w:r>
    </w:p>
    <w:p w14:paraId="272A5F6E" w14:textId="09BE8CDF" w:rsidR="00377860" w:rsidRPr="005E08B0" w:rsidRDefault="00377860" w:rsidP="00377860">
      <w:pPr>
        <w:pStyle w:val="a3"/>
        <w:numPr>
          <w:ilvl w:val="0"/>
          <w:numId w:val="6"/>
        </w:numPr>
        <w:rPr>
          <w:color w:val="FF0000"/>
          <w:lang w:val="el-GR"/>
        </w:rPr>
      </w:pPr>
      <w:r>
        <w:rPr>
          <w:color w:val="FF0000"/>
        </w:rPr>
        <w:t>La</w:t>
      </w:r>
      <w:r w:rsidRPr="005E08B0">
        <w:rPr>
          <w:color w:val="FF0000"/>
          <w:lang w:val="el-GR"/>
        </w:rPr>
        <w:t xml:space="preserve"> </w:t>
      </w:r>
      <w:r>
        <w:rPr>
          <w:color w:val="FF0000"/>
        </w:rPr>
        <w:t>Grand</w:t>
      </w:r>
      <w:r w:rsidRPr="005E08B0">
        <w:rPr>
          <w:color w:val="FF0000"/>
          <w:lang w:val="el-GR"/>
        </w:rPr>
        <w:t xml:space="preserve"> (2001) </w:t>
      </w:r>
      <w:r w:rsidR="005E08B0">
        <w:rPr>
          <w:lang w:val="el-GR"/>
        </w:rPr>
        <w:t>Η πολιτεία της Αριζόνα δεν εξασφάλισε σε Γερμανούς κατηγορούμενους πρόσβαση στις προξενικές αρχές. Η Υπ.</w:t>
      </w:r>
      <w:r w:rsidR="00E63BE9">
        <w:rPr>
          <w:lang w:val="el-GR"/>
        </w:rPr>
        <w:t xml:space="preserve"> </w:t>
      </w:r>
      <w:r w:rsidR="005E08B0">
        <w:rPr>
          <w:lang w:val="el-GR"/>
        </w:rPr>
        <w:t>Εξ</w:t>
      </w:r>
      <w:r w:rsidR="00E63BE9">
        <w:rPr>
          <w:lang w:val="el-GR"/>
        </w:rPr>
        <w:t>.</w:t>
      </w:r>
      <w:r w:rsidR="005E08B0">
        <w:rPr>
          <w:lang w:val="el-GR"/>
        </w:rPr>
        <w:t xml:space="preserve"> υποστήριξε ότι η ομοσπονδιακή κυβέρνηση δεν μπορούσε να παρέμβει. Απορρίφθηκε από το ΔΔ ΟΗΕ</w:t>
      </w:r>
    </w:p>
    <w:p w14:paraId="1F9231F2" w14:textId="684B2C06" w:rsidR="005E08B0" w:rsidRPr="005E08B0" w:rsidRDefault="005E08B0" w:rsidP="00377860">
      <w:pPr>
        <w:pStyle w:val="a3"/>
        <w:numPr>
          <w:ilvl w:val="0"/>
          <w:numId w:val="6"/>
        </w:numPr>
        <w:rPr>
          <w:color w:val="FF0000"/>
          <w:lang w:val="el-GR"/>
        </w:rPr>
      </w:pPr>
      <w:r>
        <w:rPr>
          <w:color w:val="FF0000"/>
          <w:lang w:val="el-GR"/>
        </w:rPr>
        <w:t xml:space="preserve">Γνωμοδότηση περί των γραφείων της </w:t>
      </w:r>
      <w:r>
        <w:rPr>
          <w:color w:val="FF0000"/>
        </w:rPr>
        <w:t>PLO</w:t>
      </w:r>
      <w:r w:rsidRPr="005E08B0">
        <w:rPr>
          <w:color w:val="FF0000"/>
          <w:lang w:val="el-GR"/>
        </w:rPr>
        <w:t xml:space="preserve"> </w:t>
      </w:r>
      <w:r>
        <w:rPr>
          <w:color w:val="FF0000"/>
          <w:lang w:val="el-GR"/>
        </w:rPr>
        <w:t xml:space="preserve">στα Ηνωμένα Έθνη </w:t>
      </w:r>
      <w:r>
        <w:rPr>
          <w:lang w:val="el-GR"/>
        </w:rPr>
        <w:t>Οι ΗΠΑ έχουν την υποχρέωση να χορηγούν θεώρηση διαβατηρίων στους εκπροσώπους των κρατών μερών του ΟΗ Ε και στους παρατηρητές που μεταβαίνουν στην ΝΥ (στην προκειμένη περίπτωση ο Αραφάτ)</w:t>
      </w:r>
    </w:p>
    <w:p w14:paraId="2CAA6DC6" w14:textId="77777777" w:rsidR="00BD78F8" w:rsidRDefault="00BD78F8" w:rsidP="005E08B0">
      <w:pPr>
        <w:rPr>
          <w:b/>
          <w:bCs/>
          <w:i/>
          <w:iCs/>
          <w:lang w:val="el-GR"/>
        </w:rPr>
      </w:pPr>
    </w:p>
    <w:p w14:paraId="26E4D353" w14:textId="1ECCAA35" w:rsidR="005E08B0" w:rsidRPr="003B565C" w:rsidRDefault="005E08B0" w:rsidP="005E08B0">
      <w:pPr>
        <w:rPr>
          <w:b/>
          <w:bCs/>
          <w:i/>
          <w:iCs/>
          <w:lang w:val="el-GR"/>
        </w:rPr>
      </w:pPr>
      <w:r w:rsidRPr="003B565C">
        <w:rPr>
          <w:b/>
          <w:bCs/>
          <w:i/>
          <w:iCs/>
          <w:lang w:val="el-GR"/>
        </w:rPr>
        <w:t>Σχέσεις διεθνούς και εσωτερικού δικαίου από την άποψη του εσωτερικού δικαίου</w:t>
      </w:r>
    </w:p>
    <w:p w14:paraId="39588097" w14:textId="6D5AC08C" w:rsidR="005E08B0" w:rsidRDefault="005E08B0" w:rsidP="005E08B0">
      <w:pPr>
        <w:rPr>
          <w:lang w:val="el-GR"/>
        </w:rPr>
      </w:pPr>
      <w:r w:rsidRPr="005E08B0">
        <w:rPr>
          <w:lang w:val="el-GR"/>
        </w:rPr>
        <w:t>Το Σύνταγμα της Ελλάδας 1975/1986/2001</w:t>
      </w:r>
    </w:p>
    <w:p w14:paraId="0782A354" w14:textId="32593B69" w:rsidR="005E08B0" w:rsidRDefault="005E08B0" w:rsidP="005E08B0">
      <w:pPr>
        <w:rPr>
          <w:lang w:val="el-GR"/>
        </w:rPr>
      </w:pPr>
      <w:r w:rsidRPr="005E08B0">
        <w:rPr>
          <w:color w:val="FF0000"/>
          <w:lang w:val="el-GR"/>
        </w:rPr>
        <w:t xml:space="preserve">Άρθρο 2(2) </w:t>
      </w:r>
      <w:r w:rsidRPr="005E08B0">
        <w:t>H</w:t>
      </w:r>
      <w:r w:rsidRPr="005E08B0">
        <w:rPr>
          <w:lang w:val="el-GR"/>
        </w:rPr>
        <w:t xml:space="preserve"> </w:t>
      </w:r>
      <w:r w:rsidRPr="005E08B0">
        <w:t>E</w:t>
      </w:r>
      <w:r w:rsidRPr="005E08B0">
        <w:rPr>
          <w:lang w:val="el-GR"/>
        </w:rPr>
        <w:t>λλάδα, ακολουθώντας τους γενικά αναγνωρισμένους κανόνες του διεθνούς δικαίου, επιδιώκει την εμπέδωση της ειρήνης, της δικαιοσύνης, καθώς και την ανάπτυξη των φιλικών σχέσεων μεταξύ των λαών και των κρατών.</w:t>
      </w:r>
    </w:p>
    <w:p w14:paraId="2448F420" w14:textId="20B184AA" w:rsidR="005E08B0" w:rsidRDefault="005E08B0" w:rsidP="005E08B0">
      <w:pPr>
        <w:rPr>
          <w:lang w:val="el-GR"/>
        </w:rPr>
      </w:pPr>
      <w:r w:rsidRPr="005E08B0">
        <w:rPr>
          <w:color w:val="FF0000"/>
          <w:lang w:val="el-GR"/>
        </w:rPr>
        <w:t>Άρθρο 28</w:t>
      </w:r>
      <w:r>
        <w:rPr>
          <w:lang w:val="el-GR"/>
        </w:rPr>
        <w:t xml:space="preserve"> (1) έως (3) Οι γενικά παραδεδεγμένοι κανόνες του διεθνούς δικαίου […] υπερισχύουν από κάθε άλλη αντίθετη διάταξη νόμου.</w:t>
      </w:r>
    </w:p>
    <w:p w14:paraId="553B38C3" w14:textId="5B97DCDA" w:rsidR="005E08B0" w:rsidRDefault="005E08B0" w:rsidP="005E08B0">
      <w:pPr>
        <w:rPr>
          <w:lang w:val="el-GR"/>
        </w:rPr>
      </w:pPr>
      <w:r>
        <w:rPr>
          <w:lang w:val="el-GR"/>
        </w:rPr>
        <w:t>Συμβατικό και εθιμικό δίκαιο υπερισχύουν, υπερισχύουν και του Συντάγματος?</w:t>
      </w:r>
    </w:p>
    <w:p w14:paraId="6C008856" w14:textId="138CD875" w:rsidR="005E08B0" w:rsidRDefault="005E08B0" w:rsidP="005E08B0">
      <w:pPr>
        <w:rPr>
          <w:lang w:val="el-GR"/>
        </w:rPr>
      </w:pPr>
      <w:r>
        <w:rPr>
          <w:lang w:val="el-GR"/>
        </w:rPr>
        <w:t>Οι συμβάσεις απαιτείται να έχουν κυρωθεί με νόμο</w:t>
      </w:r>
    </w:p>
    <w:p w14:paraId="23EE5125" w14:textId="2AA24136" w:rsidR="005E08B0" w:rsidRDefault="005E08B0" w:rsidP="005E08B0">
      <w:pPr>
        <w:rPr>
          <w:lang w:val="el-GR"/>
        </w:rPr>
      </w:pPr>
    </w:p>
    <w:p w14:paraId="2DAC7A9A" w14:textId="22C52F08" w:rsidR="003B565C" w:rsidRDefault="003B565C" w:rsidP="005E08B0">
      <w:pPr>
        <w:rPr>
          <w:lang w:val="el-GR"/>
        </w:rPr>
      </w:pPr>
      <w:r w:rsidRPr="003B565C">
        <w:rPr>
          <w:b/>
          <w:bCs/>
          <w:i/>
          <w:iCs/>
          <w:lang w:val="el-GR"/>
        </w:rPr>
        <w:t>Ο ρόλος των δικαστηρίων</w:t>
      </w:r>
    </w:p>
    <w:p w14:paraId="01A9FD48" w14:textId="6665E28D" w:rsidR="003B565C" w:rsidRDefault="003B565C" w:rsidP="003B565C">
      <w:pPr>
        <w:pStyle w:val="a3"/>
        <w:numPr>
          <w:ilvl w:val="0"/>
          <w:numId w:val="7"/>
        </w:numPr>
        <w:rPr>
          <w:lang w:val="el-GR"/>
        </w:rPr>
      </w:pPr>
      <w:r>
        <w:rPr>
          <w:lang w:val="el-GR"/>
        </w:rPr>
        <w:t>Τα δικαστήρια επιλύουν διαφορές, δηλαδή διαφωνίες ως προς το δίκαιο ή/και τα πραγματικά περιστατικά</w:t>
      </w:r>
    </w:p>
    <w:p w14:paraId="6DB11A14" w14:textId="57FF39ED" w:rsidR="003B565C" w:rsidRDefault="003B565C" w:rsidP="003B565C">
      <w:pPr>
        <w:pStyle w:val="a3"/>
        <w:numPr>
          <w:ilvl w:val="0"/>
          <w:numId w:val="7"/>
        </w:numPr>
        <w:rPr>
          <w:lang w:val="el-GR"/>
        </w:rPr>
      </w:pPr>
      <w:r>
        <w:rPr>
          <w:lang w:val="el-GR"/>
        </w:rPr>
        <w:t>Προκειμένου ένα δικαστήριο να επιλύσει μια διαφορά πρέπει αναγκαστικά να ερμηνεύσει το νόμο προκειμένου να τον εφαρμόσει στα πραγματικά περιστατικά</w:t>
      </w:r>
    </w:p>
    <w:p w14:paraId="755E23A5" w14:textId="75751BCA" w:rsidR="003B565C" w:rsidRDefault="003B565C" w:rsidP="003B565C">
      <w:pPr>
        <w:pStyle w:val="a3"/>
        <w:numPr>
          <w:ilvl w:val="0"/>
          <w:numId w:val="7"/>
        </w:numPr>
        <w:rPr>
          <w:lang w:val="el-GR"/>
        </w:rPr>
      </w:pPr>
      <w:r>
        <w:rPr>
          <w:lang w:val="el-GR"/>
        </w:rPr>
        <w:t>Επομένως παράγει δίκαιο σε μικροκλίμακα</w:t>
      </w:r>
    </w:p>
    <w:p w14:paraId="76F3D524" w14:textId="2EED1B36" w:rsidR="003B565C" w:rsidRPr="009F4261" w:rsidRDefault="003B565C" w:rsidP="003B565C">
      <w:pPr>
        <w:rPr>
          <w:color w:val="C00000"/>
        </w:rPr>
      </w:pPr>
      <w:r w:rsidRPr="009F4261">
        <w:rPr>
          <w:color w:val="C00000"/>
        </w:rPr>
        <w:t>Hans Kelsen</w:t>
      </w:r>
    </w:p>
    <w:p w14:paraId="5939AE66" w14:textId="405D5E7B" w:rsidR="003B565C" w:rsidRDefault="003B565C" w:rsidP="003B565C">
      <w:r>
        <w:t>Every legal rule, every norm admits a certain number of plausible interpretations, a radius of such plausible interpretations, within which intelligible argument can be made.</w:t>
      </w:r>
    </w:p>
    <w:p w14:paraId="58FE6E39" w14:textId="33D75CDF" w:rsidR="00BD78F8" w:rsidRDefault="00BD78F8" w:rsidP="003B565C"/>
    <w:p w14:paraId="68129A85" w14:textId="77777777" w:rsidR="00BD78F8" w:rsidRDefault="00BD78F8" w:rsidP="003B565C"/>
    <w:p w14:paraId="2A5A5ADB" w14:textId="1967006B" w:rsidR="003B565C" w:rsidRDefault="006D349F" w:rsidP="003B565C">
      <w:pPr>
        <w:pStyle w:val="a3"/>
        <w:numPr>
          <w:ilvl w:val="0"/>
          <w:numId w:val="8"/>
        </w:numPr>
        <w:rPr>
          <w:lang w:val="el-GR"/>
        </w:rPr>
      </w:pPr>
      <w:r>
        <w:rPr>
          <w:lang w:val="el-GR"/>
        </w:rPr>
        <w:t>Τον τελικό λόγο για την έννοια/το νόημα του νόμου τον έχουν τα δικαστήρια – υπό την έννοια ότι εκεί καταλήγουν οι διαφορές</w:t>
      </w:r>
    </w:p>
    <w:p w14:paraId="1F87C065" w14:textId="0E0AFBF2" w:rsidR="006D349F" w:rsidRDefault="006D349F" w:rsidP="003B565C">
      <w:pPr>
        <w:pStyle w:val="a3"/>
        <w:numPr>
          <w:ilvl w:val="0"/>
          <w:numId w:val="8"/>
        </w:numPr>
        <w:rPr>
          <w:lang w:val="el-GR"/>
        </w:rPr>
      </w:pPr>
      <w:r>
        <w:rPr>
          <w:lang w:val="el-GR"/>
        </w:rPr>
        <w:t>Ο κανόνες του διεθνούς δικαίου που ρυθμίζουν τη συμπεριφορά των κρατών μεταξύ τους δεν εξετάζονται από τα εθνικά δικαστήρια (</w:t>
      </w:r>
      <w:r>
        <w:t>outward</w:t>
      </w:r>
      <w:r w:rsidRPr="006D349F">
        <w:rPr>
          <w:lang w:val="el-GR"/>
        </w:rPr>
        <w:t xml:space="preserve"> </w:t>
      </w:r>
      <w:r>
        <w:t>looking</w:t>
      </w:r>
      <w:r w:rsidRPr="006D349F">
        <w:rPr>
          <w:lang w:val="el-GR"/>
        </w:rPr>
        <w:t xml:space="preserve"> </w:t>
      </w:r>
      <w:r>
        <w:t>rules</w:t>
      </w:r>
      <w:r w:rsidRPr="006D349F">
        <w:rPr>
          <w:lang w:val="el-GR"/>
        </w:rPr>
        <w:t>)</w:t>
      </w:r>
    </w:p>
    <w:p w14:paraId="567033F2" w14:textId="1BC7F986" w:rsidR="006D349F" w:rsidRDefault="006D349F" w:rsidP="003B565C">
      <w:pPr>
        <w:pStyle w:val="a3"/>
        <w:numPr>
          <w:ilvl w:val="0"/>
          <w:numId w:val="8"/>
        </w:numPr>
        <w:rPr>
          <w:lang w:val="el-GR"/>
        </w:rPr>
      </w:pPr>
      <w:r>
        <w:rPr>
          <w:lang w:val="el-GR"/>
        </w:rPr>
        <w:t>Υπάρχουν όμως και κανόνες του διεθνούς δικαίου που συχνά περιορίζουν τη διακριτική ευχέρεια της νομοθετική</w:t>
      </w:r>
      <w:r w:rsidR="00E63BE9">
        <w:rPr>
          <w:lang w:val="el-GR"/>
        </w:rPr>
        <w:t>ς</w:t>
      </w:r>
      <w:r>
        <w:rPr>
          <w:lang w:val="el-GR"/>
        </w:rPr>
        <w:t xml:space="preserve"> και εκτελεστική</w:t>
      </w:r>
      <w:r w:rsidR="00E63BE9">
        <w:rPr>
          <w:lang w:val="el-GR"/>
        </w:rPr>
        <w:t>ς</w:t>
      </w:r>
      <w:r>
        <w:rPr>
          <w:lang w:val="el-GR"/>
        </w:rPr>
        <w:t xml:space="preserve"> εξουσίας και τα άτομα και άλλες οντότητες θα προσπαθήσουν να προσφύγουν κατά του κράτους στις περιπτώσεις όπου οι ως άνω περιορισμοί έχουν παραβιαστεί </w:t>
      </w:r>
      <w:r w:rsidRPr="006D349F">
        <w:rPr>
          <w:lang w:val="el-GR"/>
        </w:rPr>
        <w:t>(</w:t>
      </w:r>
      <w:r>
        <w:t>inward</w:t>
      </w:r>
      <w:r w:rsidRPr="006D349F">
        <w:rPr>
          <w:lang w:val="el-GR"/>
        </w:rPr>
        <w:t xml:space="preserve"> </w:t>
      </w:r>
      <w:r>
        <w:t>looking</w:t>
      </w:r>
      <w:r w:rsidRPr="006D349F">
        <w:rPr>
          <w:lang w:val="el-GR"/>
        </w:rPr>
        <w:t xml:space="preserve"> </w:t>
      </w:r>
      <w:r>
        <w:t>rules</w:t>
      </w:r>
      <w:r w:rsidRPr="006D349F">
        <w:rPr>
          <w:lang w:val="el-GR"/>
        </w:rPr>
        <w:t>)</w:t>
      </w:r>
    </w:p>
    <w:p w14:paraId="101AF614" w14:textId="61BC4B64" w:rsidR="006D349F" w:rsidRDefault="006D349F" w:rsidP="006D349F">
      <w:pPr>
        <w:pStyle w:val="a3"/>
        <w:numPr>
          <w:ilvl w:val="0"/>
          <w:numId w:val="8"/>
        </w:numPr>
        <w:rPr>
          <w:lang w:val="el-GR"/>
        </w:rPr>
      </w:pPr>
      <w:r>
        <w:rPr>
          <w:lang w:val="el-GR"/>
        </w:rPr>
        <w:t>Υπάρχει μια τρίτη κατηγορία στην οποία ανήκουν οι κανόνες που παρά το γεγονός ότι έλκουν την καταγωγή τους από διαφορετικές πηγές του δικαίου ή ακόμη από διαφορετικά νομικά συστήματα έχουν την ίδια ουσία (</w:t>
      </w:r>
      <w:r>
        <w:t>consubstantial</w:t>
      </w:r>
      <w:r w:rsidRPr="006D349F">
        <w:rPr>
          <w:lang w:val="el-GR"/>
        </w:rPr>
        <w:t xml:space="preserve"> </w:t>
      </w:r>
      <w:r>
        <w:t>rules</w:t>
      </w:r>
      <w:r w:rsidRPr="006D349F">
        <w:rPr>
          <w:lang w:val="el-GR"/>
        </w:rPr>
        <w:t>)</w:t>
      </w:r>
      <w:r>
        <w:rPr>
          <w:lang w:val="el-GR"/>
        </w:rPr>
        <w:t xml:space="preserve"> π.χ</w:t>
      </w:r>
      <w:r w:rsidR="00E63BE9">
        <w:rPr>
          <w:lang w:val="el-GR"/>
        </w:rPr>
        <w:t>.</w:t>
      </w:r>
      <w:r>
        <w:rPr>
          <w:lang w:val="el-GR"/>
        </w:rPr>
        <w:t xml:space="preserve"> ανθρώπινα δικαιώματα (διεθνές δίκαιο, Ευρωπαϊκή Σύμβαση για τα Δικαιώματα του Ανθρώπου, Σύνταγμα)</w:t>
      </w:r>
    </w:p>
    <w:p w14:paraId="77F2D4EE" w14:textId="3F537A62" w:rsidR="006D349F" w:rsidRDefault="006B6792" w:rsidP="006D349F">
      <w:pPr>
        <w:pStyle w:val="a3"/>
        <w:numPr>
          <w:ilvl w:val="0"/>
          <w:numId w:val="8"/>
        </w:numPr>
        <w:rPr>
          <w:lang w:val="el-GR"/>
        </w:rPr>
      </w:pPr>
      <w:r>
        <w:rPr>
          <w:lang w:val="el-GR"/>
        </w:rPr>
        <w:t>Τα εθνικά δικαστήρια όταν βρίσκονται ενώπιον πιθανής σύγκρουσης διεθνούς και εθνικού κανόνα μπορούν να την αποφύγουν (το δικαστήριο δεν θεωρεί εαυτόν αρμόδιο να κρίνει το διεθνή κανόνα) ή να εμπλακούν στην επίλυση της διαφοράς (είτε κρίνοντας ότι ο διεθνής κανόνας υπερτερεί, είτε εφαρμόζοντας τον ανάλογο εθνικό κανόνα, που όμως έχει επί της ουσίας, το ίδιο περιεχόμενο με το διεθνή</w:t>
      </w:r>
    </w:p>
    <w:p w14:paraId="008ACE2F" w14:textId="78A659F6" w:rsidR="006B6792" w:rsidRDefault="006B6792" w:rsidP="006B6792">
      <w:pPr>
        <w:rPr>
          <w:lang w:val="el-GR"/>
        </w:rPr>
      </w:pPr>
    </w:p>
    <w:p w14:paraId="20D634BF" w14:textId="049A15AC" w:rsidR="006B6792" w:rsidRPr="006B6792" w:rsidRDefault="006B6792" w:rsidP="006B6792">
      <w:pPr>
        <w:rPr>
          <w:color w:val="FF0000"/>
        </w:rPr>
      </w:pPr>
      <w:r w:rsidRPr="006B6792">
        <w:rPr>
          <w:color w:val="FF0000"/>
          <w:lang w:val="el-GR"/>
        </w:rPr>
        <w:t xml:space="preserve">Η υπόθεση </w:t>
      </w:r>
      <w:r w:rsidRPr="006B6792">
        <w:rPr>
          <w:color w:val="FF0000"/>
        </w:rPr>
        <w:t>Kadi</w:t>
      </w:r>
    </w:p>
    <w:p w14:paraId="263E08FB" w14:textId="093D33E9" w:rsidR="006B6792" w:rsidRDefault="006B6792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Η απόφαση 1267 (1999) του ΣΑ ΟΗΕ προέβλεψε τη δημιουργία </w:t>
      </w:r>
      <w:r>
        <w:t>black</w:t>
      </w:r>
      <w:r w:rsidRPr="006B6792">
        <w:rPr>
          <w:lang w:val="el-GR"/>
        </w:rPr>
        <w:t xml:space="preserve"> </w:t>
      </w:r>
      <w:r>
        <w:t>list</w:t>
      </w:r>
      <w:r w:rsidRPr="006B6792">
        <w:rPr>
          <w:lang w:val="el-GR"/>
        </w:rPr>
        <w:t xml:space="preserve"> </w:t>
      </w:r>
      <w:r>
        <w:rPr>
          <w:lang w:val="el-GR"/>
        </w:rPr>
        <w:t xml:space="preserve">από την οποία προέκυπταν και ανάλογες κυρώσεις (απαγόρευση μετακίνησης, πάγωμα της περιουσίας </w:t>
      </w:r>
      <w:r w:rsidR="00E63BE9">
        <w:rPr>
          <w:lang w:val="el-GR"/>
        </w:rPr>
        <w:t>κλπ.</w:t>
      </w:r>
      <w:r>
        <w:rPr>
          <w:lang w:val="el-GR"/>
        </w:rPr>
        <w:t xml:space="preserve">) για τα άτομα που σχετίζονταν με τους </w:t>
      </w:r>
      <w:r>
        <w:t>Taliban</w:t>
      </w:r>
      <w:r w:rsidRPr="006B6792">
        <w:rPr>
          <w:lang w:val="el-GR"/>
        </w:rPr>
        <w:t xml:space="preserve"> </w:t>
      </w:r>
      <w:r>
        <w:rPr>
          <w:lang w:val="el-GR"/>
        </w:rPr>
        <w:t xml:space="preserve">και την </w:t>
      </w:r>
      <w:r>
        <w:t>Al</w:t>
      </w:r>
      <w:r w:rsidRPr="006B6792">
        <w:rPr>
          <w:lang w:val="el-GR"/>
        </w:rPr>
        <w:t xml:space="preserve"> </w:t>
      </w:r>
      <w:r>
        <w:t>Qaeda</w:t>
      </w:r>
    </w:p>
    <w:p w14:paraId="3C4C8F6C" w14:textId="48F37D9A" w:rsidR="006B6792" w:rsidRDefault="006B6792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Τα κράτη μέλη του ΟΗΕ στο έδαφος των οποίων διέμεναν τα άτομα της </w:t>
      </w:r>
      <w:r>
        <w:t>black</w:t>
      </w:r>
      <w:r w:rsidRPr="006B6792">
        <w:rPr>
          <w:lang w:val="el-GR"/>
        </w:rPr>
        <w:t xml:space="preserve"> </w:t>
      </w:r>
      <w:r>
        <w:t>list</w:t>
      </w:r>
      <w:r>
        <w:rPr>
          <w:lang w:val="el-GR"/>
        </w:rPr>
        <w:t xml:space="preserve"> είχαν την υποχρέωση να εφαρμόσουν αυτές τις κυρώσεις</w:t>
      </w:r>
    </w:p>
    <w:p w14:paraId="4026585C" w14:textId="60ABBE66" w:rsidR="006B6792" w:rsidRDefault="006B6792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t>Τα άτομα δεν είχαν το δικαίωμα προσφυγής στο ΣΑ προκειμένου να αμφισβητήσουν την εγκυρότητα της περίληψής τους στη λίστα</w:t>
      </w:r>
    </w:p>
    <w:p w14:paraId="37B4431F" w14:textId="2CA20BB3" w:rsidR="006B6792" w:rsidRPr="006B6792" w:rsidRDefault="006B6792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Το 2009 ορίστηκε </w:t>
      </w:r>
      <w:r>
        <w:t>Ombudsperson</w:t>
      </w:r>
    </w:p>
    <w:p w14:paraId="5FA7A652" w14:textId="22A5A0E2" w:rsidR="006B6792" w:rsidRDefault="006B6792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Σε αυτό το πλαίσιο ο κ. </w:t>
      </w:r>
      <w:r>
        <w:t>Kadi</w:t>
      </w:r>
      <w:r w:rsidRPr="006B6792">
        <w:rPr>
          <w:lang w:val="el-GR"/>
        </w:rPr>
        <w:t xml:space="preserve"> (</w:t>
      </w:r>
      <w:r>
        <w:rPr>
          <w:lang w:val="el-GR"/>
        </w:rPr>
        <w:t>υπήκοος Σαουδικής Αραβίας και κάτοικος Σουηδίας)</w:t>
      </w:r>
      <w:r w:rsidRPr="006B6792">
        <w:rPr>
          <w:lang w:val="el-GR"/>
        </w:rPr>
        <w:t xml:space="preserve"> </w:t>
      </w:r>
      <w:r>
        <w:rPr>
          <w:lang w:val="el-GR"/>
        </w:rPr>
        <w:t>προσέφυγε κατά της Ευρωπαϊκής Επιτροπής που</w:t>
      </w:r>
      <w:r w:rsidR="00BD78F8">
        <w:rPr>
          <w:lang w:val="el-GR"/>
        </w:rPr>
        <w:t xml:space="preserve"> εξέδωσε κανονισμό</w:t>
      </w:r>
      <w:r>
        <w:rPr>
          <w:lang w:val="el-GR"/>
        </w:rPr>
        <w:t xml:space="preserve"> εφαρμόζοντας τις αποφάσεις του ΣΑ ΟΗΕ </w:t>
      </w:r>
      <w:r w:rsidR="00BD78F8">
        <w:rPr>
          <w:lang w:val="el-GR"/>
        </w:rPr>
        <w:t xml:space="preserve">και εξ’ αυτού η Σουηδία </w:t>
      </w:r>
      <w:r>
        <w:rPr>
          <w:lang w:val="el-GR"/>
        </w:rPr>
        <w:t>πάγωσε τα περιουσιακά του στοιχεία</w:t>
      </w:r>
    </w:p>
    <w:p w14:paraId="50257F14" w14:textId="4719CE5A" w:rsidR="00BD78F8" w:rsidRDefault="00BD78F8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lastRenderedPageBreak/>
        <w:t xml:space="preserve">Η απόφαση του τότε </w:t>
      </w:r>
      <w:r>
        <w:t>Court</w:t>
      </w:r>
      <w:r w:rsidRPr="00BD78F8">
        <w:rPr>
          <w:lang w:val="el-GR"/>
        </w:rPr>
        <w:t xml:space="preserve"> </w:t>
      </w:r>
      <w:r>
        <w:t>of</w:t>
      </w:r>
      <w:r w:rsidRPr="00BD78F8">
        <w:rPr>
          <w:lang w:val="el-GR"/>
        </w:rPr>
        <w:t xml:space="preserve"> </w:t>
      </w:r>
      <w:r>
        <w:t>First</w:t>
      </w:r>
      <w:r w:rsidRPr="00BD78F8">
        <w:rPr>
          <w:lang w:val="el-GR"/>
        </w:rPr>
        <w:t xml:space="preserve"> </w:t>
      </w:r>
      <w:r>
        <w:t>Instance</w:t>
      </w:r>
      <w:r w:rsidRPr="00BD78F8">
        <w:rPr>
          <w:lang w:val="el-GR"/>
        </w:rPr>
        <w:t xml:space="preserve"> </w:t>
      </w:r>
      <w:r>
        <w:rPr>
          <w:lang w:val="el-GR"/>
        </w:rPr>
        <w:t xml:space="preserve">της ΕΕ έκρινε ότι εφόσον το ΣΑ δεν παραβίασε κανόνα </w:t>
      </w:r>
      <w:r>
        <w:t>ius</w:t>
      </w:r>
      <w:r w:rsidRPr="00BD78F8">
        <w:rPr>
          <w:lang w:val="el-GR"/>
        </w:rPr>
        <w:t xml:space="preserve"> </w:t>
      </w:r>
      <w:r>
        <w:t>cogens</w:t>
      </w:r>
      <w:r w:rsidRPr="00BD78F8">
        <w:rPr>
          <w:lang w:val="el-GR"/>
        </w:rPr>
        <w:t xml:space="preserve"> </w:t>
      </w:r>
      <w:r>
        <w:rPr>
          <w:lang w:val="el-GR"/>
        </w:rPr>
        <w:t xml:space="preserve">τότε δεν ήταν σε θέση να κρίνει την απόφασή του και επομένως, εφόσον η απόφαση δεν άφηνε κανένα περιθώριο εκτίμησης ή διακριτική ευχέρεια στην ΕΕ </w:t>
      </w:r>
    </w:p>
    <w:p w14:paraId="440E1AC7" w14:textId="372B0EB8" w:rsidR="00BD78F8" w:rsidRPr="006B6792" w:rsidRDefault="00BD78F8" w:rsidP="006B6792">
      <w:pPr>
        <w:pStyle w:val="a3"/>
        <w:numPr>
          <w:ilvl w:val="0"/>
          <w:numId w:val="9"/>
        </w:numPr>
        <w:rPr>
          <w:lang w:val="el-GR"/>
        </w:rPr>
      </w:pPr>
      <w:r>
        <w:rPr>
          <w:lang w:val="el-GR"/>
        </w:rPr>
        <w:t>Το τότε ΔΕΚ έκρινε ότι δεν χρειάζεται να κρίνει τη νομιμότητα της απόφασης του ΣΑ αλλά αρκούσε να διερευνήσει το εάν ο «εφαρμοστικός» κανονισμός της ΕΕ παραβίαζε τα θεμελιώδη δικαιώματα του προσφεύγοντος όπως αυτά προστατεύονται στην ευρωπαϊκή έννομη τάξη. Έκρινε ότι όντως υπήρξε παραβίαση.</w:t>
      </w:r>
    </w:p>
    <w:p w14:paraId="4EBDA984" w14:textId="77777777" w:rsidR="003B565C" w:rsidRPr="006D349F" w:rsidRDefault="003B565C" w:rsidP="003B565C">
      <w:pPr>
        <w:rPr>
          <w:lang w:val="el-GR"/>
        </w:rPr>
      </w:pPr>
    </w:p>
    <w:p w14:paraId="58C36569" w14:textId="77777777" w:rsidR="003B565C" w:rsidRPr="006D349F" w:rsidRDefault="003B565C" w:rsidP="005E08B0">
      <w:pPr>
        <w:rPr>
          <w:lang w:val="el-GR"/>
        </w:rPr>
      </w:pPr>
    </w:p>
    <w:p w14:paraId="55A178F8" w14:textId="77777777" w:rsidR="005E08B0" w:rsidRPr="006D349F" w:rsidRDefault="005E08B0" w:rsidP="005E08B0">
      <w:pPr>
        <w:rPr>
          <w:lang w:val="el-GR"/>
        </w:rPr>
      </w:pPr>
    </w:p>
    <w:bookmarkEnd w:id="0"/>
    <w:p w14:paraId="4D99BC2F" w14:textId="39C08DCE" w:rsidR="005E08B0" w:rsidRPr="006D349F" w:rsidRDefault="005E08B0" w:rsidP="005E08B0">
      <w:pPr>
        <w:rPr>
          <w:lang w:val="el-GR"/>
        </w:rPr>
      </w:pPr>
    </w:p>
    <w:sectPr w:rsidR="005E08B0" w:rsidRPr="006D349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2413D" w14:textId="77777777" w:rsidR="007C46C3" w:rsidRDefault="007C46C3" w:rsidP="00BD78F8">
      <w:pPr>
        <w:spacing w:after="0" w:line="240" w:lineRule="auto"/>
      </w:pPr>
      <w:r>
        <w:separator/>
      </w:r>
    </w:p>
  </w:endnote>
  <w:endnote w:type="continuationSeparator" w:id="0">
    <w:p w14:paraId="164D70A4" w14:textId="77777777" w:rsidR="007C46C3" w:rsidRDefault="007C46C3" w:rsidP="00BD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6556433"/>
      <w:docPartObj>
        <w:docPartGallery w:val="Page Numbers (Bottom of Page)"/>
        <w:docPartUnique/>
      </w:docPartObj>
    </w:sdtPr>
    <w:sdtEndPr/>
    <w:sdtContent>
      <w:p w14:paraId="77FFCFF8" w14:textId="6F600AA3" w:rsidR="00BD78F8" w:rsidRDefault="00BD78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5105295" w14:textId="77777777" w:rsidR="00BD78F8" w:rsidRDefault="00BD78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02EEC" w14:textId="77777777" w:rsidR="007C46C3" w:rsidRDefault="007C46C3" w:rsidP="00BD78F8">
      <w:pPr>
        <w:spacing w:after="0" w:line="240" w:lineRule="auto"/>
      </w:pPr>
      <w:r>
        <w:separator/>
      </w:r>
    </w:p>
  </w:footnote>
  <w:footnote w:type="continuationSeparator" w:id="0">
    <w:p w14:paraId="521B176F" w14:textId="77777777" w:rsidR="007C46C3" w:rsidRDefault="007C46C3" w:rsidP="00BD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790"/>
    <w:multiLevelType w:val="hybridMultilevel"/>
    <w:tmpl w:val="88BAD4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7889"/>
    <w:multiLevelType w:val="hybridMultilevel"/>
    <w:tmpl w:val="FA5C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226B7"/>
    <w:multiLevelType w:val="hybridMultilevel"/>
    <w:tmpl w:val="4740D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1E4A"/>
    <w:multiLevelType w:val="hybridMultilevel"/>
    <w:tmpl w:val="46E0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73A61"/>
    <w:multiLevelType w:val="hybridMultilevel"/>
    <w:tmpl w:val="A0F6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D4DDE"/>
    <w:multiLevelType w:val="hybridMultilevel"/>
    <w:tmpl w:val="04C8A9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40C78"/>
    <w:multiLevelType w:val="hybridMultilevel"/>
    <w:tmpl w:val="3698E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80605"/>
    <w:multiLevelType w:val="hybridMultilevel"/>
    <w:tmpl w:val="1C74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D230D"/>
    <w:multiLevelType w:val="hybridMultilevel"/>
    <w:tmpl w:val="9EEC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27"/>
    <w:rsid w:val="00377860"/>
    <w:rsid w:val="003A6D43"/>
    <w:rsid w:val="003B565C"/>
    <w:rsid w:val="004A7727"/>
    <w:rsid w:val="005E08B0"/>
    <w:rsid w:val="006B3921"/>
    <w:rsid w:val="006B6792"/>
    <w:rsid w:val="006D349F"/>
    <w:rsid w:val="0077342F"/>
    <w:rsid w:val="007C46C3"/>
    <w:rsid w:val="007F5395"/>
    <w:rsid w:val="00831D49"/>
    <w:rsid w:val="00877081"/>
    <w:rsid w:val="0095416D"/>
    <w:rsid w:val="009F4261"/>
    <w:rsid w:val="00A23779"/>
    <w:rsid w:val="00B75960"/>
    <w:rsid w:val="00BD78F8"/>
    <w:rsid w:val="00D130C8"/>
    <w:rsid w:val="00E47826"/>
    <w:rsid w:val="00E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D0A8"/>
  <w15:chartTrackingRefBased/>
  <w15:docId w15:val="{6A482056-E9A3-4DA6-B79B-35F3FB7C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2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E08B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D7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D78F8"/>
  </w:style>
  <w:style w:type="paragraph" w:styleId="a5">
    <w:name w:val="footer"/>
    <w:basedOn w:val="a"/>
    <w:link w:val="Char0"/>
    <w:uiPriority w:val="99"/>
    <w:unhideWhenUsed/>
    <w:rsid w:val="00BD7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D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Plakokefalos</dc:creator>
  <cp:keywords/>
  <dc:description/>
  <cp:lastModifiedBy>Ilias Plakokefalos</cp:lastModifiedBy>
  <cp:revision>6</cp:revision>
  <dcterms:created xsi:type="dcterms:W3CDTF">2020-11-09T12:09:00Z</dcterms:created>
  <dcterms:modified xsi:type="dcterms:W3CDTF">2020-11-16T10:47:00Z</dcterms:modified>
</cp:coreProperties>
</file>