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5CE6C" w14:textId="6FBC9D99" w:rsidR="00510293" w:rsidRPr="00BD78F8" w:rsidRDefault="00510293" w:rsidP="00510293">
      <w:pPr>
        <w:rPr>
          <w:lang w:val="el-GR"/>
        </w:rPr>
      </w:pPr>
      <w:r w:rsidRPr="00BD78F8">
        <w:rPr>
          <w:lang w:val="el-GR"/>
        </w:rPr>
        <w:t xml:space="preserve">Μάθημα: </w:t>
      </w:r>
      <w:r w:rsidRPr="00590759">
        <w:rPr>
          <w:lang w:val="el-GR"/>
        </w:rPr>
        <w:t>0</w:t>
      </w:r>
      <w:r w:rsidR="007D22B5" w:rsidRPr="00550B1E">
        <w:rPr>
          <w:lang w:val="el-GR"/>
        </w:rPr>
        <w:t>7</w:t>
      </w:r>
      <w:r w:rsidRPr="00BD78F8">
        <w:rPr>
          <w:lang w:val="el-GR"/>
        </w:rPr>
        <w:t>/1</w:t>
      </w:r>
      <w:r w:rsidRPr="00590759">
        <w:rPr>
          <w:lang w:val="el-GR"/>
        </w:rPr>
        <w:t>2</w:t>
      </w:r>
      <w:r w:rsidRPr="00BD78F8">
        <w:rPr>
          <w:lang w:val="el-GR"/>
        </w:rPr>
        <w:t>/2020</w:t>
      </w:r>
    </w:p>
    <w:p w14:paraId="542CE84A" w14:textId="77777777" w:rsidR="00510293" w:rsidRPr="00BD78F8" w:rsidRDefault="00510293" w:rsidP="00510293">
      <w:pPr>
        <w:rPr>
          <w:b/>
          <w:bCs/>
          <w:u w:val="single"/>
          <w:lang w:val="el-GR"/>
        </w:rPr>
      </w:pPr>
      <w:r w:rsidRPr="00BD78F8">
        <w:rPr>
          <w:b/>
          <w:bCs/>
          <w:u w:val="single"/>
          <w:lang w:val="el-GR"/>
        </w:rPr>
        <w:t>Σημειώσεις</w:t>
      </w:r>
    </w:p>
    <w:p w14:paraId="59D83DAA" w14:textId="77777777" w:rsidR="00510293" w:rsidRDefault="00510293" w:rsidP="00510293">
      <w:pPr>
        <w:jc w:val="center"/>
        <w:rPr>
          <w:sz w:val="28"/>
          <w:szCs w:val="28"/>
          <w:lang w:val="el-GR"/>
        </w:rPr>
      </w:pPr>
    </w:p>
    <w:p w14:paraId="57C29A58" w14:textId="77777777" w:rsidR="00510293" w:rsidRDefault="00510293" w:rsidP="00510293">
      <w:pPr>
        <w:jc w:val="center"/>
        <w:rPr>
          <w:sz w:val="28"/>
          <w:szCs w:val="28"/>
          <w:lang w:val="el-GR"/>
        </w:rPr>
      </w:pPr>
    </w:p>
    <w:p w14:paraId="5FA7F7E9" w14:textId="571F03B1" w:rsidR="00510293" w:rsidRPr="007D22B5" w:rsidRDefault="007D22B5" w:rsidP="00510293">
      <w:pPr>
        <w:jc w:val="center"/>
        <w:rPr>
          <w:sz w:val="28"/>
          <w:szCs w:val="28"/>
          <w:lang w:val="el-GR"/>
        </w:rPr>
      </w:pPr>
      <w:r>
        <w:rPr>
          <w:sz w:val="28"/>
          <w:szCs w:val="28"/>
          <w:lang w:val="el-GR"/>
        </w:rPr>
        <w:t>Δικαιοδοσία-Ετεροδικία-Διπλωματική Προστασία</w:t>
      </w:r>
    </w:p>
    <w:p w14:paraId="7D15E13B" w14:textId="1E162B94" w:rsidR="00E47826" w:rsidRPr="00590759" w:rsidRDefault="00E47826">
      <w:pPr>
        <w:rPr>
          <w:lang w:val="el-GR"/>
        </w:rPr>
      </w:pPr>
    </w:p>
    <w:p w14:paraId="53929BD0" w14:textId="2198FB11" w:rsidR="00510293" w:rsidRPr="004849A2" w:rsidRDefault="004849A2">
      <w:pPr>
        <w:rPr>
          <w:b/>
          <w:bCs/>
          <w:i/>
          <w:iCs/>
          <w:color w:val="FF0000"/>
          <w:u w:val="single"/>
          <w:lang w:val="el-GR"/>
        </w:rPr>
      </w:pPr>
      <w:r w:rsidRPr="004849A2">
        <w:rPr>
          <w:b/>
          <w:bCs/>
          <w:i/>
          <w:iCs/>
          <w:color w:val="FF0000"/>
          <w:u w:val="single"/>
          <w:lang w:val="el-GR"/>
        </w:rPr>
        <w:t>Αρμοδιότητα/</w:t>
      </w:r>
      <w:r w:rsidR="007D22B5" w:rsidRPr="004849A2">
        <w:rPr>
          <w:b/>
          <w:bCs/>
          <w:i/>
          <w:iCs/>
          <w:color w:val="FF0000"/>
          <w:u w:val="single"/>
          <w:lang w:val="el-GR"/>
        </w:rPr>
        <w:t>Δικαιοδοσία</w:t>
      </w:r>
    </w:p>
    <w:p w14:paraId="46E57237" w14:textId="4E3DFC79" w:rsidR="002820E5" w:rsidRPr="002820E5" w:rsidRDefault="002820E5" w:rsidP="002820E5">
      <w:pPr>
        <w:pStyle w:val="a3"/>
        <w:numPr>
          <w:ilvl w:val="0"/>
          <w:numId w:val="11"/>
        </w:numPr>
        <w:rPr>
          <w:lang w:val="el-GR"/>
        </w:rPr>
      </w:pPr>
      <w:r>
        <w:rPr>
          <w:lang w:val="el-GR"/>
        </w:rPr>
        <w:t xml:space="preserve">Δικαιοδοσία είναι η εξουσία του κράτους να νομοθετεί, να εφαρμόζει, και να εκτελεί κανόνες συμπεριφοράς σε </w:t>
      </w:r>
      <w:r w:rsidR="00546392">
        <w:rPr>
          <w:lang w:val="el-GR"/>
        </w:rPr>
        <w:t>νομικά και φυσικά πρόσωπα</w:t>
      </w:r>
    </w:p>
    <w:p w14:paraId="10FD23AE" w14:textId="1424DFD4" w:rsidR="007A5E0A" w:rsidRDefault="00610A46" w:rsidP="00610A46">
      <w:pPr>
        <w:pStyle w:val="a3"/>
        <w:numPr>
          <w:ilvl w:val="0"/>
          <w:numId w:val="11"/>
        </w:numPr>
        <w:rPr>
          <w:lang w:val="el-GR"/>
        </w:rPr>
      </w:pPr>
      <w:r>
        <w:rPr>
          <w:lang w:val="el-GR"/>
        </w:rPr>
        <w:t>Πέντε βασικές αρχές</w:t>
      </w:r>
      <w:r w:rsidRPr="00610A46">
        <w:rPr>
          <w:lang w:val="el-GR"/>
        </w:rPr>
        <w:t>:</w:t>
      </w:r>
      <w:r>
        <w:rPr>
          <w:lang w:val="el-GR"/>
        </w:rPr>
        <w:t xml:space="preserve"> εδαφικότητα, εθνικότητα, προστασία (κρατική προστατευτική αρχή), παθητική προσωπικότητα, παγκόσμια δικαιοδοσία</w:t>
      </w:r>
    </w:p>
    <w:p w14:paraId="65AB751F" w14:textId="0AA28705" w:rsidR="00546392" w:rsidRDefault="00546392" w:rsidP="00610A46">
      <w:pPr>
        <w:pStyle w:val="a3"/>
        <w:numPr>
          <w:ilvl w:val="0"/>
          <w:numId w:val="11"/>
        </w:numPr>
        <w:rPr>
          <w:lang w:val="el-GR"/>
        </w:rPr>
      </w:pPr>
      <w:r>
        <w:rPr>
          <w:lang w:val="el-GR"/>
        </w:rPr>
        <w:t>Τρία είδη αρμοδιότητας</w:t>
      </w:r>
      <w:r w:rsidRPr="00546392">
        <w:rPr>
          <w:lang w:val="el-GR"/>
        </w:rPr>
        <w:t xml:space="preserve">: </w:t>
      </w:r>
      <w:r>
        <w:rPr>
          <w:lang w:val="el-GR"/>
        </w:rPr>
        <w:t>νομοθετική, εκτελεστική, δικαστική</w:t>
      </w:r>
    </w:p>
    <w:p w14:paraId="18227946" w14:textId="4558AFF7" w:rsidR="00D4112C" w:rsidRDefault="00D4112C" w:rsidP="00610A46">
      <w:pPr>
        <w:pStyle w:val="a3"/>
        <w:numPr>
          <w:ilvl w:val="0"/>
          <w:numId w:val="11"/>
        </w:numPr>
        <w:rPr>
          <w:lang w:val="el-GR"/>
        </w:rPr>
      </w:pPr>
      <w:r>
        <w:rPr>
          <w:lang w:val="el-GR"/>
        </w:rPr>
        <w:t>Σχέση μεταξύ των αρχών και των ειδών της δικαιοδοσίας</w:t>
      </w:r>
    </w:p>
    <w:p w14:paraId="76637596" w14:textId="4DCD6741" w:rsidR="00D4112C" w:rsidRDefault="00D4112C" w:rsidP="00D4112C">
      <w:pPr>
        <w:pStyle w:val="a3"/>
        <w:numPr>
          <w:ilvl w:val="0"/>
          <w:numId w:val="12"/>
        </w:numPr>
        <w:rPr>
          <w:lang w:val="el-GR"/>
        </w:rPr>
      </w:pPr>
      <w:r>
        <w:rPr>
          <w:lang w:val="el-GR"/>
        </w:rPr>
        <w:t>Το κράτος Α έχει δικαίωμα να συμπεριλάβει στον ποινικό του κώδικα μια διάταξη σύμφωνα με την οποία οι υπήκοοί του τιμωρούνται στην περίπτωση που διαπράξουν ανθρωποκτονία, άσχετα από τον τόπο τέλεσης του εγκλήματος</w:t>
      </w:r>
    </w:p>
    <w:p w14:paraId="5BFF0AFE" w14:textId="0D4D27EB" w:rsidR="00D4112C" w:rsidRDefault="00D4112C" w:rsidP="00D4112C">
      <w:pPr>
        <w:pStyle w:val="a3"/>
        <w:numPr>
          <w:ilvl w:val="0"/>
          <w:numId w:val="12"/>
        </w:numPr>
        <w:rPr>
          <w:lang w:val="el-GR"/>
        </w:rPr>
      </w:pPr>
      <w:r>
        <w:rPr>
          <w:lang w:val="el-GR"/>
        </w:rPr>
        <w:t>Νομοθετική αρμοδιότητα στη βάση της αρχής της εθνικότητας</w:t>
      </w:r>
    </w:p>
    <w:p w14:paraId="64011CF7" w14:textId="3414E280" w:rsidR="00D4112C" w:rsidRDefault="00D4112C" w:rsidP="00D4112C">
      <w:pPr>
        <w:pStyle w:val="a3"/>
        <w:numPr>
          <w:ilvl w:val="0"/>
          <w:numId w:val="12"/>
        </w:numPr>
        <w:rPr>
          <w:lang w:val="el-GR"/>
        </w:rPr>
      </w:pPr>
      <w:r>
        <w:rPr>
          <w:lang w:val="el-GR"/>
        </w:rPr>
        <w:t>Όμως το κράτος Α δεν δύναται να εισβάλει στο κράτος Β (τόπος τέλεσης του εγκλήματος) προκειμένου να συλλάβει τον υπήκοό του που διέπραξε την ανθρωποκτονία. Δεν έχει, με άλλα λόγια εκτελεστική αρμοδιότητα (ή δικαιοδοσία)</w:t>
      </w:r>
    </w:p>
    <w:p w14:paraId="1C34C0CB" w14:textId="3E1CEF70" w:rsidR="00610A46" w:rsidRDefault="00610A46" w:rsidP="00610A46">
      <w:pPr>
        <w:pStyle w:val="a3"/>
        <w:numPr>
          <w:ilvl w:val="0"/>
          <w:numId w:val="11"/>
        </w:numPr>
        <w:rPr>
          <w:lang w:val="el-GR"/>
        </w:rPr>
      </w:pPr>
      <w:r>
        <w:rPr>
          <w:lang w:val="el-GR"/>
        </w:rPr>
        <w:t xml:space="preserve">Στην ορολογία υπάρχουν διαφορές. Η αρχή της εθνικότητας = ενεργητική προσωπικότητα/παθητική προσωπικότητα = </w:t>
      </w:r>
      <w:r w:rsidR="00FA07A5">
        <w:rPr>
          <w:lang w:val="el-GR"/>
        </w:rPr>
        <w:t>ατομική προστατευτική αρχή</w:t>
      </w:r>
    </w:p>
    <w:p w14:paraId="771A79A5" w14:textId="0395506A" w:rsidR="00FA07A5" w:rsidRDefault="002820E5" w:rsidP="00610A46">
      <w:pPr>
        <w:pStyle w:val="a3"/>
        <w:numPr>
          <w:ilvl w:val="0"/>
          <w:numId w:val="11"/>
        </w:numPr>
        <w:rPr>
          <w:lang w:val="el-GR"/>
        </w:rPr>
      </w:pPr>
      <w:r>
        <w:rPr>
          <w:lang w:val="el-GR"/>
        </w:rPr>
        <w:t>Η άσκηση της δικαιοδοσίας επιτρέπεται από το διεθνές δίκαιο στη βάση αυτών των πέντε αρχών αλλά δεν προκύπτει από μια γενική σύμβαση</w:t>
      </w:r>
    </w:p>
    <w:p w14:paraId="123AB725" w14:textId="4EB70378" w:rsidR="002820E5" w:rsidRDefault="002820E5" w:rsidP="00610A46">
      <w:pPr>
        <w:pStyle w:val="a3"/>
        <w:numPr>
          <w:ilvl w:val="0"/>
          <w:numId w:val="11"/>
        </w:numPr>
        <w:rPr>
          <w:lang w:val="el-GR"/>
        </w:rPr>
      </w:pPr>
      <w:r>
        <w:rPr>
          <w:lang w:val="el-GR"/>
        </w:rPr>
        <w:t>Υπάρχουν πολλές συμβάσεις όμως που ρυθμίζουν ζητήματα δικαιοδοσίας (Σύμβαση για το Δίκαιο της Θάλασσας π.χ.)</w:t>
      </w:r>
    </w:p>
    <w:p w14:paraId="5E0CF3C6" w14:textId="33E3AC8B" w:rsidR="002820E5" w:rsidRDefault="002820E5" w:rsidP="00610A46">
      <w:pPr>
        <w:pStyle w:val="a3"/>
        <w:numPr>
          <w:ilvl w:val="0"/>
          <w:numId w:val="11"/>
        </w:numPr>
        <w:rPr>
          <w:lang w:val="el-GR"/>
        </w:rPr>
      </w:pPr>
      <w:r>
        <w:rPr>
          <w:lang w:val="el-GR"/>
        </w:rPr>
        <w:t>Οι τρεις πρώτες αρχές αντιστοιχούν κατά κάποιο τρόπο με τα συστατικά στοιχεία του κράτους</w:t>
      </w:r>
      <w:r>
        <w:rPr>
          <w:rFonts w:cstheme="minorHAnsi"/>
          <w:lang w:val="el-GR"/>
        </w:rPr>
        <w:t>→</w:t>
      </w:r>
      <w:r>
        <w:rPr>
          <w:lang w:val="el-GR"/>
        </w:rPr>
        <w:t xml:space="preserve"> έδαφος, λαός, κυ</w:t>
      </w:r>
      <w:r w:rsidR="00D4112C">
        <w:rPr>
          <w:lang w:val="el-GR"/>
        </w:rPr>
        <w:t>β</w:t>
      </w:r>
      <w:r>
        <w:rPr>
          <w:lang w:val="el-GR"/>
        </w:rPr>
        <w:t>έρνηση</w:t>
      </w:r>
    </w:p>
    <w:p w14:paraId="58DA78B1" w14:textId="427A5223" w:rsidR="00D4112C" w:rsidRDefault="00D4112C" w:rsidP="00D4112C">
      <w:pPr>
        <w:pStyle w:val="a3"/>
        <w:numPr>
          <w:ilvl w:val="0"/>
          <w:numId w:val="11"/>
        </w:numPr>
        <w:rPr>
          <w:lang w:val="el-GR"/>
        </w:rPr>
      </w:pPr>
      <w:r>
        <w:rPr>
          <w:lang w:val="el-GR"/>
        </w:rPr>
        <w:t>Εξωεδαφική αρμοδιότητα</w:t>
      </w:r>
      <w:r>
        <w:rPr>
          <w:rFonts w:cstheme="minorHAnsi"/>
          <w:lang w:val="el-GR"/>
        </w:rPr>
        <w:t>→</w:t>
      </w:r>
      <w:r>
        <w:rPr>
          <w:lang w:val="el-GR"/>
        </w:rPr>
        <w:t xml:space="preserve"> σε εξαιρετικές περιπτώσεις (π.χ. ΝΑΤΟ)</w:t>
      </w:r>
    </w:p>
    <w:p w14:paraId="69ADF309" w14:textId="487998B5" w:rsidR="00D4112C" w:rsidRDefault="00D4112C" w:rsidP="00D4112C">
      <w:pPr>
        <w:rPr>
          <w:lang w:val="el-GR"/>
        </w:rPr>
      </w:pPr>
    </w:p>
    <w:p w14:paraId="7BE420BB" w14:textId="39359DEF" w:rsidR="00D4112C" w:rsidRDefault="00D4112C" w:rsidP="00D4112C">
      <w:pPr>
        <w:rPr>
          <w:b/>
          <w:bCs/>
          <w:i/>
          <w:iCs/>
          <w:lang w:val="el-GR"/>
        </w:rPr>
      </w:pPr>
      <w:r w:rsidRPr="00D4112C">
        <w:rPr>
          <w:b/>
          <w:bCs/>
          <w:i/>
          <w:iCs/>
          <w:lang w:val="el-GR"/>
        </w:rPr>
        <w:t>Νομοθετική αρμοδιότητα</w:t>
      </w:r>
    </w:p>
    <w:p w14:paraId="58F89C0F" w14:textId="1F23608E" w:rsidR="00D4112C" w:rsidRPr="0043044D" w:rsidRDefault="0043044D" w:rsidP="00D4112C">
      <w:pPr>
        <w:pStyle w:val="a3"/>
        <w:numPr>
          <w:ilvl w:val="0"/>
          <w:numId w:val="15"/>
        </w:numPr>
        <w:rPr>
          <w:lang w:val="el-GR"/>
        </w:rPr>
      </w:pPr>
      <w:r>
        <w:rPr>
          <w:lang w:val="el-GR"/>
        </w:rPr>
        <w:t xml:space="preserve">Η παρερμηνεία, παρεξήγηση, το λάθος της </w:t>
      </w:r>
      <w:r>
        <w:t>Lotus</w:t>
      </w:r>
      <w:r w:rsidRPr="0043044D">
        <w:rPr>
          <w:lang w:val="el-GR"/>
        </w:rPr>
        <w:t xml:space="preserve"> </w:t>
      </w:r>
    </w:p>
    <w:p w14:paraId="2B3BE27B" w14:textId="336C59AF" w:rsidR="0043044D" w:rsidRDefault="0043044D" w:rsidP="0043044D">
      <w:pPr>
        <w:pStyle w:val="a3"/>
        <w:rPr>
          <w:lang w:val="el-GR"/>
        </w:rPr>
      </w:pPr>
    </w:p>
    <w:p w14:paraId="5EB94F9C" w14:textId="1056907E" w:rsidR="0043044D" w:rsidRDefault="0043044D" w:rsidP="0043044D">
      <w:pPr>
        <w:pStyle w:val="a3"/>
      </w:pPr>
      <w:r>
        <w:t xml:space="preserve">It does not […] follow that international law prohibits a </w:t>
      </w:r>
      <w:r w:rsidR="00E05218">
        <w:t>S</w:t>
      </w:r>
      <w:r>
        <w:t xml:space="preserve">tate from exercising jurisdiction in its own territory, in respect of </w:t>
      </w:r>
      <w:r w:rsidR="00E05218">
        <w:t>a</w:t>
      </w:r>
      <w:r>
        <w:t xml:space="preserve">ny case which relate to acts which have taken place </w:t>
      </w:r>
      <w:r w:rsidR="00E05218">
        <w:t>abroad</w:t>
      </w:r>
      <w:r>
        <w:t xml:space="preserve">, and in which it cannot rely on some permissive rule of international law. Such a view would only be tenable if international law contained a general prohibition to States to extend the application of their laws and the jurisdiction of their courts to persons, property and acts outside their territory, and if as an exception to this general prohibition, it allowed States to </w:t>
      </w:r>
      <w:r>
        <w:lastRenderedPageBreak/>
        <w:t>do so in certain specific cases. But this is certainly not the case under international law as it stands at present. Far from laying down a general prohibition to the effect that States may not extend the application of their laws and the jurisdiction of their courts to persons, property and acts outside their territory, it leaves them in this respect a wide measure of discretion which is only limited in certain cases by prohibitive rules</w:t>
      </w:r>
    </w:p>
    <w:p w14:paraId="6BB293AD" w14:textId="40D99044" w:rsidR="0043044D" w:rsidRDefault="00E05218" w:rsidP="0043044D">
      <w:pPr>
        <w:rPr>
          <w:lang w:val="el-GR"/>
        </w:rPr>
      </w:pPr>
      <w:r>
        <w:rPr>
          <w:lang w:val="el-GR"/>
        </w:rPr>
        <w:t>Στην πραγματικότητα όμως τα κράτη που διαμαρτύρονται για την άσκηση νομοθετικής αρμοδιότητας εξωεδαφικά από άλλο κράτος δεν φέρουν ποτέ το βάρος απόδειξης. Ισχύει το αντίστροφο. Θα πρέπει το κράτος που επιχειρεί να ασκήσει εξωεδαφική νομοθετική αρμοδιότητα να έχει κάποιου είδους σχέση με τη δραστηριότητα που επιχειρεί να ελέγξει νομοθετικά.</w:t>
      </w:r>
    </w:p>
    <w:p w14:paraId="7580604F" w14:textId="0FE84875" w:rsidR="00E05218" w:rsidRDefault="00E05218" w:rsidP="00E05218">
      <w:pPr>
        <w:pStyle w:val="a3"/>
        <w:numPr>
          <w:ilvl w:val="0"/>
          <w:numId w:val="15"/>
        </w:numPr>
        <w:rPr>
          <w:lang w:val="el-GR"/>
        </w:rPr>
      </w:pPr>
      <w:r>
        <w:rPr>
          <w:lang w:val="el-GR"/>
        </w:rPr>
        <w:t>Εδαφικότητα</w:t>
      </w:r>
    </w:p>
    <w:p w14:paraId="5D306135" w14:textId="64591408" w:rsidR="00E05218" w:rsidRDefault="00E05218" w:rsidP="00E05218">
      <w:pPr>
        <w:rPr>
          <w:lang w:val="el-GR"/>
        </w:rPr>
      </w:pPr>
      <w:r>
        <w:rPr>
          <w:lang w:val="el-GR"/>
        </w:rPr>
        <w:t>Σχετίζεται άμεσα με την κυριαρχία του κράτους στο έδαφός του</w:t>
      </w:r>
    </w:p>
    <w:p w14:paraId="486257F0" w14:textId="11999F60" w:rsidR="00E05218" w:rsidRDefault="00E05218" w:rsidP="00E05218">
      <w:pPr>
        <w:rPr>
          <w:lang w:val="el-GR"/>
        </w:rPr>
      </w:pPr>
      <w:r>
        <w:rPr>
          <w:lang w:val="el-GR"/>
        </w:rPr>
        <w:t xml:space="preserve">Υπάρχει τεκμήριο υπέρ της άσκησης αρμοδιοτήτων του κράτους στο έδαφός του (με ορισμένους συγκεκριμένους περιορισμούς, </w:t>
      </w:r>
      <w:r w:rsidR="001C26CF">
        <w:rPr>
          <w:lang w:val="el-GR"/>
        </w:rPr>
        <w:t>βλ. δίκαιο της θάλασσας)</w:t>
      </w:r>
    </w:p>
    <w:p w14:paraId="4D83F154" w14:textId="6E1C3CA7" w:rsidR="001C26CF" w:rsidRDefault="001C26CF" w:rsidP="001C26CF">
      <w:pPr>
        <w:pStyle w:val="a3"/>
        <w:numPr>
          <w:ilvl w:val="0"/>
          <w:numId w:val="16"/>
        </w:numPr>
        <w:rPr>
          <w:lang w:val="el-GR"/>
        </w:rPr>
      </w:pPr>
      <w:r>
        <w:rPr>
          <w:lang w:val="el-GR"/>
        </w:rPr>
        <w:t>Αντικειμενική δικαιοδοσία</w:t>
      </w:r>
    </w:p>
    <w:p w14:paraId="4C4FC442" w14:textId="4F0CF29B" w:rsidR="001C26CF" w:rsidRPr="001C26CF" w:rsidRDefault="001C26CF" w:rsidP="001C26CF">
      <w:pPr>
        <w:pStyle w:val="a3"/>
        <w:rPr>
          <w:lang w:val="el-GR"/>
        </w:rPr>
      </w:pPr>
      <w:r>
        <w:rPr>
          <w:lang w:val="el-GR"/>
        </w:rPr>
        <w:t>Όταν η ενέργεια ξεκινάει εκτός του εδάφους του κράτους αλλά ολοκληρώνεται σε αυτό</w:t>
      </w:r>
      <w:r w:rsidR="00AF4314">
        <w:rPr>
          <w:lang w:val="el-GR"/>
        </w:rPr>
        <w:t xml:space="preserve"> (π.χ. βομβιστική επίθεση σε αεροσκάφος στον εναέριο χώρο του κράτους Α ενώ η βόμβα έχει τοποθετηθεί στο κράτος Β)</w:t>
      </w:r>
    </w:p>
    <w:p w14:paraId="1CD7FEED" w14:textId="6AB14E62" w:rsidR="001C26CF" w:rsidRDefault="001C26CF" w:rsidP="001C26CF">
      <w:pPr>
        <w:pStyle w:val="a3"/>
        <w:numPr>
          <w:ilvl w:val="0"/>
          <w:numId w:val="16"/>
        </w:numPr>
        <w:rPr>
          <w:lang w:val="el-GR"/>
        </w:rPr>
      </w:pPr>
      <w:r>
        <w:rPr>
          <w:lang w:val="el-GR"/>
        </w:rPr>
        <w:t>Υποκειμενική δικαιοδοσία</w:t>
      </w:r>
    </w:p>
    <w:p w14:paraId="548F3EB0" w14:textId="3EC40976" w:rsidR="001C26CF" w:rsidRDefault="001C26CF" w:rsidP="001C26CF">
      <w:pPr>
        <w:pStyle w:val="a3"/>
        <w:rPr>
          <w:lang w:val="el-GR"/>
        </w:rPr>
      </w:pPr>
      <w:r w:rsidRPr="001C26CF">
        <w:rPr>
          <w:lang w:val="el-GR"/>
        </w:rPr>
        <w:t>Όταν η ενέργεια ξεκινάει από το έδαφός του αλλά ολοκληρώνεται στο έδαφος άλλου κράτους</w:t>
      </w:r>
    </w:p>
    <w:p w14:paraId="28FB3810" w14:textId="275D74CB" w:rsidR="001C26CF" w:rsidRPr="00AF4314" w:rsidRDefault="00AF4314" w:rsidP="00AF4314">
      <w:pPr>
        <w:pStyle w:val="a3"/>
        <w:numPr>
          <w:ilvl w:val="0"/>
          <w:numId w:val="16"/>
        </w:numPr>
        <w:rPr>
          <w:lang w:val="el-GR"/>
        </w:rPr>
      </w:pPr>
      <w:r>
        <w:t>Effects doctrine</w:t>
      </w:r>
    </w:p>
    <w:p w14:paraId="47564B04" w14:textId="168820DB" w:rsidR="00AF4314" w:rsidRDefault="00AF4314" w:rsidP="00AF4314">
      <w:pPr>
        <w:rPr>
          <w:lang w:val="el-GR"/>
        </w:rPr>
      </w:pPr>
    </w:p>
    <w:p w14:paraId="7F613E95" w14:textId="4C80729C" w:rsidR="00AF4314" w:rsidRDefault="00AF4314" w:rsidP="00AF4314">
      <w:pPr>
        <w:pStyle w:val="a3"/>
        <w:numPr>
          <w:ilvl w:val="0"/>
          <w:numId w:val="15"/>
        </w:numPr>
        <w:rPr>
          <w:lang w:val="el-GR"/>
        </w:rPr>
      </w:pPr>
      <w:r>
        <w:rPr>
          <w:lang w:val="el-GR"/>
        </w:rPr>
        <w:t>Εθνικότητα</w:t>
      </w:r>
    </w:p>
    <w:p w14:paraId="52E3B952" w14:textId="370235EF" w:rsidR="00AF4314" w:rsidRDefault="00AF4314" w:rsidP="00AF4314">
      <w:pPr>
        <w:rPr>
          <w:lang w:val="el-GR"/>
        </w:rPr>
      </w:pPr>
      <w:r>
        <w:rPr>
          <w:lang w:val="el-GR"/>
        </w:rPr>
        <w:t>Ξεκάθαρο δικαίωμα των κρατών η νομοθετική αρμοδιότητα στη βάση της εθνικότητας</w:t>
      </w:r>
    </w:p>
    <w:p w14:paraId="6ADBEF68" w14:textId="2A1B7002" w:rsidR="00AF4314" w:rsidRDefault="00AF4314" w:rsidP="00AF4314">
      <w:pPr>
        <w:rPr>
          <w:lang w:val="el-GR"/>
        </w:rPr>
      </w:pPr>
      <w:r>
        <w:rPr>
          <w:lang w:val="el-GR"/>
        </w:rPr>
        <w:t>Σε περίπτωση διπλής υπηκοότητας και τα δύο κράτη έχουν δικαιοδοσία (αν και συνήθως επιλέγεται η «κυρίαρχη» υπηκοότητα)</w:t>
      </w:r>
      <w:r w:rsidR="00C90DD2">
        <w:rPr>
          <w:lang w:val="el-GR"/>
        </w:rPr>
        <w:t xml:space="preserve"> – </w:t>
      </w:r>
      <w:r w:rsidR="00C90DD2" w:rsidRPr="00E855BA">
        <w:rPr>
          <w:color w:val="00B0F0"/>
        </w:rPr>
        <w:t>Nottebohm</w:t>
      </w:r>
      <w:r w:rsidR="00C90DD2" w:rsidRPr="00C90DD2">
        <w:rPr>
          <w:lang w:val="el-GR"/>
        </w:rPr>
        <w:t xml:space="preserve"> (</w:t>
      </w:r>
      <w:r w:rsidR="00C90DD2">
        <w:rPr>
          <w:lang w:val="el-GR"/>
        </w:rPr>
        <w:t>με την επιφύλαξη ότι η υπόθεση δεν αφορούσε ζητήματα δικαιοδοσίας αλλά διπλωματικής προστασίας)</w:t>
      </w:r>
    </w:p>
    <w:p w14:paraId="297C474F" w14:textId="40C0E575" w:rsidR="00C90DD2" w:rsidRDefault="00C90DD2" w:rsidP="00C90DD2">
      <w:pPr>
        <w:pStyle w:val="a3"/>
        <w:numPr>
          <w:ilvl w:val="0"/>
          <w:numId w:val="15"/>
        </w:numPr>
        <w:rPr>
          <w:lang w:val="el-GR"/>
        </w:rPr>
      </w:pPr>
      <w:r>
        <w:rPr>
          <w:lang w:val="el-GR"/>
        </w:rPr>
        <w:t>Προστασία</w:t>
      </w:r>
    </w:p>
    <w:p w14:paraId="432F816F" w14:textId="12685C94" w:rsidR="00C90DD2" w:rsidRDefault="00C90DD2" w:rsidP="00C90DD2">
      <w:pPr>
        <w:rPr>
          <w:lang w:val="el-GR"/>
        </w:rPr>
      </w:pPr>
      <w:r>
        <w:rPr>
          <w:lang w:val="el-GR"/>
        </w:rPr>
        <w:t xml:space="preserve">Τα κράτη έχουν δικαιοδοσία για δραστηριότητες που θέτουν σε κίνδυνο ουσιώδη συμφέροντά τους, ανεξάρτητα από το εάν λαμβάνουν χώρα εκτός του εδάφους τους και καταλογίζονται σε αλλοδαπούς. </w:t>
      </w:r>
    </w:p>
    <w:p w14:paraId="48B461FF" w14:textId="3877F21F" w:rsidR="00C90DD2" w:rsidRPr="00550B1E" w:rsidRDefault="00C90DD2" w:rsidP="00C90DD2">
      <w:pPr>
        <w:rPr>
          <w:lang w:val="el-GR"/>
        </w:rPr>
      </w:pPr>
      <w:r>
        <w:rPr>
          <w:lang w:val="el-GR"/>
        </w:rPr>
        <w:t xml:space="preserve">Το κριτήριο είναι τα «ουσιώδη/ζωτικά συμφέροντα του κράτους» - σε διαφορετική περίπτωση συζητάμε για το </w:t>
      </w:r>
      <w:r>
        <w:t>effects</w:t>
      </w:r>
      <w:r w:rsidRPr="00C90DD2">
        <w:rPr>
          <w:lang w:val="el-GR"/>
        </w:rPr>
        <w:t xml:space="preserve"> </w:t>
      </w:r>
      <w:r>
        <w:t>doctrine</w:t>
      </w:r>
    </w:p>
    <w:p w14:paraId="6C905877" w14:textId="7761AB8C" w:rsidR="00C90DD2" w:rsidRDefault="00C90DD2" w:rsidP="00C90DD2">
      <w:pPr>
        <w:pStyle w:val="a3"/>
        <w:numPr>
          <w:ilvl w:val="0"/>
          <w:numId w:val="15"/>
        </w:numPr>
        <w:rPr>
          <w:lang w:val="el-GR"/>
        </w:rPr>
      </w:pPr>
      <w:r>
        <w:rPr>
          <w:lang w:val="el-GR"/>
        </w:rPr>
        <w:t>Παγκόσμια δικαιοδοσία</w:t>
      </w:r>
    </w:p>
    <w:p w14:paraId="4934DD50" w14:textId="2A8863E4" w:rsidR="00C90DD2" w:rsidRDefault="00C90DD2" w:rsidP="00C90DD2">
      <w:pPr>
        <w:rPr>
          <w:lang w:val="el-GR"/>
        </w:rPr>
      </w:pPr>
      <w:r>
        <w:rPr>
          <w:lang w:val="el-GR"/>
        </w:rPr>
        <w:t>Αφορά συγκεκριμένα ιδιαζόντως ειδεχθή εγκλήματα (γενοκτονία) ή εγκλήματα που συγκεντρώνουν πιθανότητες να μην τιμωρηθούν λόγω της φύσης τους (πειρατεία).</w:t>
      </w:r>
    </w:p>
    <w:p w14:paraId="4D6CF586" w14:textId="396D814B" w:rsidR="00C90DD2" w:rsidRPr="00E855BA" w:rsidRDefault="00C90DD2" w:rsidP="00C90DD2">
      <w:pPr>
        <w:rPr>
          <w:color w:val="00B0F0"/>
        </w:rPr>
      </w:pPr>
      <w:r>
        <w:rPr>
          <w:lang w:val="el-GR"/>
        </w:rPr>
        <w:t>Βλ</w:t>
      </w:r>
      <w:r w:rsidRPr="00C90DD2">
        <w:t xml:space="preserve">. </w:t>
      </w:r>
      <w:r w:rsidRPr="00E855BA">
        <w:rPr>
          <w:color w:val="00B0F0"/>
        </w:rPr>
        <w:t>Arrest Warrant (Belgium/DRC 2002)</w:t>
      </w:r>
    </w:p>
    <w:p w14:paraId="3905E912" w14:textId="77777777" w:rsidR="00C90DD2" w:rsidRPr="00C90DD2" w:rsidRDefault="00C90DD2" w:rsidP="00C90DD2"/>
    <w:p w14:paraId="1BDD1CC4" w14:textId="6B2EE19B" w:rsidR="00C90DD2" w:rsidRPr="00C90DD2" w:rsidRDefault="00C90DD2" w:rsidP="00C90DD2">
      <w:pPr>
        <w:pStyle w:val="a3"/>
        <w:numPr>
          <w:ilvl w:val="0"/>
          <w:numId w:val="15"/>
        </w:numPr>
      </w:pPr>
      <w:r>
        <w:rPr>
          <w:lang w:val="el-GR"/>
        </w:rPr>
        <w:lastRenderedPageBreak/>
        <w:t>Παθητική προσωπικότητα</w:t>
      </w:r>
    </w:p>
    <w:p w14:paraId="0091E7EE" w14:textId="21195964" w:rsidR="00C90DD2" w:rsidRDefault="00C90DD2" w:rsidP="00C90DD2">
      <w:pPr>
        <w:rPr>
          <w:lang w:val="el-GR"/>
        </w:rPr>
      </w:pPr>
      <w:r>
        <w:rPr>
          <w:lang w:val="el-GR"/>
        </w:rPr>
        <w:t>Αρκετά αμφιλεγόμενη βάση δικαιοδοσίας</w:t>
      </w:r>
      <w:r w:rsidR="00B56704" w:rsidRPr="00B56704">
        <w:rPr>
          <w:lang w:val="el-GR"/>
        </w:rPr>
        <w:t xml:space="preserve"> (</w:t>
      </w:r>
      <w:r w:rsidR="00B56704">
        <w:rPr>
          <w:lang w:val="el-GR"/>
        </w:rPr>
        <w:t>επίκληση από το Μεξικό το 1885 κατά Αμερικανού πολίτη ο οποίος είχε δυσφημήσει σε εφημερίδα των ΗΠΑ Μεξικανό πολίτη και φυλακίσθηκε στο Μεξικό)</w:t>
      </w:r>
    </w:p>
    <w:p w14:paraId="64871E47" w14:textId="57871734" w:rsidR="00B56704" w:rsidRDefault="00B56704" w:rsidP="00B56704">
      <w:pPr>
        <w:pStyle w:val="a3"/>
        <w:numPr>
          <w:ilvl w:val="0"/>
          <w:numId w:val="15"/>
        </w:numPr>
        <w:rPr>
          <w:lang w:val="el-GR"/>
        </w:rPr>
      </w:pPr>
      <w:r w:rsidRPr="00B56704">
        <w:rPr>
          <w:lang w:val="el-GR"/>
        </w:rPr>
        <w:t xml:space="preserve">Επάλληλη άσκηση αρμοδιότητας </w:t>
      </w:r>
    </w:p>
    <w:p w14:paraId="74920545" w14:textId="71EF817A" w:rsidR="007E20AD" w:rsidRDefault="007E20AD" w:rsidP="007E20AD">
      <w:pPr>
        <w:rPr>
          <w:lang w:val="el-GR"/>
        </w:rPr>
      </w:pPr>
      <w:r>
        <w:rPr>
          <w:lang w:val="el-GR"/>
        </w:rPr>
        <w:t xml:space="preserve">Τι συνέβη με την πτήση </w:t>
      </w:r>
      <w:r>
        <w:t>MH</w:t>
      </w:r>
      <w:r w:rsidRPr="007E20AD">
        <w:rPr>
          <w:lang w:val="el-GR"/>
        </w:rPr>
        <w:t xml:space="preserve"> 17 </w:t>
      </w:r>
      <w:r>
        <w:rPr>
          <w:lang w:val="el-GR"/>
        </w:rPr>
        <w:t>των Μαλαισιανών Αερογραμμών?</w:t>
      </w:r>
    </w:p>
    <w:p w14:paraId="0C471A96" w14:textId="7C1651A2" w:rsidR="007E20AD" w:rsidRDefault="004849A2" w:rsidP="007E20AD">
      <w:r>
        <w:t>Helm Burton Act 1996</w:t>
      </w:r>
    </w:p>
    <w:p w14:paraId="7F46A31E" w14:textId="5FC84EB0" w:rsidR="004849A2" w:rsidRDefault="004849A2" w:rsidP="007E20AD">
      <w:r>
        <w:t>UK/US pipeline dispute</w:t>
      </w:r>
    </w:p>
    <w:p w14:paraId="227FA702" w14:textId="1636AEE0" w:rsidR="004849A2" w:rsidRDefault="004849A2" w:rsidP="007E20AD"/>
    <w:p w14:paraId="4ADF953A" w14:textId="3593E9F1" w:rsidR="004849A2" w:rsidRDefault="004849A2" w:rsidP="007E20AD">
      <w:pPr>
        <w:rPr>
          <w:b/>
          <w:bCs/>
          <w:i/>
          <w:iCs/>
          <w:lang w:val="el-GR"/>
        </w:rPr>
      </w:pPr>
      <w:r>
        <w:rPr>
          <w:b/>
          <w:bCs/>
          <w:i/>
          <w:iCs/>
          <w:lang w:val="el-GR"/>
        </w:rPr>
        <w:t>Εκτελεστική Αρμοδιότητα</w:t>
      </w:r>
    </w:p>
    <w:p w14:paraId="2D3CFAA2" w14:textId="1492B1BB" w:rsidR="00B56704" w:rsidRDefault="004849A2" w:rsidP="00B56704">
      <w:pPr>
        <w:rPr>
          <w:lang w:val="el-GR"/>
        </w:rPr>
      </w:pPr>
      <w:r>
        <w:rPr>
          <w:lang w:val="el-GR"/>
        </w:rPr>
        <w:t>Μπορεί να ασκηθεί εξωεδαφικά μόνο με τη συγκατάθεση του κράτους.</w:t>
      </w:r>
    </w:p>
    <w:p w14:paraId="5490EE66" w14:textId="0DBFF228" w:rsidR="004849A2" w:rsidRDefault="004849A2" w:rsidP="00B56704">
      <w:r>
        <w:t>US Caribbean agreements on territorial seas</w:t>
      </w:r>
    </w:p>
    <w:p w14:paraId="17B9B3FD" w14:textId="3E03E783" w:rsidR="004849A2" w:rsidRDefault="004849A2" w:rsidP="00B56704">
      <w:pPr>
        <w:rPr>
          <w:lang w:val="el-GR"/>
        </w:rPr>
      </w:pPr>
      <w:r>
        <w:rPr>
          <w:lang w:val="el-GR"/>
        </w:rPr>
        <w:t>Η περίπτωση Άιχμαν</w:t>
      </w:r>
    </w:p>
    <w:p w14:paraId="36D5714B" w14:textId="356828E2" w:rsidR="004849A2" w:rsidRDefault="004849A2" w:rsidP="00B56704">
      <w:pPr>
        <w:rPr>
          <w:lang w:val="el-GR"/>
        </w:rPr>
      </w:pPr>
    </w:p>
    <w:p w14:paraId="77F52962" w14:textId="1F77BB1D" w:rsidR="004849A2" w:rsidRDefault="004849A2" w:rsidP="00B56704">
      <w:pPr>
        <w:rPr>
          <w:b/>
          <w:bCs/>
          <w:i/>
          <w:iCs/>
          <w:color w:val="FF0000"/>
          <w:u w:val="single"/>
          <w:lang w:val="el-GR"/>
        </w:rPr>
      </w:pPr>
      <w:r w:rsidRPr="004849A2">
        <w:rPr>
          <w:b/>
          <w:bCs/>
          <w:i/>
          <w:iCs/>
          <w:color w:val="FF0000"/>
          <w:u w:val="single"/>
          <w:lang w:val="el-GR"/>
        </w:rPr>
        <w:t>Ετεροδικία</w:t>
      </w:r>
    </w:p>
    <w:p w14:paraId="4F51F876" w14:textId="081E8E87" w:rsidR="004849A2" w:rsidRDefault="004849A2" w:rsidP="00B56704">
      <w:pPr>
        <w:rPr>
          <w:lang w:val="el-GR"/>
        </w:rPr>
      </w:pPr>
      <w:r>
        <w:rPr>
          <w:lang w:val="el-GR"/>
        </w:rPr>
        <w:t>Περιορισμός της δικα</w:t>
      </w:r>
      <w:r w:rsidR="004920E8">
        <w:rPr>
          <w:lang w:val="el-GR"/>
        </w:rPr>
        <w:t>στικής αρμοδιότητας</w:t>
      </w:r>
    </w:p>
    <w:p w14:paraId="174E96E1" w14:textId="2AD36981" w:rsidR="00E855BA" w:rsidRPr="00550B1E" w:rsidRDefault="00E855BA" w:rsidP="00B56704">
      <w:pPr>
        <w:rPr>
          <w:lang w:val="el-GR"/>
        </w:rPr>
      </w:pPr>
      <w:r>
        <w:t>Pars</w:t>
      </w:r>
      <w:r w:rsidRPr="00550B1E">
        <w:rPr>
          <w:lang w:val="el-GR"/>
        </w:rPr>
        <w:t xml:space="preserve"> </w:t>
      </w:r>
      <w:r>
        <w:t>in</w:t>
      </w:r>
      <w:r w:rsidRPr="00550B1E">
        <w:rPr>
          <w:lang w:val="el-GR"/>
        </w:rPr>
        <w:t xml:space="preserve"> </w:t>
      </w:r>
      <w:r>
        <w:t>parem</w:t>
      </w:r>
      <w:r w:rsidRPr="00550B1E">
        <w:rPr>
          <w:lang w:val="el-GR"/>
        </w:rPr>
        <w:t xml:space="preserve"> </w:t>
      </w:r>
      <w:r>
        <w:t>non</w:t>
      </w:r>
      <w:r w:rsidRPr="00550B1E">
        <w:rPr>
          <w:lang w:val="el-GR"/>
        </w:rPr>
        <w:t xml:space="preserve"> </w:t>
      </w:r>
      <w:r>
        <w:t>habet</w:t>
      </w:r>
      <w:r w:rsidRPr="00550B1E">
        <w:rPr>
          <w:lang w:val="el-GR"/>
        </w:rPr>
        <w:t xml:space="preserve"> </w:t>
      </w:r>
      <w:r>
        <w:t>jurisdictionem</w:t>
      </w:r>
    </w:p>
    <w:p w14:paraId="01B25FF6" w14:textId="40A5AEB0" w:rsidR="00E855BA" w:rsidRDefault="00E855BA" w:rsidP="00B56704">
      <w:pPr>
        <w:rPr>
          <w:lang w:val="el-GR"/>
        </w:rPr>
      </w:pPr>
      <w:r>
        <w:rPr>
          <w:lang w:val="el-GR"/>
        </w:rPr>
        <w:t>Αρχή κρατική κυριαρχίας</w:t>
      </w:r>
    </w:p>
    <w:p w14:paraId="5F2EF417" w14:textId="6C6985AA" w:rsidR="00E855BA" w:rsidRDefault="00E855BA" w:rsidP="00B56704">
      <w:pPr>
        <w:rPr>
          <w:lang w:val="el-GR"/>
        </w:rPr>
      </w:pPr>
      <w:r>
        <w:rPr>
          <w:lang w:val="el-GR"/>
        </w:rPr>
        <w:t>Καλύπτει α) πράξεις που πραγματοποιούνται στο όνομα και για λογαριασμό ξένου κράτους β) πρόσωπα που από την ιδιότητά τους είναι στενότατα συνδεδεμένα με τη λειτουργία του κράτους</w:t>
      </w:r>
    </w:p>
    <w:p w14:paraId="3DFA546C" w14:textId="636E7E21" w:rsidR="00E855BA" w:rsidRDefault="00E855BA" w:rsidP="00E855BA">
      <w:pPr>
        <w:rPr>
          <w:lang w:val="el-GR"/>
        </w:rPr>
      </w:pPr>
      <w:r w:rsidRPr="00E855BA">
        <w:rPr>
          <w:color w:val="00B0F0"/>
        </w:rPr>
        <w:t>Banco</w:t>
      </w:r>
      <w:r w:rsidRPr="00E855BA">
        <w:rPr>
          <w:color w:val="00B0F0"/>
          <w:lang w:val="el-GR"/>
        </w:rPr>
        <w:t xml:space="preserve"> </w:t>
      </w:r>
      <w:r w:rsidRPr="00E855BA">
        <w:rPr>
          <w:color w:val="00B0F0"/>
        </w:rPr>
        <w:t>Nacional</w:t>
      </w:r>
      <w:r w:rsidRPr="00E855BA">
        <w:rPr>
          <w:color w:val="00B0F0"/>
          <w:lang w:val="el-GR"/>
        </w:rPr>
        <w:t xml:space="preserve"> </w:t>
      </w:r>
      <w:r w:rsidRPr="00E855BA">
        <w:rPr>
          <w:color w:val="00B0F0"/>
        </w:rPr>
        <w:t>de</w:t>
      </w:r>
      <w:r w:rsidRPr="00E855BA">
        <w:rPr>
          <w:color w:val="00B0F0"/>
          <w:lang w:val="el-GR"/>
        </w:rPr>
        <w:t xml:space="preserve"> </w:t>
      </w:r>
      <w:r w:rsidRPr="00E855BA">
        <w:rPr>
          <w:color w:val="00B0F0"/>
        </w:rPr>
        <w:t>Cub</w:t>
      </w:r>
      <w:r>
        <w:rPr>
          <w:color w:val="00B0F0"/>
        </w:rPr>
        <w:t>a</w:t>
      </w:r>
      <w:r w:rsidRPr="00E855BA">
        <w:rPr>
          <w:color w:val="00B0F0"/>
          <w:lang w:val="el-GR"/>
        </w:rPr>
        <w:t xml:space="preserve"> </w:t>
      </w:r>
      <w:r w:rsidRPr="00E855BA">
        <w:rPr>
          <w:color w:val="00B0F0"/>
        </w:rPr>
        <w:t>v</w:t>
      </w:r>
      <w:r w:rsidRPr="00E855BA">
        <w:rPr>
          <w:color w:val="00B0F0"/>
          <w:lang w:val="el-GR"/>
        </w:rPr>
        <w:t xml:space="preserve">. </w:t>
      </w:r>
      <w:r w:rsidRPr="00E855BA">
        <w:rPr>
          <w:color w:val="00B0F0"/>
        </w:rPr>
        <w:t>Sabbatino</w:t>
      </w:r>
      <w:r w:rsidRPr="00E855BA">
        <w:rPr>
          <w:color w:val="00B0F0"/>
          <w:lang w:val="el-GR"/>
        </w:rPr>
        <w:t xml:space="preserve"> (1964) </w:t>
      </w:r>
      <w:r w:rsidRPr="00E855BA">
        <w:rPr>
          <w:lang w:val="el-GR"/>
        </w:rPr>
        <w:t>Εθνικοποίηση εταιρείας παραγωγής ζάχαρης με 96% Αμερικανούς μετόχους</w:t>
      </w:r>
      <w:r>
        <w:rPr>
          <w:lang w:val="el-GR"/>
        </w:rPr>
        <w:t xml:space="preserve"> - τ</w:t>
      </w:r>
      <w:r w:rsidRPr="00E855BA">
        <w:t>o</w:t>
      </w:r>
      <w:r w:rsidRPr="00E855BA">
        <w:rPr>
          <w:lang w:val="el-GR"/>
        </w:rPr>
        <w:t xml:space="preserve"> Ανώτατο Δικαστήριο ΗΠΑ έκρινε ότι τα αμερικανικά δικαστήρια δεν έχουν αρμοδιότητα </w:t>
      </w:r>
      <w:r>
        <w:rPr>
          <w:lang w:val="el-GR"/>
        </w:rPr>
        <w:t>να εξετάσει τη νομιμότητα πράξεων ξένων κρατών</w:t>
      </w:r>
    </w:p>
    <w:p w14:paraId="7195E07F" w14:textId="6DA6CEFD" w:rsidR="00E855BA" w:rsidRPr="00550B1E" w:rsidRDefault="00E855BA" w:rsidP="00E855BA">
      <w:pPr>
        <w:rPr>
          <w:lang w:val="el-GR"/>
        </w:rPr>
      </w:pPr>
      <w:r w:rsidRPr="00E855BA">
        <w:rPr>
          <w:color w:val="00B0F0"/>
        </w:rPr>
        <w:t>The</w:t>
      </w:r>
      <w:r w:rsidRPr="00550B1E">
        <w:rPr>
          <w:color w:val="00B0F0"/>
          <w:lang w:val="el-GR"/>
        </w:rPr>
        <w:t xml:space="preserve"> </w:t>
      </w:r>
      <w:r w:rsidRPr="00E855BA">
        <w:rPr>
          <w:color w:val="00B0F0"/>
        </w:rPr>
        <w:t>Schooner</w:t>
      </w:r>
      <w:r w:rsidRPr="00550B1E">
        <w:rPr>
          <w:color w:val="00B0F0"/>
          <w:lang w:val="el-GR"/>
        </w:rPr>
        <w:t xml:space="preserve"> </w:t>
      </w:r>
      <w:r w:rsidRPr="00E855BA">
        <w:rPr>
          <w:color w:val="00B0F0"/>
        </w:rPr>
        <w:t>Exchange</w:t>
      </w:r>
      <w:r w:rsidRPr="00550B1E">
        <w:rPr>
          <w:color w:val="00B0F0"/>
          <w:lang w:val="el-GR"/>
        </w:rPr>
        <w:t xml:space="preserve"> (1812) </w:t>
      </w:r>
    </w:p>
    <w:p w14:paraId="3599F05C" w14:textId="365C9842" w:rsidR="00E855BA" w:rsidRDefault="00ED25E4" w:rsidP="00E855BA">
      <w:pPr>
        <w:rPr>
          <w:lang w:val="el-GR"/>
        </w:rPr>
      </w:pPr>
      <w:r w:rsidRPr="00ED25E4">
        <w:rPr>
          <w:lang w:val="el-GR"/>
        </w:rPr>
        <w:t>Πλέον προνόμια ετεροδικίας χαίρουν ξένα πλοία που δεν εκτελούν εμπορικής φύσης υπηρεσία</w:t>
      </w:r>
    </w:p>
    <w:p w14:paraId="1949E436" w14:textId="3EA55046" w:rsidR="00ED25E4" w:rsidRDefault="00ED25E4" w:rsidP="00ED25E4">
      <w:pPr>
        <w:pStyle w:val="a3"/>
        <w:numPr>
          <w:ilvl w:val="0"/>
          <w:numId w:val="15"/>
        </w:numPr>
        <w:rPr>
          <w:b/>
          <w:bCs/>
          <w:lang w:val="el-GR"/>
        </w:rPr>
      </w:pPr>
      <w:r w:rsidRPr="00ED25E4">
        <w:rPr>
          <w:b/>
          <w:bCs/>
          <w:lang w:val="el-GR"/>
        </w:rPr>
        <w:t>Απόλυτη και περιορισμένη ή σχετική ετεροδικία</w:t>
      </w:r>
    </w:p>
    <w:p w14:paraId="67055E80" w14:textId="5B164BEA" w:rsidR="00ED25E4" w:rsidRDefault="00ED25E4" w:rsidP="00ED25E4">
      <w:pPr>
        <w:rPr>
          <w:lang w:val="el-GR"/>
        </w:rPr>
      </w:pPr>
      <w:r w:rsidRPr="00343DCE">
        <w:rPr>
          <w:lang w:val="el-GR"/>
        </w:rPr>
        <w:t xml:space="preserve">Από το μεσοπόλεμο αρχίζει ήδη να γίνεται ο διαχωρισμός </w:t>
      </w:r>
      <w:r w:rsidR="00343DCE" w:rsidRPr="00343DCE">
        <w:rPr>
          <w:lang w:val="el-GR"/>
        </w:rPr>
        <w:t xml:space="preserve">μεταξύ </w:t>
      </w:r>
      <w:r w:rsidR="00343DCE" w:rsidRPr="00343DCE">
        <w:t>acta</w:t>
      </w:r>
      <w:r w:rsidR="00343DCE" w:rsidRPr="00343DCE">
        <w:rPr>
          <w:lang w:val="el-GR"/>
        </w:rPr>
        <w:t xml:space="preserve"> </w:t>
      </w:r>
      <w:r w:rsidR="00343DCE" w:rsidRPr="00343DCE">
        <w:t>iure</w:t>
      </w:r>
      <w:r w:rsidR="00343DCE" w:rsidRPr="00343DCE">
        <w:rPr>
          <w:lang w:val="el-GR"/>
        </w:rPr>
        <w:t xml:space="preserve"> </w:t>
      </w:r>
      <w:r w:rsidR="00343DCE" w:rsidRPr="00343DCE">
        <w:t>imperii</w:t>
      </w:r>
      <w:r w:rsidR="00343DCE" w:rsidRPr="00343DCE">
        <w:rPr>
          <w:lang w:val="el-GR"/>
        </w:rPr>
        <w:t xml:space="preserve"> (εκτός δικαιοδοσίας) και </w:t>
      </w:r>
      <w:r w:rsidR="00343DCE" w:rsidRPr="00343DCE">
        <w:t>acta</w:t>
      </w:r>
      <w:r w:rsidR="00343DCE" w:rsidRPr="00343DCE">
        <w:rPr>
          <w:lang w:val="el-GR"/>
        </w:rPr>
        <w:t xml:space="preserve"> </w:t>
      </w:r>
      <w:r w:rsidR="00343DCE" w:rsidRPr="00343DCE">
        <w:t>iure</w:t>
      </w:r>
      <w:r w:rsidR="00343DCE" w:rsidRPr="00343DCE">
        <w:rPr>
          <w:lang w:val="el-GR"/>
        </w:rPr>
        <w:t xml:space="preserve"> </w:t>
      </w:r>
      <w:r w:rsidR="00343DCE" w:rsidRPr="00343DCE">
        <w:t>gestionis</w:t>
      </w:r>
      <w:r w:rsidR="00343DCE" w:rsidRPr="00343DCE">
        <w:rPr>
          <w:lang w:val="el-GR"/>
        </w:rPr>
        <w:t xml:space="preserve"> (εντός δικαιοδοσίας)</w:t>
      </w:r>
    </w:p>
    <w:p w14:paraId="016B39BC" w14:textId="512E7B09" w:rsidR="00550B1E" w:rsidRDefault="00550B1E" w:rsidP="00ED25E4">
      <w:pPr>
        <w:rPr>
          <w:lang w:val="el-GR"/>
        </w:rPr>
      </w:pPr>
      <w:r>
        <w:rPr>
          <w:lang w:val="el-GR"/>
        </w:rPr>
        <w:t>Εφόσον η ετεροδικία εξασφάλιζε στα κράτη τη δυνατότητα να συστήνουν κρατικές εταιρείες και έτσι να αποφεύγουν οποιοδήποτε δικαστικό έλεγχο τα κράτη αργά αλλά σταθερά άρχισαν να διαχωρίζουν μεταξύ πράξεων διαχείρισης (</w:t>
      </w:r>
      <w:r>
        <w:t>iure</w:t>
      </w:r>
      <w:r w:rsidRPr="00550B1E">
        <w:rPr>
          <w:lang w:val="el-GR"/>
        </w:rPr>
        <w:t xml:space="preserve"> </w:t>
      </w:r>
      <w:r>
        <w:t>gestionis</w:t>
      </w:r>
      <w:r w:rsidRPr="00550B1E">
        <w:rPr>
          <w:lang w:val="el-GR"/>
        </w:rPr>
        <w:t xml:space="preserve">) </w:t>
      </w:r>
      <w:r>
        <w:rPr>
          <w:lang w:val="el-GR"/>
        </w:rPr>
        <w:t>και πράξεις εξουσίας (</w:t>
      </w:r>
      <w:r>
        <w:t>acta</w:t>
      </w:r>
      <w:r w:rsidRPr="00550B1E">
        <w:rPr>
          <w:lang w:val="el-GR"/>
        </w:rPr>
        <w:t xml:space="preserve"> </w:t>
      </w:r>
      <w:r>
        <w:t>imperii</w:t>
      </w:r>
      <w:r w:rsidRPr="00550B1E">
        <w:rPr>
          <w:lang w:val="el-GR"/>
        </w:rPr>
        <w:t>)</w:t>
      </w:r>
    </w:p>
    <w:p w14:paraId="7F32FB22" w14:textId="62C13101" w:rsidR="00550B1E" w:rsidRDefault="00550B1E" w:rsidP="00ED25E4">
      <w:r>
        <w:rPr>
          <w:lang w:val="el-GR"/>
        </w:rPr>
        <w:t>Παράδειγμα διαχωρισμού η Ευρωπαϊκή Σύμβαση περί Ετεροδικίας του Κράτους (1972-Συμβούλιο της Ευρώπης)</w:t>
      </w:r>
    </w:p>
    <w:p w14:paraId="2881E0C3" w14:textId="199853D0" w:rsidR="00550B1E" w:rsidRDefault="00550B1E" w:rsidP="00ED25E4"/>
    <w:p w14:paraId="03D4042B" w14:textId="13AA9C51" w:rsidR="00550B1E" w:rsidRDefault="00550B1E" w:rsidP="00ED25E4">
      <w:r w:rsidRPr="00550B1E">
        <w:rPr>
          <w:noProof/>
        </w:rPr>
        <w:lastRenderedPageBreak/>
        <w:drawing>
          <wp:inline distT="0" distB="0" distL="0" distR="0" wp14:anchorId="184191CA" wp14:editId="5B0126DD">
            <wp:extent cx="5731510" cy="333756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337560"/>
                    </a:xfrm>
                    <a:prstGeom prst="rect">
                      <a:avLst/>
                    </a:prstGeom>
                    <a:noFill/>
                    <a:ln>
                      <a:noFill/>
                    </a:ln>
                  </pic:spPr>
                </pic:pic>
              </a:graphicData>
            </a:graphic>
          </wp:inline>
        </w:drawing>
      </w:r>
    </w:p>
    <w:p w14:paraId="133B90C4" w14:textId="75EA916A" w:rsidR="00550B1E" w:rsidRDefault="00550B1E" w:rsidP="00ED25E4">
      <w:r w:rsidRPr="00550B1E">
        <w:rPr>
          <w:noProof/>
        </w:rPr>
        <w:drawing>
          <wp:inline distT="0" distB="0" distL="0" distR="0" wp14:anchorId="65A01845" wp14:editId="3135BEEF">
            <wp:extent cx="5731510" cy="3337560"/>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37560"/>
                    </a:xfrm>
                    <a:prstGeom prst="rect">
                      <a:avLst/>
                    </a:prstGeom>
                    <a:noFill/>
                    <a:ln>
                      <a:noFill/>
                    </a:ln>
                  </pic:spPr>
                </pic:pic>
              </a:graphicData>
            </a:graphic>
          </wp:inline>
        </w:drawing>
      </w:r>
    </w:p>
    <w:p w14:paraId="42D9915C" w14:textId="33A3AE9B" w:rsidR="00550B1E" w:rsidRDefault="00550B1E" w:rsidP="00ED25E4"/>
    <w:p w14:paraId="296E3FCF" w14:textId="0650C5AB" w:rsidR="00550B1E" w:rsidRDefault="00CF5FC4" w:rsidP="00ED25E4">
      <w:pPr>
        <w:rPr>
          <w:lang w:val="el-GR"/>
        </w:rPr>
      </w:pPr>
      <w:r>
        <w:rPr>
          <w:lang w:val="el-GR"/>
        </w:rPr>
        <w:t>Στις</w:t>
      </w:r>
      <w:r w:rsidRPr="00CF5FC4">
        <w:rPr>
          <w:lang w:val="el-GR"/>
        </w:rPr>
        <w:t xml:space="preserve"> </w:t>
      </w:r>
      <w:r>
        <w:rPr>
          <w:lang w:val="el-GR"/>
        </w:rPr>
        <w:t>ΗΠΑ</w:t>
      </w:r>
      <w:r w:rsidRPr="00CF5FC4">
        <w:rPr>
          <w:lang w:val="el-GR"/>
        </w:rPr>
        <w:t xml:space="preserve"> </w:t>
      </w:r>
      <w:r>
        <w:rPr>
          <w:lang w:val="el-GR"/>
        </w:rPr>
        <w:t>υπάρχει</w:t>
      </w:r>
      <w:r w:rsidRPr="00CF5FC4">
        <w:rPr>
          <w:lang w:val="el-GR"/>
        </w:rPr>
        <w:t xml:space="preserve"> </w:t>
      </w:r>
      <w:r>
        <w:rPr>
          <w:lang w:val="el-GR"/>
        </w:rPr>
        <w:t>το</w:t>
      </w:r>
      <w:r w:rsidRPr="00CF5FC4">
        <w:rPr>
          <w:lang w:val="el-GR"/>
        </w:rPr>
        <w:t xml:space="preserve"> </w:t>
      </w:r>
      <w:r>
        <w:t>Foreign</w:t>
      </w:r>
      <w:r w:rsidRPr="00CF5FC4">
        <w:rPr>
          <w:lang w:val="el-GR"/>
        </w:rPr>
        <w:t xml:space="preserve"> </w:t>
      </w:r>
      <w:r>
        <w:t>Sovereign</w:t>
      </w:r>
      <w:r w:rsidRPr="00CF5FC4">
        <w:rPr>
          <w:lang w:val="el-GR"/>
        </w:rPr>
        <w:t xml:space="preserve"> </w:t>
      </w:r>
      <w:r>
        <w:t>Immunity</w:t>
      </w:r>
      <w:r w:rsidRPr="00CF5FC4">
        <w:rPr>
          <w:lang w:val="el-GR"/>
        </w:rPr>
        <w:t xml:space="preserve"> </w:t>
      </w:r>
      <w:r>
        <w:t>Act</w:t>
      </w:r>
      <w:r w:rsidRPr="00CF5FC4">
        <w:rPr>
          <w:lang w:val="el-GR"/>
        </w:rPr>
        <w:t xml:space="preserve"> </w:t>
      </w:r>
      <w:r>
        <w:rPr>
          <w:lang w:val="el-GR"/>
        </w:rPr>
        <w:t xml:space="preserve">που συνδέεται με το </w:t>
      </w:r>
      <w:r>
        <w:t>Tate</w:t>
      </w:r>
      <w:r w:rsidRPr="00CF5FC4">
        <w:rPr>
          <w:lang w:val="el-GR"/>
        </w:rPr>
        <w:t xml:space="preserve"> </w:t>
      </w:r>
      <w:r>
        <w:t>letter</w:t>
      </w:r>
      <w:r w:rsidRPr="00CF5FC4">
        <w:rPr>
          <w:lang w:val="el-GR"/>
        </w:rPr>
        <w:t xml:space="preserve"> </w:t>
      </w:r>
      <w:r>
        <w:rPr>
          <w:lang w:val="el-GR"/>
        </w:rPr>
        <w:t>όπου το Υπ.Εξ. ανακοίνωσε στα δικαστήρια ότι θα αναγνώριζε ετεροδικία μόνο στην περίπτωση όπου το κράτος λειτουργούσε με την κρατική του ιδιότητα και όχι ως έμπορος</w:t>
      </w:r>
    </w:p>
    <w:p w14:paraId="63BBEC63" w14:textId="10EE9F9E" w:rsidR="00CF5FC4" w:rsidRDefault="00CF5FC4" w:rsidP="00ED25E4">
      <w:pPr>
        <w:rPr>
          <w:b/>
          <w:bCs/>
          <w:i/>
          <w:iCs/>
          <w:lang w:val="el-GR"/>
        </w:rPr>
      </w:pPr>
      <w:r w:rsidRPr="00CF5FC4">
        <w:rPr>
          <w:b/>
          <w:bCs/>
          <w:i/>
          <w:iCs/>
          <w:lang w:val="el-GR"/>
        </w:rPr>
        <w:t>Η πρακτική των ελληνικών δικαστηρίων</w:t>
      </w:r>
    </w:p>
    <w:p w14:paraId="6C1EF63B" w14:textId="75C939D0" w:rsidR="00CF5FC4" w:rsidRDefault="00BE1E3B" w:rsidP="00ED25E4">
      <w:pPr>
        <w:rPr>
          <w:lang w:val="el-GR"/>
        </w:rPr>
      </w:pPr>
      <w:r>
        <w:rPr>
          <w:noProof/>
          <w:lang w:val="el-GR"/>
        </w:rPr>
        <mc:AlternateContent>
          <mc:Choice Requires="wpc">
            <w:drawing>
              <wp:anchor distT="0" distB="0" distL="114300" distR="114300" simplePos="0" relativeHeight="251663360" behindDoc="0" locked="0" layoutInCell="1" allowOverlap="1" wp14:anchorId="7793FEAC" wp14:editId="5144109D">
                <wp:simplePos x="0" y="0"/>
                <wp:positionH relativeFrom="column">
                  <wp:posOffset>-914400</wp:posOffset>
                </wp:positionH>
                <wp:positionV relativeFrom="paragraph">
                  <wp:posOffset>-914400</wp:posOffset>
                </wp:positionV>
                <wp:extent cx="5731510" cy="1936115"/>
                <wp:effectExtent l="0" t="0" r="0" b="0"/>
                <wp:wrapNone/>
                <wp:docPr id="9" name="Καμβάς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CEC822D" id="Καμβάς 9" o:spid="_x0000_s1026" editas="canvas" style="position:absolute;margin-left:-1in;margin-top:-1in;width:451.3pt;height:152.45pt;z-index:251663360" coordsize="57315,1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19361;visibility:visible;mso-wrap-style:square">
                  <v:fill o:detectmouseclick="t"/>
                  <v:path o:connecttype="none"/>
                </v:shape>
              </v:group>
            </w:pict>
          </mc:Fallback>
        </mc:AlternateContent>
      </w:r>
      <w:r w:rsidR="00CF5FC4">
        <w:rPr>
          <w:lang w:val="el-GR"/>
        </w:rPr>
        <w:t xml:space="preserve">Δεν αναγνωρίζεται ετεροδικία όταν πρόκεται για </w:t>
      </w:r>
      <w:r w:rsidR="00CF5FC4" w:rsidRPr="00CF5FC4">
        <w:rPr>
          <w:lang w:val="el-GR"/>
        </w:rPr>
        <w:t xml:space="preserve">: </w:t>
      </w:r>
      <w:r w:rsidR="00CF5FC4">
        <w:rPr>
          <w:lang w:val="el-GR"/>
        </w:rPr>
        <w:t xml:space="preserve">α) αγωγές που αφορούν σε εμπράγματα δικαιώματα επί ακινήτων β) αγωγές που αναφέρονται στο ξένο κράτος ως κληρονόμου ή κληροδόχου γ) σε περιπτώσεις όπου το ξένο κράτος παραιτείται της ετεροδικίας </w:t>
      </w:r>
    </w:p>
    <w:p w14:paraId="49156F7F" w14:textId="4A07652E" w:rsidR="000C6E2A" w:rsidRPr="000C6E2A" w:rsidRDefault="000C6E2A" w:rsidP="00ED25E4">
      <w:pPr>
        <w:rPr>
          <w:color w:val="00B0F0"/>
          <w:lang w:val="el-GR"/>
        </w:rPr>
      </w:pPr>
      <w:r w:rsidRPr="000C6E2A">
        <w:rPr>
          <w:color w:val="00B0F0"/>
          <w:lang w:val="el-GR"/>
        </w:rPr>
        <w:lastRenderedPageBreak/>
        <w:t>Άρειος Πάγος Απόφαση 11/2000</w:t>
      </w:r>
    </w:p>
    <w:p w14:paraId="18C168E2" w14:textId="5FFCBD61" w:rsidR="000C6E2A" w:rsidRDefault="000C6E2A" w:rsidP="00ED25E4">
      <w:pPr>
        <w:rPr>
          <w:lang w:val="el-GR"/>
        </w:rPr>
      </w:pPr>
      <w:r>
        <w:rPr>
          <w:lang w:val="el-GR"/>
        </w:rPr>
        <w:t>Αναγνώρισε την υποχρέωση του γερμανικού Δημοσίου να καταβάλει στους επιζώντες της σφαγής του Διστόμου και στους κληρονόμους τους χρηματική ικανοποίηση (ακολουθώντας την απόφαση του Πολυμελούς Πρωτοδικείου Λιβαδειάς 137/1997)</w:t>
      </w:r>
    </w:p>
    <w:p w14:paraId="7DFA0B53" w14:textId="03257B64" w:rsidR="000C6E2A" w:rsidRDefault="000C6E2A" w:rsidP="00ED25E4">
      <w:pPr>
        <w:rPr>
          <w:lang w:val="el-GR"/>
        </w:rPr>
      </w:pPr>
      <w:r>
        <w:rPr>
          <w:lang w:val="el-GR"/>
        </w:rPr>
        <w:t>Το Δικαστήριο κατέληξε ότι η διάκριση πράξεων κρατικής εξουσίας και πράξεων διαχείρισης δεν ισχύει καθώς πρόκειται για εγκλήματα κατά της ανθρωπότητας και επομένως το δικαίωμα της ετεροδικίας παύει να ισχύει αφού τα όργανα του κράτους (Γ’ Ράιχ) έχουν παραβιάσει κανόνες αναγκαστικού δικαίου</w:t>
      </w:r>
    </w:p>
    <w:p w14:paraId="5E9D73C0" w14:textId="596E664A" w:rsidR="00135CF1" w:rsidRDefault="00BE1E3B" w:rsidP="00ED25E4">
      <w:pPr>
        <w:rPr>
          <w:lang w:val="el-GR"/>
        </w:rPr>
      </w:pPr>
      <w:r>
        <w:rPr>
          <w:lang w:val="el-GR"/>
        </w:rPr>
        <w:t>Το άρθρο 923 του ΚΠολΔ προβλέπει όμως ότι ‘αναγκαστική εκτέλεση κατά αλλοδαπού δημοσίου δεν μπορεί να γίνει χωρίς προηγούμενη άδεια του Υπουργού Δικαιοσύνης</w:t>
      </w:r>
    </w:p>
    <w:p w14:paraId="0C4D05E8" w14:textId="32899392" w:rsidR="000C6E2A" w:rsidRDefault="000C6E2A" w:rsidP="00ED25E4">
      <w:pPr>
        <w:rPr>
          <w:color w:val="00B0F0"/>
          <w:lang w:val="el-GR"/>
        </w:rPr>
      </w:pPr>
      <w:r w:rsidRPr="000C6E2A">
        <w:rPr>
          <w:color w:val="00B0F0"/>
        </w:rPr>
        <w:t>Ferrini</w:t>
      </w:r>
      <w:r w:rsidRPr="00BE1E3B">
        <w:rPr>
          <w:color w:val="00B0F0"/>
          <w:lang w:val="el-GR"/>
        </w:rPr>
        <w:t xml:space="preserve"> </w:t>
      </w:r>
      <w:r w:rsidRPr="000C6E2A">
        <w:rPr>
          <w:color w:val="00B0F0"/>
          <w:lang w:val="el-GR"/>
        </w:rPr>
        <w:t xml:space="preserve">κατά Γερμανίας </w:t>
      </w:r>
      <w:r>
        <w:rPr>
          <w:color w:val="00B0F0"/>
          <w:lang w:val="el-GR"/>
        </w:rPr>
        <w:t>(2004)</w:t>
      </w:r>
    </w:p>
    <w:p w14:paraId="62EF23AD" w14:textId="4645E86E" w:rsidR="000C6E2A" w:rsidRDefault="00BE1E3B" w:rsidP="00ED25E4">
      <w:pPr>
        <w:rPr>
          <w:lang w:val="el-GR"/>
        </w:rPr>
      </w:pPr>
      <w:r>
        <w:rPr>
          <w:lang w:val="el-GR"/>
        </w:rPr>
        <w:t>Αφορούσε τη μεταφορά άμαχου πληθυσμού σε στρατόπεδα συγκέντρωσης για καταναγκαστική εργασία</w:t>
      </w:r>
    </w:p>
    <w:p w14:paraId="5ADA48BE" w14:textId="7B57010B" w:rsidR="00BE1E3B" w:rsidRPr="00BE1E3B" w:rsidRDefault="00BE1E3B" w:rsidP="00ED25E4">
      <w:pPr>
        <w:rPr>
          <w:lang w:val="el-GR"/>
        </w:rPr>
      </w:pPr>
      <w:r>
        <w:rPr>
          <w:lang w:val="el-GR"/>
        </w:rPr>
        <w:t>Το Δικαστήριο υιοθέτησε τη λογική της κανονιστικής ιεραρχίας των κανόνων διεθνούς δικαίου (</w:t>
      </w:r>
      <w:r>
        <w:t>normative</w:t>
      </w:r>
      <w:r w:rsidRPr="00BE1E3B">
        <w:rPr>
          <w:lang w:val="el-GR"/>
        </w:rPr>
        <w:t xml:space="preserve"> </w:t>
      </w:r>
      <w:r>
        <w:t>hierarchy</w:t>
      </w:r>
      <w:r w:rsidRPr="00BE1E3B">
        <w:rPr>
          <w:lang w:val="el-GR"/>
        </w:rPr>
        <w:t xml:space="preserve">) </w:t>
      </w:r>
      <w:r>
        <w:rPr>
          <w:rFonts w:cstheme="minorHAnsi"/>
          <w:lang w:val="el-GR"/>
        </w:rPr>
        <w:t>→</w:t>
      </w:r>
      <w:r>
        <w:rPr>
          <w:lang w:val="el-GR"/>
        </w:rPr>
        <w:t xml:space="preserve"> παραβίαση κανόνα </w:t>
      </w:r>
      <w:r>
        <w:t>ius</w:t>
      </w:r>
      <w:r w:rsidRPr="00BE1E3B">
        <w:rPr>
          <w:lang w:val="el-GR"/>
        </w:rPr>
        <w:t xml:space="preserve"> </w:t>
      </w:r>
      <w:r>
        <w:t>cogens</w:t>
      </w:r>
      <w:r w:rsidRPr="00BE1E3B">
        <w:rPr>
          <w:lang w:val="el-GR"/>
        </w:rPr>
        <w:t xml:space="preserve"> </w:t>
      </w:r>
      <w:r>
        <w:rPr>
          <w:lang w:val="el-GR"/>
        </w:rPr>
        <w:t>παύει το δικαίωμα στην ετεροδικία</w:t>
      </w:r>
    </w:p>
    <w:p w14:paraId="2F6A781F" w14:textId="2D51C87B" w:rsidR="00CF5FC4" w:rsidRDefault="00BE1E3B" w:rsidP="00ED25E4">
      <w:pPr>
        <w:rPr>
          <w:color w:val="00B0F0"/>
        </w:rPr>
      </w:pPr>
      <w:r>
        <w:rPr>
          <w:color w:val="00B0F0"/>
        </w:rPr>
        <w:t>Jurisdictional Immunities of the State (Germany v. Italy, Greece Intervening/2012)</w:t>
      </w:r>
    </w:p>
    <w:p w14:paraId="55A7AA20" w14:textId="77777777" w:rsidR="00BE1E3B" w:rsidRDefault="00BE1E3B" w:rsidP="00BE1E3B">
      <w:r>
        <w:t>Following the end of hostilities, Italy and Germany entered into agreements to address the wrongs committed, and Germany passed laws providing reparations to victims of its wartime acts. These various instruments of reparation nonetheless left many victims of the German Reich’s actions without a remedy. In particular, under the ‘‘Remembrance, Responsibility and Future’’ Foundation, established by Germany in August 2000, former Italian military internees were unable to obtain compensation for their forced labor—because they were classified as prisoners of war under German law.</w:t>
      </w:r>
    </w:p>
    <w:p w14:paraId="1C3661C6" w14:textId="2574A842" w:rsidR="00BE1E3B" w:rsidRDefault="00BE1E3B" w:rsidP="00BE1E3B">
      <w:r>
        <w:t>The dispute arose out of a series of judgments against the German state—notably Ferrini and Giovanni Mantelli and Others—in which the Italian courts held that ‘‘in cases of crimes under international law, the jurisdictional immunity of States should be set aside.’’</w:t>
      </w:r>
      <w:r>
        <w:t xml:space="preserve"> </w:t>
      </w:r>
      <w:r>
        <w:t>Italian courts relied on this reasoning to award monetary compensation to Italian nationals who were deported to Germany, where they were victims of forced labor.</w:t>
      </w:r>
    </w:p>
    <w:p w14:paraId="6D519BBB" w14:textId="154AB40C" w:rsidR="00BE1E3B" w:rsidRDefault="00BE1E3B" w:rsidP="00BE1E3B">
      <w:r>
        <w:t>The dispute also arose out of a decision by Italian courts to enforce Greek judgments finding Germany guilty of war crimes, despite Greece’s own refusal to enforce those judgments against Germany for reasons of state immunity. That refusal was confirmed by the European Court of Human Rights (‘‘ECtHR’’) in 2002.4 In June 2007, the Greek claimants obtained a charge over Villa Vigoni, German property near Lake Como, which was later suspended in 2010 pending the decision of the ICJ in this case.</w:t>
      </w:r>
    </w:p>
    <w:p w14:paraId="3584D925" w14:textId="7DC0D5C0" w:rsidR="00BE1E3B" w:rsidRPr="00BE1E3B" w:rsidRDefault="00BE1E3B" w:rsidP="00BE1E3B">
      <w:pPr>
        <w:rPr>
          <w:lang w:val="el-GR"/>
        </w:rPr>
      </w:pPr>
      <w:r>
        <w:t>On December 23, 2008, Germany invoked Article 1 of the European Convention for the Peaceful Settlement of Disputes (‘‘European Convention’’) to bring claims before the ICJ that Italy had violated its jurisdictional immunity. Germany asked the Court to find that Italy violated Germany’s jurisdictional immunity under international law by: (i) allowing civil claimants to seek in their courts remedies from Germany for violations of international</w:t>
      </w:r>
      <w:r>
        <w:t xml:space="preserve"> </w:t>
      </w:r>
      <w:r w:rsidRPr="00BE1E3B">
        <w:t>humanitarian law during the Second World War; (ii) taking measures of constraint against German property in Italy (i.e., Villa Vignoni); and (iii) finding that Greek civil court judgments against Germany for similar violations of international humanitarian law were enforceable in Italy.</w:t>
      </w:r>
      <w:r>
        <w:rPr>
          <w:noProof/>
        </w:rPr>
        <mc:AlternateContent>
          <mc:Choice Requires="wpc">
            <w:drawing>
              <wp:anchor distT="0" distB="0" distL="114300" distR="114300" simplePos="0" relativeHeight="251660288" behindDoc="0" locked="0" layoutInCell="1" allowOverlap="1" wp14:anchorId="1C465B2E" wp14:editId="6ABEF3D0">
                <wp:simplePos x="0" y="0"/>
                <wp:positionH relativeFrom="column">
                  <wp:posOffset>-914400</wp:posOffset>
                </wp:positionH>
                <wp:positionV relativeFrom="paragraph">
                  <wp:posOffset>-5610860</wp:posOffset>
                </wp:positionV>
                <wp:extent cx="5731510" cy="3185795"/>
                <wp:effectExtent l="0" t="0" r="0" b="0"/>
                <wp:wrapNone/>
                <wp:docPr id="7" name="Καμβάς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361B9ED" id="Καμβάς 7" o:spid="_x0000_s1026" editas="canvas" style="position:absolute;margin-left:-1in;margin-top:-441.8pt;width:451.3pt;height:250.85pt;z-index:251660288" coordsize="57315,3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">
                <v:shape id="_x0000_s1027" type="#_x0000_t75" style="position:absolute;width:57315;height:31857;visibility:visible;mso-wrap-style:square">
                  <v:fill o:detectmouseclick="t"/>
                  <v:path o:connecttype="none"/>
                </v:shape>
              </v:group>
            </w:pict>
          </mc:Fallback>
        </mc:AlternateContent>
      </w:r>
      <w:r>
        <w:t xml:space="preserve"> </w:t>
      </w:r>
      <w:r w:rsidRPr="00BE1E3B">
        <w:rPr>
          <w:lang w:val="el-GR"/>
        </w:rPr>
        <w:t xml:space="preserve">(51 </w:t>
      </w:r>
      <w:r>
        <w:t>ILM</w:t>
      </w:r>
      <w:r w:rsidRPr="00BE1E3B">
        <w:rPr>
          <w:lang w:val="el-GR"/>
        </w:rPr>
        <w:t xml:space="preserve"> 563 2012)</w:t>
      </w:r>
    </w:p>
    <w:p w14:paraId="4E382594" w14:textId="77777777" w:rsidR="00135CF1" w:rsidRDefault="00BE1E3B" w:rsidP="00BE1E3B">
      <w:pPr>
        <w:rPr>
          <w:lang w:val="el-GR"/>
        </w:rPr>
      </w:pPr>
      <w:r>
        <w:rPr>
          <w:lang w:val="el-GR"/>
        </w:rPr>
        <w:lastRenderedPageBreak/>
        <w:t>Το</w:t>
      </w:r>
      <w:r w:rsidRPr="00135CF1">
        <w:rPr>
          <w:lang w:val="el-GR"/>
        </w:rPr>
        <w:t xml:space="preserve"> </w:t>
      </w:r>
      <w:r>
        <w:rPr>
          <w:lang w:val="el-GR"/>
        </w:rPr>
        <w:t>Δικαστήριο</w:t>
      </w:r>
      <w:r w:rsidRPr="00135CF1">
        <w:rPr>
          <w:lang w:val="el-GR"/>
        </w:rPr>
        <w:t xml:space="preserve"> </w:t>
      </w:r>
      <w:r>
        <w:rPr>
          <w:lang w:val="el-GR"/>
        </w:rPr>
        <w:t>δικαίωσε</w:t>
      </w:r>
      <w:r w:rsidRPr="00135CF1">
        <w:rPr>
          <w:lang w:val="el-GR"/>
        </w:rPr>
        <w:t xml:space="preserve"> </w:t>
      </w:r>
      <w:r>
        <w:rPr>
          <w:lang w:val="el-GR"/>
        </w:rPr>
        <w:t>τη</w:t>
      </w:r>
      <w:r w:rsidRPr="00135CF1">
        <w:rPr>
          <w:lang w:val="el-GR"/>
        </w:rPr>
        <w:t xml:space="preserve"> </w:t>
      </w:r>
      <w:r>
        <w:rPr>
          <w:lang w:val="el-GR"/>
        </w:rPr>
        <w:t>Γερμανία</w:t>
      </w:r>
      <w:r w:rsidRPr="00135CF1">
        <w:rPr>
          <w:lang w:val="el-GR"/>
        </w:rPr>
        <w:t xml:space="preserve"> </w:t>
      </w:r>
      <w:r>
        <w:rPr>
          <w:lang w:val="el-GR"/>
        </w:rPr>
        <w:t>και</w:t>
      </w:r>
      <w:r w:rsidRPr="00135CF1">
        <w:rPr>
          <w:lang w:val="el-GR"/>
        </w:rPr>
        <w:t xml:space="preserve"> </w:t>
      </w:r>
      <w:r>
        <w:rPr>
          <w:lang w:val="el-GR"/>
        </w:rPr>
        <w:t>απέρριψε</w:t>
      </w:r>
      <w:r w:rsidRPr="00135CF1">
        <w:rPr>
          <w:lang w:val="el-GR"/>
        </w:rPr>
        <w:t xml:space="preserve"> </w:t>
      </w:r>
      <w:r>
        <w:rPr>
          <w:lang w:val="el-GR"/>
        </w:rPr>
        <w:t>τη</w:t>
      </w:r>
      <w:r w:rsidRPr="00135CF1">
        <w:rPr>
          <w:lang w:val="el-GR"/>
        </w:rPr>
        <w:t xml:space="preserve"> </w:t>
      </w:r>
      <w:r>
        <w:rPr>
          <w:lang w:val="el-GR"/>
        </w:rPr>
        <w:t>θεωρία</w:t>
      </w:r>
      <w:r w:rsidRPr="00135CF1">
        <w:rPr>
          <w:lang w:val="el-GR"/>
        </w:rPr>
        <w:t xml:space="preserve"> </w:t>
      </w:r>
      <w:r>
        <w:rPr>
          <w:lang w:val="el-GR"/>
        </w:rPr>
        <w:t>της</w:t>
      </w:r>
      <w:r w:rsidRPr="00135CF1">
        <w:rPr>
          <w:lang w:val="el-GR"/>
        </w:rPr>
        <w:t xml:space="preserve"> </w:t>
      </w:r>
      <w:r>
        <w:rPr>
          <w:lang w:val="el-GR"/>
        </w:rPr>
        <w:t>κανονιστικής</w:t>
      </w:r>
      <w:r w:rsidRPr="00135CF1">
        <w:rPr>
          <w:lang w:val="el-GR"/>
        </w:rPr>
        <w:t xml:space="preserve"> </w:t>
      </w:r>
      <w:r>
        <w:rPr>
          <w:lang w:val="el-GR"/>
        </w:rPr>
        <w:t>ιεραρχίας</w:t>
      </w:r>
      <w:r w:rsidR="00135CF1">
        <w:rPr>
          <w:rFonts w:cstheme="minorHAnsi"/>
          <w:lang w:val="el-GR"/>
        </w:rPr>
        <w:t>→</w:t>
      </w:r>
    </w:p>
    <w:p w14:paraId="00FD5E31" w14:textId="055CA525" w:rsidR="00135CF1" w:rsidRPr="00135CF1" w:rsidRDefault="00BE1E3B" w:rsidP="00BE1E3B">
      <w:r w:rsidRPr="00135CF1">
        <w:rPr>
          <w:lang w:val="el-GR"/>
        </w:rPr>
        <w:t xml:space="preserve"> </w:t>
      </w:r>
      <w:r w:rsidR="00135CF1" w:rsidRPr="00135CF1">
        <w:t>‘the rules which determine the scope and extent of jurisdiction and when that jurisdiction may be exercised do not derogate from those substantive rules which possess jus cogens status, nor is there anything inherent in the concept of jus cogens which would require their modification or would displace their application.’’</w:t>
      </w:r>
    </w:p>
    <w:p w14:paraId="343D3208" w14:textId="5B066DE3" w:rsidR="00BE1E3B" w:rsidRDefault="00BE1E3B" w:rsidP="00BE1E3B">
      <w:r>
        <w:rPr>
          <w:lang w:val="el-GR"/>
        </w:rPr>
        <w:t xml:space="preserve">καθώς και το επιχείρημα περί </w:t>
      </w:r>
      <w:r>
        <w:t>territorial</w:t>
      </w:r>
      <w:r w:rsidRPr="00BE1E3B">
        <w:rPr>
          <w:lang w:val="el-GR"/>
        </w:rPr>
        <w:t xml:space="preserve"> </w:t>
      </w:r>
      <w:r>
        <w:t>torts</w:t>
      </w:r>
    </w:p>
    <w:p w14:paraId="1A373111" w14:textId="77777777" w:rsidR="00135CF1" w:rsidRDefault="00135CF1" w:rsidP="00BE1E3B">
      <w:pPr>
        <w:rPr>
          <w:color w:val="00B0F0"/>
        </w:rPr>
      </w:pPr>
    </w:p>
    <w:p w14:paraId="16895479" w14:textId="3A972D75" w:rsidR="00135CF1" w:rsidRPr="00135CF1" w:rsidRDefault="00135CF1" w:rsidP="00BE1E3B">
      <w:pPr>
        <w:rPr>
          <w:b/>
          <w:bCs/>
          <w:i/>
          <w:iCs/>
          <w:lang w:val="el-GR"/>
        </w:rPr>
      </w:pPr>
      <w:r w:rsidRPr="00135CF1">
        <w:rPr>
          <w:b/>
          <w:bCs/>
          <w:i/>
          <w:iCs/>
          <w:lang w:val="el-GR"/>
        </w:rPr>
        <w:t>Η κανονιστική ιεραρχία στο Στρασβούργο</w:t>
      </w:r>
    </w:p>
    <w:p w14:paraId="20B2967A" w14:textId="52620C93" w:rsidR="00135CF1" w:rsidRPr="00135CF1" w:rsidRDefault="00135CF1" w:rsidP="00BE1E3B">
      <w:pPr>
        <w:rPr>
          <w:color w:val="00B0F0"/>
          <w:lang w:val="el-GR"/>
        </w:rPr>
      </w:pPr>
      <w:r w:rsidRPr="00135CF1">
        <w:rPr>
          <w:color w:val="00B0F0"/>
        </w:rPr>
        <w:t>Al</w:t>
      </w:r>
      <w:r w:rsidRPr="00135CF1">
        <w:rPr>
          <w:color w:val="00B0F0"/>
          <w:lang w:val="el-GR"/>
        </w:rPr>
        <w:t xml:space="preserve"> </w:t>
      </w:r>
      <w:r w:rsidRPr="00135CF1">
        <w:rPr>
          <w:color w:val="00B0F0"/>
        </w:rPr>
        <w:t>Adsani</w:t>
      </w:r>
      <w:r w:rsidRPr="00135CF1">
        <w:rPr>
          <w:color w:val="00B0F0"/>
          <w:lang w:val="el-GR"/>
        </w:rPr>
        <w:t xml:space="preserve"> </w:t>
      </w:r>
      <w:r>
        <w:rPr>
          <w:color w:val="00B0F0"/>
        </w:rPr>
        <w:t>v</w:t>
      </w:r>
      <w:r w:rsidRPr="00135CF1">
        <w:rPr>
          <w:color w:val="00B0F0"/>
          <w:lang w:val="el-GR"/>
        </w:rPr>
        <w:t xml:space="preserve">. </w:t>
      </w:r>
      <w:r>
        <w:rPr>
          <w:color w:val="00B0F0"/>
        </w:rPr>
        <w:t>United</w:t>
      </w:r>
      <w:r w:rsidRPr="00135CF1">
        <w:rPr>
          <w:color w:val="00B0F0"/>
          <w:lang w:val="el-GR"/>
        </w:rPr>
        <w:t xml:space="preserve"> </w:t>
      </w:r>
      <w:r>
        <w:rPr>
          <w:color w:val="00B0F0"/>
        </w:rPr>
        <w:t>Kingdom</w:t>
      </w:r>
      <w:r w:rsidRPr="00135CF1">
        <w:rPr>
          <w:color w:val="00B0F0"/>
          <w:lang w:val="el-GR"/>
        </w:rPr>
        <w:t xml:space="preserve"> (</w:t>
      </w:r>
      <w:r>
        <w:rPr>
          <w:color w:val="00B0F0"/>
        </w:rPr>
        <w:t>ECtHR</w:t>
      </w:r>
      <w:r w:rsidRPr="00135CF1">
        <w:rPr>
          <w:color w:val="00B0F0"/>
          <w:lang w:val="el-GR"/>
        </w:rPr>
        <w:t xml:space="preserve"> 2001)</w:t>
      </w:r>
    </w:p>
    <w:p w14:paraId="2AF952BC" w14:textId="77777777" w:rsidR="00135CF1" w:rsidRPr="00135CF1" w:rsidRDefault="00135CF1" w:rsidP="00BE1E3B">
      <w:pPr>
        <w:rPr>
          <w:lang w:val="el-GR"/>
        </w:rPr>
      </w:pPr>
    </w:p>
    <w:p w14:paraId="63A6CC88" w14:textId="2D143CAD" w:rsidR="00135CF1" w:rsidRDefault="00135CF1" w:rsidP="00BE1E3B">
      <w:r w:rsidRPr="00135CF1">
        <w:rPr>
          <w:noProof/>
        </w:rPr>
        <w:drawing>
          <wp:inline distT="0" distB="0" distL="0" distR="0" wp14:anchorId="28A19F87" wp14:editId="7AC9DC45">
            <wp:extent cx="5731510" cy="4053205"/>
            <wp:effectExtent l="0" t="0" r="2540" b="444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53205"/>
                    </a:xfrm>
                    <a:prstGeom prst="rect">
                      <a:avLst/>
                    </a:prstGeom>
                    <a:noFill/>
                    <a:ln>
                      <a:noFill/>
                    </a:ln>
                  </pic:spPr>
                </pic:pic>
              </a:graphicData>
            </a:graphic>
          </wp:inline>
        </w:drawing>
      </w:r>
    </w:p>
    <w:p w14:paraId="7C688B31" w14:textId="7CA934D8" w:rsidR="00135CF1" w:rsidRDefault="00135CF1" w:rsidP="00BE1E3B">
      <w:r>
        <w:t>(Caplan, 97 (4) AJIL 2003 741)</w:t>
      </w:r>
    </w:p>
    <w:p w14:paraId="025D4BBE" w14:textId="3D788242" w:rsidR="00135CF1" w:rsidRDefault="00135CF1" w:rsidP="00BE1E3B"/>
    <w:p w14:paraId="5329E921" w14:textId="3907FBEA" w:rsidR="00135CF1" w:rsidRDefault="00135CF1" w:rsidP="00BE1E3B">
      <w:pPr>
        <w:rPr>
          <w:i/>
          <w:iCs/>
          <w:color w:val="FF0000"/>
          <w:u w:val="single"/>
          <w:lang w:val="el-GR"/>
        </w:rPr>
      </w:pPr>
      <w:r w:rsidRPr="00135CF1">
        <w:rPr>
          <w:i/>
          <w:iCs/>
          <w:color w:val="FF0000"/>
          <w:u w:val="single"/>
          <w:lang w:val="el-GR"/>
        </w:rPr>
        <w:t>Διπλωματική Προστασία</w:t>
      </w:r>
    </w:p>
    <w:p w14:paraId="02580B3D" w14:textId="7BF3DF68" w:rsidR="00135CF1" w:rsidRDefault="00E44400" w:rsidP="00BE1E3B">
      <w:pPr>
        <w:rPr>
          <w:lang w:val="el-GR"/>
        </w:rPr>
      </w:pPr>
      <w:r w:rsidRPr="00E44400">
        <w:rPr>
          <w:lang w:val="el-GR"/>
        </w:rPr>
        <w:t>Το δικαίωμα του κράτους να απαιτήσει από άλλο κράτος που κατά παράβαση του διεθνούς δικαίου προκάλεσε ζημία σε υπήκοο του πρώτου να απαιτήσει αποκατάσταση της ζημίας</w:t>
      </w:r>
    </w:p>
    <w:p w14:paraId="55CE8188" w14:textId="3BA09D9C" w:rsidR="00E44400" w:rsidRDefault="00E44400" w:rsidP="00BE1E3B">
      <w:r>
        <w:t>Gunboat diplomacy</w:t>
      </w:r>
    </w:p>
    <w:p w14:paraId="1BCB2B2A" w14:textId="2ABE9054" w:rsidR="00E44400" w:rsidRDefault="00E44400" w:rsidP="00BE1E3B">
      <w:r>
        <w:t>ILC Draft Articles on Diplomatic Protection</w:t>
      </w:r>
    </w:p>
    <w:p w14:paraId="6BB3BA82" w14:textId="5C917141" w:rsidR="00E44400" w:rsidRDefault="00E44400" w:rsidP="00BE1E3B">
      <w:r>
        <w:t xml:space="preserve">Chorzow Factory </w:t>
      </w:r>
    </w:p>
    <w:p w14:paraId="52B2A859" w14:textId="007DFCB5" w:rsidR="00E44400" w:rsidRDefault="00E44400" w:rsidP="00BE1E3B">
      <w:r>
        <w:lastRenderedPageBreak/>
        <w:t xml:space="preserve">Interhandel </w:t>
      </w:r>
    </w:p>
    <w:p w14:paraId="7C544BF8" w14:textId="35A808DD" w:rsidR="00E44400" w:rsidRDefault="00E44400" w:rsidP="00BE1E3B">
      <w:r>
        <w:t>Barcelona Traction</w:t>
      </w:r>
    </w:p>
    <w:p w14:paraId="0A68E705" w14:textId="30265FFB" w:rsidR="00E44400" w:rsidRDefault="00E44400" w:rsidP="00BE1E3B">
      <w:pPr>
        <w:rPr>
          <w:lang w:val="el-GR"/>
        </w:rPr>
      </w:pPr>
      <w:r>
        <w:rPr>
          <w:lang w:val="el-GR"/>
        </w:rPr>
        <w:t>Δεν αρκεί να κινδυνεύει συμφέρον απαιτείται παραβίαση</w:t>
      </w:r>
    </w:p>
    <w:p w14:paraId="4B3CF946" w14:textId="6C9D410B" w:rsidR="00E44400" w:rsidRDefault="00E44400" w:rsidP="00BE1E3B">
      <w:pPr>
        <w:rPr>
          <w:lang w:val="el-GR"/>
        </w:rPr>
      </w:pPr>
      <w:r>
        <w:rPr>
          <w:lang w:val="el-GR"/>
        </w:rPr>
        <w:t>Η άσκηση διπλωματικής προστασίας είναι στη διακριτική ευχέρεια του κράτους</w:t>
      </w:r>
    </w:p>
    <w:p w14:paraId="67D52B12" w14:textId="741905E1" w:rsidR="00E44400" w:rsidRDefault="00E44400" w:rsidP="00BE1E3B">
      <w:pPr>
        <w:rPr>
          <w:color w:val="00B0F0"/>
        </w:rPr>
      </w:pPr>
      <w:r w:rsidRPr="00E44400">
        <w:rPr>
          <w:color w:val="00B0F0"/>
        </w:rPr>
        <w:t>Mavrommatis Palestine Concessions (Greece v. UK/1924 PCIJ)</w:t>
      </w:r>
    </w:p>
    <w:p w14:paraId="7F037C33" w14:textId="5565F647" w:rsidR="00E44400" w:rsidRDefault="00E44400" w:rsidP="00BE1E3B">
      <w:r>
        <w:rPr>
          <w:noProof/>
        </w:rPr>
        <w:drawing>
          <wp:inline distT="0" distB="0" distL="0" distR="0" wp14:anchorId="46146E84" wp14:editId="1A234049">
            <wp:extent cx="5731510" cy="6577330"/>
            <wp:effectExtent l="0" t="0" r="254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6577330"/>
                    </a:xfrm>
                    <a:prstGeom prst="rect">
                      <a:avLst/>
                    </a:prstGeom>
                  </pic:spPr>
                </pic:pic>
              </a:graphicData>
            </a:graphic>
          </wp:inline>
        </w:drawing>
      </w:r>
    </w:p>
    <w:p w14:paraId="42BA3B0B" w14:textId="77777777" w:rsidR="00AB7D1C" w:rsidRDefault="00AB7D1C" w:rsidP="00BE1E3B">
      <w:pPr>
        <w:rPr>
          <w:noProof/>
        </w:rPr>
      </w:pPr>
    </w:p>
    <w:p w14:paraId="43A5DFC1" w14:textId="7D77E10B" w:rsidR="00E44400" w:rsidRDefault="00AB7D1C" w:rsidP="00BE1E3B">
      <w:r w:rsidRPr="00AB7D1C">
        <w:rPr>
          <w:noProof/>
        </w:rPr>
        <w:lastRenderedPageBreak/>
        <w:drawing>
          <wp:inline distT="0" distB="0" distL="0" distR="0" wp14:anchorId="0A8B9329" wp14:editId="4FE49506">
            <wp:extent cx="4616450" cy="52768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6450" cy="5276850"/>
                    </a:xfrm>
                    <a:prstGeom prst="rect">
                      <a:avLst/>
                    </a:prstGeom>
                    <a:noFill/>
                    <a:ln>
                      <a:noFill/>
                    </a:ln>
                  </pic:spPr>
                </pic:pic>
              </a:graphicData>
            </a:graphic>
          </wp:inline>
        </w:drawing>
      </w:r>
    </w:p>
    <w:p w14:paraId="7B017135" w14:textId="0160F52B" w:rsidR="00AB7D1C" w:rsidRDefault="00AB7D1C" w:rsidP="00BE1E3B"/>
    <w:p w14:paraId="7FAA3049" w14:textId="0F39E608" w:rsidR="00AB7D1C" w:rsidRDefault="00AB7D1C" w:rsidP="00BE1E3B">
      <w:pPr>
        <w:rPr>
          <w:lang w:val="el-GR"/>
        </w:rPr>
      </w:pPr>
      <w:r>
        <w:rPr>
          <w:lang w:val="el-GR"/>
        </w:rPr>
        <w:t>Το ΔΔΔΔ έκρινε ότι «αποτελεί στοιχειώδη αρχή του διεθνούς δικαίου ότι το κράτος δικαιούται να προστατεύει τους υπηκόους του όταν βλάπτονται από πράξεις αντίθετες προς το διεθνές δίκαιο που διαπράττονται από άλλο κράτος από το οποίο οι υπήκοοι του δεν κατόρθωσαν να επιτύχουν ικανοποίηση μέσα από τις συνήθεις διαδικασίες»</w:t>
      </w:r>
    </w:p>
    <w:p w14:paraId="7ACAD49D" w14:textId="0A73B170" w:rsidR="00AB7D1C" w:rsidRDefault="00AB7D1C" w:rsidP="00BE1E3B">
      <w:pPr>
        <w:rPr>
          <w:b/>
          <w:bCs/>
          <w:i/>
          <w:iCs/>
          <w:lang w:val="el-GR"/>
        </w:rPr>
      </w:pPr>
      <w:r w:rsidRPr="00AB7D1C">
        <w:rPr>
          <w:b/>
          <w:bCs/>
          <w:i/>
          <w:iCs/>
          <w:lang w:val="el-GR"/>
        </w:rPr>
        <w:t>Ιθαγένεια</w:t>
      </w:r>
    </w:p>
    <w:p w14:paraId="136AC3C5" w14:textId="717EFAE8" w:rsidR="00AB7D1C" w:rsidRPr="00CC4226" w:rsidRDefault="00AB7D1C" w:rsidP="00BE1E3B">
      <w:pPr>
        <w:rPr>
          <w:color w:val="00B0F0"/>
          <w:lang w:val="nl-NL"/>
        </w:rPr>
      </w:pPr>
      <w:r w:rsidRPr="00CC4226">
        <w:rPr>
          <w:color w:val="00B0F0"/>
          <w:lang w:val="nl-NL"/>
        </w:rPr>
        <w:t>Nottebohm (Lichtenstein v. Guatemala, 1955 ICJ)</w:t>
      </w:r>
    </w:p>
    <w:p w14:paraId="341DF86C" w14:textId="699A69A6" w:rsidR="00AB7D1C" w:rsidRPr="00CC4226" w:rsidRDefault="00AB7D1C" w:rsidP="00BE1E3B">
      <w:r w:rsidRPr="00CC4226">
        <w:rPr>
          <w:i/>
          <w:iCs/>
        </w:rPr>
        <w:t xml:space="preserve">In this case, Liechtenstein claimed restitution and compensation from the Government of Guatemala on the ground that the latter had acted towards Friedrich Nottebohm, a citizen of Liechtenstein, in a manner contrary to international law. Guatemala objected to the Court’s jurisdiction but the Court overruled this objection in a Judgment of 18 November 1953. In a second Judgment, of 6 April 1955, the Court held that Liechtenstein’s claim was inadmissible on grounds relating to Mr. Nottebohm’s nationality. It was the bond of nationality between a State and an individual which alone conferred upon the State the right to put forward an international claim on his behalf. Mr. Nottebohm, who was then a German national, had settled in Guatemala in 1905 and continued to reside there. In October 1939 — after the beginning of the Second World War — while on a visit to Europe, he </w:t>
      </w:r>
      <w:r w:rsidRPr="00CC4226">
        <w:rPr>
          <w:i/>
          <w:iCs/>
        </w:rPr>
        <w:lastRenderedPageBreak/>
        <w:t>obtained Liechtenstein nationality and returned to Guatemala in 1940, where he resumed his former business activities until his removal as a result of war measures in 1943. On the international plane, the grant of nationality is entitled to recognition by other States only if it represents a genuine connection between the individual and the State granting its nationality. Mr. Nottebohm’s nationality, however, was not based on any genuine prior link with Liechtenstein and the sole object of his naturalization was to enable him to acquire the status of a neutral national in time of war. For these reasons, Liechtenstein was not entitled to take up his case and put forward an international claim on his behalf against Guatemala.</w:t>
      </w:r>
      <w:r w:rsidR="00CC4226">
        <w:rPr>
          <w:i/>
          <w:iCs/>
        </w:rPr>
        <w:t xml:space="preserve"> </w:t>
      </w:r>
      <w:r w:rsidR="00CC4226">
        <w:t>(</w:t>
      </w:r>
      <w:hyperlink r:id="rId13" w:history="1">
        <w:r w:rsidR="00CC4226" w:rsidRPr="00667B46">
          <w:rPr>
            <w:rStyle w:val="-"/>
          </w:rPr>
          <w:t>www.icj-cij.org</w:t>
        </w:r>
      </w:hyperlink>
      <w:r w:rsidR="00CC4226">
        <w:t xml:space="preserve">) </w:t>
      </w:r>
    </w:p>
    <w:p w14:paraId="30CA8DFF" w14:textId="65B631CC" w:rsidR="00AB7D1C" w:rsidRDefault="00AB7D1C" w:rsidP="00BE1E3B"/>
    <w:p w14:paraId="19A147DD" w14:textId="5EC9A428" w:rsidR="00AB7D1C" w:rsidRPr="00322175" w:rsidRDefault="00322175" w:rsidP="00BE1E3B">
      <w:pPr>
        <w:rPr>
          <w:b/>
          <w:bCs/>
          <w:i/>
          <w:iCs/>
          <w:lang w:val="el-GR"/>
        </w:rPr>
      </w:pPr>
      <w:r w:rsidRPr="00322175">
        <w:rPr>
          <w:b/>
          <w:bCs/>
          <w:i/>
          <w:iCs/>
          <w:lang w:val="el-GR"/>
        </w:rPr>
        <w:t xml:space="preserve">Νομικά Πρόσωπα </w:t>
      </w:r>
    </w:p>
    <w:p w14:paraId="4F6CD785" w14:textId="0DE499FB" w:rsidR="00322175" w:rsidRPr="00322175" w:rsidRDefault="00322175" w:rsidP="00BE1E3B">
      <w:pPr>
        <w:rPr>
          <w:color w:val="00B0F0"/>
        </w:rPr>
      </w:pPr>
      <w:r w:rsidRPr="00322175">
        <w:rPr>
          <w:color w:val="00B0F0"/>
        </w:rPr>
        <w:t xml:space="preserve">Barcelona Traction (Belgium v. Spain, 1970 ICJ) </w:t>
      </w:r>
    </w:p>
    <w:p w14:paraId="15F3D94D" w14:textId="2CE6932F" w:rsidR="00322175" w:rsidRDefault="00322175" w:rsidP="00BE1E3B">
      <w:pPr>
        <w:rPr>
          <w:lang w:val="el-GR"/>
        </w:rPr>
      </w:pPr>
      <w:r>
        <w:rPr>
          <w:lang w:val="el-GR"/>
        </w:rPr>
        <w:t xml:space="preserve">Εταιρεία με έδρα τον Καναδά, Βέλγους μετόχους και δραστηριότητα στην Ισπανία. Υπέστη ζημία από ενέργειες της Ισπανίας. Ο Καναδάς επέλεξε να μην ασκήσει το δικαίωμά του στη διπλωματική προστασία. Το ΔΔ ΟΗΕ έκρινε ότι το Βέλγιο δεν είχε δικαίωμα άσκησης διπλωματικής προστασίας. </w:t>
      </w:r>
    </w:p>
    <w:p w14:paraId="24A92E2B" w14:textId="392B0056" w:rsidR="00322175" w:rsidRDefault="00322175" w:rsidP="00BE1E3B">
      <w:pPr>
        <w:rPr>
          <w:b/>
          <w:bCs/>
          <w:i/>
          <w:iCs/>
          <w:lang w:val="el-GR"/>
        </w:rPr>
      </w:pPr>
      <w:r w:rsidRPr="00322175">
        <w:rPr>
          <w:b/>
          <w:bCs/>
          <w:i/>
          <w:iCs/>
          <w:lang w:val="el-GR"/>
        </w:rPr>
        <w:t>Εξάντληση των εσωτερικών ενδίκων μέσων</w:t>
      </w:r>
    </w:p>
    <w:p w14:paraId="41B8BE94" w14:textId="0BCD47F9" w:rsidR="00322175" w:rsidRDefault="00CC4226" w:rsidP="00BE1E3B">
      <w:pPr>
        <w:rPr>
          <w:color w:val="00B0F0"/>
        </w:rPr>
      </w:pPr>
      <w:r w:rsidRPr="00CC4226">
        <w:rPr>
          <w:color w:val="00B0F0"/>
        </w:rPr>
        <w:t>Ambatielos (Greece v. UK, 1956 ICJ)</w:t>
      </w:r>
    </w:p>
    <w:p w14:paraId="5D4ED5F9" w14:textId="7A8F4F20" w:rsidR="00CC4226" w:rsidRPr="00CC4226" w:rsidRDefault="00CC4226" w:rsidP="00BE1E3B">
      <w:r w:rsidRPr="00CC4226">
        <w:rPr>
          <w:i/>
          <w:iCs/>
        </w:rPr>
        <w:t>In 1919, Nicolas Ambatielos, a Greek shipowner, entered into a contract for the purchase of ships with the Government of the United Kingdom. He claimed he had suffered damage through the failure of that Government to carry out the terms of the contract and as a result of certain judgments given against him by the English courts in circumstances said to involve the violation of international law. The Greek Government took up the case of its national and claimed that the United Kingdom was under a duty to submit the dispute to arbitration in accordance with Treaties between the United Kingdom and Greece of 1886 and 1926. The United Kingdom objected to the Court’s jurisdiction. In a Judgment of 1 July 1952, the Court held that it had jurisdiction to decide whether the United Kingdom was under a duty to submit the dispute to arbitration but, on the other hand, that it had no jurisdiction to deal with the merits of the Ambatielos claim. In a further Judgment of 19 May 1953, the Court decided that the dispute was one which the United Kingdom was under a duty to submit to arbitration in accordance with the Treaties of 1886 and 1926</w:t>
      </w:r>
      <w:r w:rsidRPr="00CC4226">
        <w:rPr>
          <w:i/>
          <w:iCs/>
        </w:rPr>
        <w:t xml:space="preserve">. </w:t>
      </w:r>
      <w:r w:rsidRPr="00CC4226">
        <w:t>(</w:t>
      </w:r>
      <w:hyperlink r:id="rId14" w:history="1">
        <w:r w:rsidRPr="00727524">
          <w:rPr>
            <w:rStyle w:val="-"/>
          </w:rPr>
          <w:t>www.icj-cij.org</w:t>
        </w:r>
      </w:hyperlink>
      <w:r w:rsidRPr="00CC4226">
        <w:t>)</w:t>
      </w:r>
      <w:r>
        <w:t xml:space="preserve"> </w:t>
      </w:r>
    </w:p>
    <w:p w14:paraId="78933005" w14:textId="1932B584" w:rsidR="00CC4226" w:rsidRDefault="00CC4226" w:rsidP="00BE1E3B">
      <w:pPr>
        <w:rPr>
          <w:color w:val="00B0F0"/>
          <w:lang w:val="nl-NL"/>
        </w:rPr>
      </w:pPr>
      <w:r w:rsidRPr="00CC4226">
        <w:rPr>
          <w:color w:val="00B0F0"/>
          <w:lang w:val="nl-NL"/>
        </w:rPr>
        <w:t>Interhandel (Switzerland v USA, 1959 ICJ)</w:t>
      </w:r>
    </w:p>
    <w:p w14:paraId="496A3B4E" w14:textId="50467B4B" w:rsidR="00CC4226" w:rsidRDefault="00CC4226" w:rsidP="00BE1E3B">
      <w:r w:rsidRPr="00CC4226">
        <w:rPr>
          <w:i/>
          <w:iCs/>
        </w:rPr>
        <w:t xml:space="preserve">In 1942 the Government of the United States vested almost all the shares of the General Aniline and Film Corporation (GAF), a company incorporated in the United States, on the ground that those shares, which were owned by Interhandel, a company registered in Basel, belonged in reality to I.G. Farbenindustrie of Frankfurt, or that GAF was in one way or another controlled by the German company. On 1 October 1957, Switzerland applied to the Court for a declaration that the United States was under an obligation to restore the vested assets to Interhandel or, alternatively, that the dispute on the matter between Switzerland and the United States was one fit for submission for judicial settlement, arbitration or conciliation. Two days later Switzerland filed a Request for the indication of provisional measures to the effect that the Court should call upon the United States not to part with the assets in question so long as proceedings were pending before the Court. On 24 October 1957, the Court made an Order noting that, in the light of the information furnished, there appeared to be no need for provisional measures. The United States raised preliminary objections to the Court’s jurisdiction, and in a Judgment delivered on 21 March 1959 the Court found the Swiss </w:t>
      </w:r>
      <w:r w:rsidRPr="00CC4226">
        <w:rPr>
          <w:i/>
          <w:iCs/>
        </w:rPr>
        <w:lastRenderedPageBreak/>
        <w:t>application inadmissible, because Interhandel had not exhausted the remedies available to it in the United States courts.</w:t>
      </w:r>
      <w:r w:rsidRPr="00CC4226">
        <w:rPr>
          <w:i/>
          <w:iCs/>
        </w:rPr>
        <w:t xml:space="preserve"> </w:t>
      </w:r>
      <w:r>
        <w:t>(</w:t>
      </w:r>
      <w:hyperlink r:id="rId15" w:history="1">
        <w:r w:rsidRPr="00727524">
          <w:rPr>
            <w:rStyle w:val="-"/>
          </w:rPr>
          <w:t>www.icj-cij.org</w:t>
        </w:r>
      </w:hyperlink>
      <w:r>
        <w:t xml:space="preserve">) </w:t>
      </w:r>
    </w:p>
    <w:p w14:paraId="3AF4C3C3" w14:textId="43796E7E" w:rsidR="00BA6A43" w:rsidRPr="00BA6A43" w:rsidRDefault="00BA6A43" w:rsidP="00BE1E3B">
      <w:pPr>
        <w:rPr>
          <w:lang w:val="el-GR"/>
        </w:rPr>
      </w:pPr>
      <w:r>
        <w:rPr>
          <w:lang w:val="el-GR"/>
        </w:rPr>
        <w:t>Δεν απαιτείται εξάντληση των ενδίκων μέσων όταν α) δεν υπάρχουν λογικά εσωτερικά ένδικα μέσα β) παρατηρείται υπέρμετρη καθυστέρηση στην απονομή δικαιοσύνης γ) απουσιάζει η σύνδεση μεταξύ του ζημιωθέντος αλλοδαπού και του κράτους δ) ο ζημιωθείς προφανώς αποκλείεται από τα ένδικα μέσα ε) το κράτος παραιτείται από την απαίτηση</w:t>
      </w:r>
    </w:p>
    <w:p w14:paraId="0A396EE8" w14:textId="7FAE3519" w:rsidR="00CC4226" w:rsidRPr="00BA6A43" w:rsidRDefault="00CC4226" w:rsidP="00BE1E3B">
      <w:pPr>
        <w:rPr>
          <w:b/>
          <w:bCs/>
          <w:i/>
          <w:iCs/>
          <w:lang w:val="el-GR"/>
        </w:rPr>
      </w:pPr>
      <w:r w:rsidRPr="00CC4226">
        <w:rPr>
          <w:b/>
          <w:bCs/>
          <w:i/>
          <w:iCs/>
          <w:lang w:val="nl-NL"/>
        </w:rPr>
        <w:t>Clean</w:t>
      </w:r>
      <w:r w:rsidRPr="00BA6A43">
        <w:rPr>
          <w:b/>
          <w:bCs/>
          <w:i/>
          <w:iCs/>
          <w:lang w:val="el-GR"/>
        </w:rPr>
        <w:t xml:space="preserve"> </w:t>
      </w:r>
      <w:r w:rsidRPr="00CC4226">
        <w:rPr>
          <w:b/>
          <w:bCs/>
          <w:i/>
          <w:iCs/>
          <w:lang w:val="nl-NL"/>
        </w:rPr>
        <w:t>Hands</w:t>
      </w:r>
      <w:r w:rsidRPr="00BA6A43">
        <w:rPr>
          <w:b/>
          <w:bCs/>
          <w:i/>
          <w:iCs/>
          <w:lang w:val="el-GR"/>
        </w:rPr>
        <w:t xml:space="preserve"> </w:t>
      </w:r>
      <w:r w:rsidRPr="00CC4226">
        <w:rPr>
          <w:b/>
          <w:bCs/>
          <w:i/>
          <w:iCs/>
          <w:lang w:val="nl-NL"/>
        </w:rPr>
        <w:t>Doctrine</w:t>
      </w:r>
    </w:p>
    <w:sectPr w:rsidR="00CC4226" w:rsidRPr="00BA6A4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88D65" w14:textId="77777777" w:rsidR="00FF1839" w:rsidRDefault="00FF1839" w:rsidP="00E0294D">
      <w:pPr>
        <w:spacing w:after="0" w:line="240" w:lineRule="auto"/>
      </w:pPr>
      <w:r>
        <w:separator/>
      </w:r>
    </w:p>
  </w:endnote>
  <w:endnote w:type="continuationSeparator" w:id="0">
    <w:p w14:paraId="7143CB18" w14:textId="77777777" w:rsidR="00FF1839" w:rsidRDefault="00FF1839" w:rsidP="00E0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387705"/>
      <w:docPartObj>
        <w:docPartGallery w:val="Page Numbers (Bottom of Page)"/>
        <w:docPartUnique/>
      </w:docPartObj>
    </w:sdtPr>
    <w:sdtEndPr/>
    <w:sdtContent>
      <w:p w14:paraId="4824A65B" w14:textId="70F1FB0F" w:rsidR="00E0294D" w:rsidRDefault="00E0294D">
        <w:pPr>
          <w:pStyle w:val="a5"/>
          <w:jc w:val="center"/>
        </w:pPr>
        <w:r>
          <w:fldChar w:fldCharType="begin"/>
        </w:r>
        <w:r>
          <w:instrText>PAGE   \* MERGEFORMAT</w:instrText>
        </w:r>
        <w:r>
          <w:fldChar w:fldCharType="separate"/>
        </w:r>
        <w:r>
          <w:rPr>
            <w:lang w:val="el-GR"/>
          </w:rPr>
          <w:t>2</w:t>
        </w:r>
        <w:r>
          <w:fldChar w:fldCharType="end"/>
        </w:r>
      </w:p>
    </w:sdtContent>
  </w:sdt>
  <w:p w14:paraId="6923CB0F" w14:textId="77777777" w:rsidR="00E0294D" w:rsidRDefault="00E029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B7A26" w14:textId="77777777" w:rsidR="00FF1839" w:rsidRDefault="00FF1839" w:rsidP="00E0294D">
      <w:pPr>
        <w:spacing w:after="0" w:line="240" w:lineRule="auto"/>
      </w:pPr>
      <w:r>
        <w:separator/>
      </w:r>
    </w:p>
  </w:footnote>
  <w:footnote w:type="continuationSeparator" w:id="0">
    <w:p w14:paraId="2BFB97C8" w14:textId="77777777" w:rsidR="00FF1839" w:rsidRDefault="00FF1839" w:rsidP="00E02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742"/>
    <w:multiLevelType w:val="hybridMultilevel"/>
    <w:tmpl w:val="F6BC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2E0"/>
    <w:multiLevelType w:val="hybridMultilevel"/>
    <w:tmpl w:val="816CA27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C1C32C5"/>
    <w:multiLevelType w:val="hybridMultilevel"/>
    <w:tmpl w:val="03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6CEF"/>
    <w:multiLevelType w:val="hybridMultilevel"/>
    <w:tmpl w:val="C8445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6E41E5"/>
    <w:multiLevelType w:val="hybridMultilevel"/>
    <w:tmpl w:val="47DC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25DC4"/>
    <w:multiLevelType w:val="hybridMultilevel"/>
    <w:tmpl w:val="D6B80C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A64DA8"/>
    <w:multiLevelType w:val="hybridMultilevel"/>
    <w:tmpl w:val="8588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66739"/>
    <w:multiLevelType w:val="hybridMultilevel"/>
    <w:tmpl w:val="6B0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21637"/>
    <w:multiLevelType w:val="hybridMultilevel"/>
    <w:tmpl w:val="D076E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396306"/>
    <w:multiLevelType w:val="hybridMultilevel"/>
    <w:tmpl w:val="D958C2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92593"/>
    <w:multiLevelType w:val="hybridMultilevel"/>
    <w:tmpl w:val="568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14B94"/>
    <w:multiLevelType w:val="hybridMultilevel"/>
    <w:tmpl w:val="8288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77AEE"/>
    <w:multiLevelType w:val="hybridMultilevel"/>
    <w:tmpl w:val="BB38C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B1445"/>
    <w:multiLevelType w:val="hybridMultilevel"/>
    <w:tmpl w:val="C144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05125"/>
    <w:multiLevelType w:val="hybridMultilevel"/>
    <w:tmpl w:val="633C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46D1C"/>
    <w:multiLevelType w:val="hybridMultilevel"/>
    <w:tmpl w:val="DD9A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4"/>
  </w:num>
  <w:num w:numId="4">
    <w:abstractNumId w:val="8"/>
  </w:num>
  <w:num w:numId="5">
    <w:abstractNumId w:val="4"/>
  </w:num>
  <w:num w:numId="6">
    <w:abstractNumId w:val="15"/>
  </w:num>
  <w:num w:numId="7">
    <w:abstractNumId w:val="7"/>
  </w:num>
  <w:num w:numId="8">
    <w:abstractNumId w:val="2"/>
  </w:num>
  <w:num w:numId="9">
    <w:abstractNumId w:val="10"/>
  </w:num>
  <w:num w:numId="10">
    <w:abstractNumId w:val="0"/>
  </w:num>
  <w:num w:numId="11">
    <w:abstractNumId w:val="13"/>
  </w:num>
  <w:num w:numId="12">
    <w:abstractNumId w:val="1"/>
  </w:num>
  <w:num w:numId="13">
    <w:abstractNumId w:val="12"/>
  </w:num>
  <w:num w:numId="14">
    <w:abstractNumId w:val="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93"/>
    <w:rsid w:val="00036E70"/>
    <w:rsid w:val="000C6E2A"/>
    <w:rsid w:val="001230B0"/>
    <w:rsid w:val="00135CF1"/>
    <w:rsid w:val="00174A29"/>
    <w:rsid w:val="001829D0"/>
    <w:rsid w:val="001C26CF"/>
    <w:rsid w:val="001E00A0"/>
    <w:rsid w:val="00240D7E"/>
    <w:rsid w:val="0024445F"/>
    <w:rsid w:val="0026249B"/>
    <w:rsid w:val="002820E5"/>
    <w:rsid w:val="00286470"/>
    <w:rsid w:val="00312B53"/>
    <w:rsid w:val="00322175"/>
    <w:rsid w:val="00343DCE"/>
    <w:rsid w:val="003800E1"/>
    <w:rsid w:val="003F63F4"/>
    <w:rsid w:val="00420132"/>
    <w:rsid w:val="0043044D"/>
    <w:rsid w:val="004849A2"/>
    <w:rsid w:val="004920E8"/>
    <w:rsid w:val="004A29AB"/>
    <w:rsid w:val="0050092D"/>
    <w:rsid w:val="0050487D"/>
    <w:rsid w:val="00510293"/>
    <w:rsid w:val="00546392"/>
    <w:rsid w:val="00550B1E"/>
    <w:rsid w:val="00590759"/>
    <w:rsid w:val="00610A46"/>
    <w:rsid w:val="006B3921"/>
    <w:rsid w:val="006E7CBD"/>
    <w:rsid w:val="007302FE"/>
    <w:rsid w:val="007549E1"/>
    <w:rsid w:val="007A5E0A"/>
    <w:rsid w:val="007D22B5"/>
    <w:rsid w:val="007E20AD"/>
    <w:rsid w:val="0082008D"/>
    <w:rsid w:val="00831D49"/>
    <w:rsid w:val="009236A3"/>
    <w:rsid w:val="009521A2"/>
    <w:rsid w:val="0095416D"/>
    <w:rsid w:val="00A23779"/>
    <w:rsid w:val="00AB7D1C"/>
    <w:rsid w:val="00AF4314"/>
    <w:rsid w:val="00B20C0E"/>
    <w:rsid w:val="00B4096F"/>
    <w:rsid w:val="00B56704"/>
    <w:rsid w:val="00B571F0"/>
    <w:rsid w:val="00B64195"/>
    <w:rsid w:val="00B73A57"/>
    <w:rsid w:val="00BA13E6"/>
    <w:rsid w:val="00BA6A43"/>
    <w:rsid w:val="00BE1E3B"/>
    <w:rsid w:val="00C73AB2"/>
    <w:rsid w:val="00C90DD2"/>
    <w:rsid w:val="00CC4226"/>
    <w:rsid w:val="00CD3959"/>
    <w:rsid w:val="00CF5FC4"/>
    <w:rsid w:val="00CF6C76"/>
    <w:rsid w:val="00D12C52"/>
    <w:rsid w:val="00D130C8"/>
    <w:rsid w:val="00D15931"/>
    <w:rsid w:val="00D4112C"/>
    <w:rsid w:val="00D6577A"/>
    <w:rsid w:val="00D94831"/>
    <w:rsid w:val="00DB772B"/>
    <w:rsid w:val="00DC3845"/>
    <w:rsid w:val="00DF5A57"/>
    <w:rsid w:val="00E0294D"/>
    <w:rsid w:val="00E05218"/>
    <w:rsid w:val="00E125EB"/>
    <w:rsid w:val="00E23640"/>
    <w:rsid w:val="00E44400"/>
    <w:rsid w:val="00E47826"/>
    <w:rsid w:val="00E55F9C"/>
    <w:rsid w:val="00E65800"/>
    <w:rsid w:val="00E855BA"/>
    <w:rsid w:val="00ED25E4"/>
    <w:rsid w:val="00ED73A0"/>
    <w:rsid w:val="00FA07A5"/>
    <w:rsid w:val="00FF1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6EF8"/>
  <w15:chartTrackingRefBased/>
  <w15:docId w15:val="{F82DF0B7-98A1-4BBF-B85F-FCACF88B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29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293"/>
    <w:pPr>
      <w:ind w:left="720"/>
      <w:contextualSpacing/>
    </w:pPr>
  </w:style>
  <w:style w:type="paragraph" w:styleId="a4">
    <w:name w:val="header"/>
    <w:basedOn w:val="a"/>
    <w:link w:val="Char"/>
    <w:uiPriority w:val="99"/>
    <w:unhideWhenUsed/>
    <w:rsid w:val="00E0294D"/>
    <w:pPr>
      <w:tabs>
        <w:tab w:val="center" w:pos="4513"/>
        <w:tab w:val="right" w:pos="9026"/>
      </w:tabs>
      <w:spacing w:after="0" w:line="240" w:lineRule="auto"/>
    </w:pPr>
  </w:style>
  <w:style w:type="character" w:customStyle="1" w:styleId="Char">
    <w:name w:val="Κεφαλίδα Char"/>
    <w:basedOn w:val="a0"/>
    <w:link w:val="a4"/>
    <w:uiPriority w:val="99"/>
    <w:rsid w:val="00E0294D"/>
  </w:style>
  <w:style w:type="paragraph" w:styleId="a5">
    <w:name w:val="footer"/>
    <w:basedOn w:val="a"/>
    <w:link w:val="Char0"/>
    <w:uiPriority w:val="99"/>
    <w:unhideWhenUsed/>
    <w:rsid w:val="00E0294D"/>
    <w:pPr>
      <w:tabs>
        <w:tab w:val="center" w:pos="4513"/>
        <w:tab w:val="right" w:pos="9026"/>
      </w:tabs>
      <w:spacing w:after="0" w:line="240" w:lineRule="auto"/>
    </w:pPr>
  </w:style>
  <w:style w:type="character" w:customStyle="1" w:styleId="Char0">
    <w:name w:val="Υποσέλιδο Char"/>
    <w:basedOn w:val="a0"/>
    <w:link w:val="a5"/>
    <w:uiPriority w:val="99"/>
    <w:rsid w:val="00E0294D"/>
  </w:style>
  <w:style w:type="character" w:styleId="-">
    <w:name w:val="Hyperlink"/>
    <w:basedOn w:val="a0"/>
    <w:uiPriority w:val="99"/>
    <w:unhideWhenUsed/>
    <w:rsid w:val="00CC4226"/>
    <w:rPr>
      <w:color w:val="0563C1" w:themeColor="hyperlink"/>
      <w:u w:val="single"/>
    </w:rPr>
  </w:style>
  <w:style w:type="character" w:styleId="a6">
    <w:name w:val="Unresolved Mention"/>
    <w:basedOn w:val="a0"/>
    <w:uiPriority w:val="99"/>
    <w:semiHidden/>
    <w:unhideWhenUsed/>
    <w:rsid w:val="00CC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cj-cij.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cj-cij.org"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cj-cij.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BB15-CF20-40F1-91C0-0B731BE2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Pages>
  <Words>2470</Words>
  <Characters>14080</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Plakokefalos</dc:creator>
  <cp:keywords/>
  <dc:description/>
  <cp:lastModifiedBy>Ilias Plakokefalos</cp:lastModifiedBy>
  <cp:revision>10</cp:revision>
  <dcterms:created xsi:type="dcterms:W3CDTF">2020-12-04T12:41:00Z</dcterms:created>
  <dcterms:modified xsi:type="dcterms:W3CDTF">2020-12-07T16:14:00Z</dcterms:modified>
</cp:coreProperties>
</file>