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0ECC" w14:textId="1A05B6CD" w:rsidR="00AA4DFC" w:rsidRPr="00AA4DFC" w:rsidRDefault="00AA4DFC">
      <w:pPr>
        <w:rPr>
          <w:b/>
          <w:bCs/>
          <w:color w:val="EE0000"/>
          <w:sz w:val="24"/>
          <w:szCs w:val="24"/>
          <w:lang w:val="el-GR"/>
        </w:rPr>
      </w:pPr>
      <w:r w:rsidRPr="00AA4DFC">
        <w:rPr>
          <w:b/>
          <w:bCs/>
          <w:color w:val="EE0000"/>
          <w:sz w:val="24"/>
          <w:szCs w:val="24"/>
          <w:lang w:val="el-GR"/>
        </w:rPr>
        <w:t xml:space="preserve">Διεθνής Επίλυση Διαφορών </w:t>
      </w:r>
    </w:p>
    <w:p w14:paraId="31225439" w14:textId="77777777" w:rsidR="00AA4DFC" w:rsidRPr="00AA4DFC" w:rsidRDefault="00AA4DFC">
      <w:pPr>
        <w:rPr>
          <w:b/>
          <w:bCs/>
          <w:sz w:val="24"/>
          <w:szCs w:val="24"/>
          <w:lang w:val="el-GR"/>
        </w:rPr>
      </w:pPr>
    </w:p>
    <w:p w14:paraId="726EAA9D" w14:textId="428040E0" w:rsidR="00AA4DFC" w:rsidRPr="00AA4DFC" w:rsidRDefault="00AA4DFC">
      <w:pPr>
        <w:rPr>
          <w:b/>
          <w:bCs/>
          <w:sz w:val="24"/>
          <w:szCs w:val="24"/>
          <w:lang w:val="el-GR"/>
        </w:rPr>
      </w:pPr>
      <w:r w:rsidRPr="00AA4DFC">
        <w:rPr>
          <w:b/>
          <w:bCs/>
          <w:sz w:val="24"/>
          <w:szCs w:val="24"/>
        </w:rPr>
        <w:t>UN</w:t>
      </w:r>
      <w:r w:rsidRPr="00AA4DFC">
        <w:rPr>
          <w:b/>
          <w:bCs/>
          <w:sz w:val="24"/>
          <w:szCs w:val="24"/>
          <w:lang w:val="el-GR"/>
        </w:rPr>
        <w:t xml:space="preserve"> </w:t>
      </w:r>
      <w:r w:rsidRPr="00AA4DFC">
        <w:rPr>
          <w:b/>
          <w:bCs/>
          <w:sz w:val="24"/>
          <w:szCs w:val="24"/>
        </w:rPr>
        <w:t>Charter</w:t>
      </w:r>
      <w:r w:rsidRPr="00AA4DFC">
        <w:rPr>
          <w:b/>
          <w:bCs/>
          <w:sz w:val="24"/>
          <w:szCs w:val="24"/>
          <w:lang w:val="el-GR"/>
        </w:rPr>
        <w:t xml:space="preserve"> </w:t>
      </w:r>
    </w:p>
    <w:p w14:paraId="562E5159" w14:textId="1A943349" w:rsidR="00A73CC3" w:rsidRPr="00AA4DFC" w:rsidRDefault="00AA4DFC">
      <w:pPr>
        <w:rPr>
          <w:b/>
          <w:bCs/>
          <w:sz w:val="24"/>
          <w:szCs w:val="24"/>
        </w:rPr>
      </w:pPr>
      <w:r>
        <w:rPr>
          <w:b/>
          <w:bCs/>
          <w:sz w:val="24"/>
          <w:szCs w:val="24"/>
        </w:rPr>
        <w:t>A</w:t>
      </w:r>
      <w:r w:rsidRPr="00AA4DFC">
        <w:rPr>
          <w:b/>
          <w:bCs/>
          <w:sz w:val="24"/>
          <w:szCs w:val="24"/>
        </w:rPr>
        <w:t>rticle 2(3)</w:t>
      </w:r>
    </w:p>
    <w:p w14:paraId="03C65A2B" w14:textId="6B7DC5C9" w:rsidR="00AA4DFC" w:rsidRDefault="00AA4DFC" w:rsidP="00AA4DFC">
      <w:pPr>
        <w:ind w:left="720"/>
        <w:rPr>
          <w:sz w:val="24"/>
          <w:szCs w:val="24"/>
        </w:rPr>
      </w:pPr>
      <w:r w:rsidRPr="00AA4DFC">
        <w:rPr>
          <w:sz w:val="24"/>
          <w:szCs w:val="24"/>
        </w:rPr>
        <w:t>All Members shall settle their international disputes by peaceful means in such a manner that international peace and security, and justice, are not endangered.</w:t>
      </w:r>
    </w:p>
    <w:p w14:paraId="1A8D57D6" w14:textId="47F03B8C" w:rsidR="00AA4DFC" w:rsidRPr="00AA4DFC" w:rsidRDefault="00AA4DFC" w:rsidP="00AA4DFC">
      <w:pPr>
        <w:rPr>
          <w:b/>
          <w:bCs/>
          <w:sz w:val="24"/>
          <w:szCs w:val="24"/>
        </w:rPr>
      </w:pPr>
      <w:r w:rsidRPr="00AA4DFC">
        <w:rPr>
          <w:b/>
          <w:bCs/>
          <w:sz w:val="24"/>
          <w:szCs w:val="24"/>
        </w:rPr>
        <w:t>Article 33</w:t>
      </w:r>
    </w:p>
    <w:p w14:paraId="10C6EC72" w14:textId="77777777" w:rsidR="00AA4DFC" w:rsidRPr="00AA4DFC" w:rsidRDefault="00AA4DFC" w:rsidP="00AA4DFC">
      <w:pPr>
        <w:numPr>
          <w:ilvl w:val="0"/>
          <w:numId w:val="2"/>
        </w:numPr>
        <w:rPr>
          <w:sz w:val="24"/>
          <w:szCs w:val="24"/>
        </w:rPr>
      </w:pPr>
      <w:r w:rsidRPr="00AA4DFC">
        <w:rPr>
          <w:sz w:val="24"/>
          <w:szCs w:val="24"/>
        </w:rPr>
        <w:t xml:space="preserve">The parties to any dispute, the continuance of which is likely to endanger the maintenance of international peace and security, shall, first of all, seek a solution by </w:t>
      </w:r>
      <w:r w:rsidRPr="00AA4DFC">
        <w:rPr>
          <w:color w:val="00B050"/>
          <w:sz w:val="24"/>
          <w:szCs w:val="24"/>
        </w:rPr>
        <w:t>negotiation, enquiry, mediation, conciliation, arbitration, judicial settlement</w:t>
      </w:r>
      <w:r w:rsidRPr="00AA4DFC">
        <w:rPr>
          <w:sz w:val="24"/>
          <w:szCs w:val="24"/>
        </w:rPr>
        <w:t>, resort to regional agencies or arrangements, or other peaceful means of their own choice.</w:t>
      </w:r>
    </w:p>
    <w:p w14:paraId="5708C7DB" w14:textId="261B41E3" w:rsidR="00AA4DFC" w:rsidRPr="00AA4DFC" w:rsidRDefault="00AA4DFC" w:rsidP="00AA4DFC">
      <w:pPr>
        <w:numPr>
          <w:ilvl w:val="0"/>
          <w:numId w:val="2"/>
        </w:numPr>
        <w:rPr>
          <w:sz w:val="24"/>
          <w:szCs w:val="24"/>
        </w:rPr>
      </w:pPr>
      <w:r w:rsidRPr="00AA4DFC">
        <w:rPr>
          <w:sz w:val="24"/>
          <w:szCs w:val="24"/>
        </w:rPr>
        <w:t>The Security Council shall, when it deems necessary, call upon the parties to settle their dispute by such means.</w:t>
      </w:r>
    </w:p>
    <w:p w14:paraId="0C1FD667" w14:textId="77777777" w:rsidR="00AA4DFC" w:rsidRPr="00AA4DFC" w:rsidRDefault="00AA4DFC" w:rsidP="00AA4DFC">
      <w:pPr>
        <w:rPr>
          <w:sz w:val="24"/>
          <w:szCs w:val="24"/>
        </w:rPr>
      </w:pPr>
    </w:p>
    <w:p w14:paraId="4F8AB8B8" w14:textId="692651FF" w:rsidR="00AA4DFC" w:rsidRDefault="00AA4DFC" w:rsidP="00AA4DFC">
      <w:pPr>
        <w:rPr>
          <w:b/>
          <w:bCs/>
          <w:sz w:val="24"/>
          <w:szCs w:val="24"/>
        </w:rPr>
      </w:pPr>
      <w:r w:rsidRPr="00AA4DFC">
        <w:rPr>
          <w:b/>
          <w:bCs/>
          <w:sz w:val="24"/>
          <w:szCs w:val="24"/>
        </w:rPr>
        <w:t xml:space="preserve">1982 Manila Declaration on the Peaceful Settlement of International Disputes </w:t>
      </w:r>
    </w:p>
    <w:p w14:paraId="5E1A8A16" w14:textId="2FBD2A41" w:rsidR="00AA4DFC" w:rsidRPr="00AA4DFC" w:rsidRDefault="00AA4DFC" w:rsidP="00AA4DFC">
      <w:pPr>
        <w:rPr>
          <w:b/>
          <w:bCs/>
          <w:sz w:val="24"/>
          <w:szCs w:val="24"/>
        </w:rPr>
      </w:pPr>
      <w:r>
        <w:rPr>
          <w:b/>
          <w:bCs/>
          <w:sz w:val="24"/>
          <w:szCs w:val="24"/>
        </w:rPr>
        <w:t>(Roucounas)</w:t>
      </w:r>
    </w:p>
    <w:p w14:paraId="72013F48" w14:textId="42A49296" w:rsidR="00AA4DFC" w:rsidRPr="00AA4DFC" w:rsidRDefault="00AA4DFC" w:rsidP="00AA4DFC">
      <w:pPr>
        <w:rPr>
          <w:sz w:val="24"/>
          <w:szCs w:val="24"/>
        </w:rPr>
      </w:pPr>
      <w:r w:rsidRPr="00AA4DFC">
        <w:rPr>
          <w:sz w:val="24"/>
          <w:szCs w:val="24"/>
        </w:rPr>
        <w:t>The Manila Declaration on the Peaceful Settlement of International Disputes (hereinafter Manila Declaration or Declaration) was approved by resolution 37/10 (under the item Peaceful settlement of disputes between States)1 by the United Nations General Assembly on 15 November 1982, on the basis of a text prepared by the Special Committee on the Charter of the United Nations and on the Strengthening of the Role of the Organization at its 1980 session, held in Manila, the Philippines. The Declaration is the first important instrument of the work of the Special Committee on the Charter of the United Nations and on the Strengthening of the Role of the Organization, and one of its significant achievements.</w:t>
      </w:r>
    </w:p>
    <w:p w14:paraId="7C48645D" w14:textId="070AC141" w:rsidR="00AA4DFC" w:rsidRDefault="00AA4DFC" w:rsidP="00AA4DFC">
      <w:pPr>
        <w:rPr>
          <w:sz w:val="24"/>
          <w:szCs w:val="24"/>
        </w:rPr>
      </w:pPr>
      <w:r w:rsidRPr="00AA4DFC">
        <w:rPr>
          <w:sz w:val="24"/>
          <w:szCs w:val="24"/>
        </w:rPr>
        <w:t>The Manila Declaration was elaborated on the initiative of non-aligned countries (Egypt, Indonesia, Mexico, Nigeria, Philippines, Romania, Sierra Leone, and Tunisia).</w:t>
      </w:r>
    </w:p>
    <w:p w14:paraId="10EA6DFA" w14:textId="51FF3544" w:rsidR="00AA4DFC" w:rsidRPr="00AA4DFC" w:rsidRDefault="00AA4DFC" w:rsidP="00AA4DFC">
      <w:pPr>
        <w:rPr>
          <w:sz w:val="24"/>
          <w:szCs w:val="24"/>
        </w:rPr>
      </w:pPr>
      <w:r w:rsidRPr="00AA4DFC">
        <w:rPr>
          <w:sz w:val="24"/>
          <w:szCs w:val="24"/>
        </w:rPr>
        <w:t>This initiative of non-aligned countries might explain why the initial draft contained so many references to “equal rights and self-determination of peoples”, the “need for all States to desist from any forcible action which deprives peoples, particularly under colonial and racist regimes or other forms of alien domination, of their inalienable right to self-determination, freedom and independence” and the “right of these peoples to struggle to that end and to seek and receive support”. Such references, more strongly worded in the beginning, were softened in the process of negotiation that led to the adoption of the Declaration by the General Assembly by consensus. It is important to keep in mind that the context in which the Manila Declaration was negotiated and adopted was that of the difficult relations between the East and West, and of the intent of the non-aligned countries to seek clarification of existing international law in conjunction with their aspirations.</w:t>
      </w:r>
    </w:p>
    <w:p w14:paraId="1FC4E1DD" w14:textId="46AB3FDA" w:rsidR="00AA4DFC" w:rsidRPr="00AA4DFC" w:rsidRDefault="00AA4DFC" w:rsidP="00AA4DFC">
      <w:pPr>
        <w:rPr>
          <w:sz w:val="24"/>
          <w:szCs w:val="24"/>
        </w:rPr>
      </w:pPr>
      <w:r w:rsidRPr="00AA4DFC">
        <w:rPr>
          <w:sz w:val="24"/>
          <w:szCs w:val="24"/>
        </w:rPr>
        <w:lastRenderedPageBreak/>
        <w:t>Nevertheless, one should not underestimate the fact that the approval of the Declaration by consensus brought together States that had already consented to the contents of Article 33 of the Charter of the United Nations and States which subsequently became Members of the United Nations. Hence, the Declaration was adopted with the active contribution of United Nations Members belonging to the various groups existing at that period.</w:t>
      </w:r>
    </w:p>
    <w:p w14:paraId="76DC2E97" w14:textId="61271964" w:rsidR="00AA4DFC" w:rsidRPr="00AA4DFC" w:rsidRDefault="00AA4DFC" w:rsidP="00AA4DFC">
      <w:pPr>
        <w:rPr>
          <w:sz w:val="24"/>
          <w:szCs w:val="24"/>
        </w:rPr>
      </w:pPr>
      <w:r w:rsidRPr="00AA4DFC">
        <w:rPr>
          <w:sz w:val="24"/>
          <w:szCs w:val="24"/>
        </w:rPr>
        <w:t>For the first time, a normative text develops a comprehensive plan and a consolidation of the legal framework of peaceful settlement of international disputes. The Declaration builds upon and promotes general international law, the Charter of the United Nations, in particular Article 33, and other international instruments such as the Declaration on Principles of International Law concerning Friendly Relations and Cooperation among States in accordance with the Charter of the United Nations (General Assembly resolution 2625 (XXV), 24 October 1970), the American Treaty on Pacific Settlement (Pact of Bogotà, 30 April 1948), the European Convention on the Peaceful Settlement of Disputes (Strasbourg, 29 April 1957), the 1928 General Act for the Pacific Settlement of International Disputes (Geneva, 26 September 1928, revised by the United Nations General Assembly in 1949).</w:t>
      </w:r>
    </w:p>
    <w:p w14:paraId="70FF4BC0" w14:textId="3406089D" w:rsidR="00AA4DFC" w:rsidRPr="00AA4DFC" w:rsidRDefault="00AA4DFC" w:rsidP="00AA4DFC">
      <w:pPr>
        <w:rPr>
          <w:sz w:val="24"/>
          <w:szCs w:val="24"/>
        </w:rPr>
      </w:pPr>
      <w:r w:rsidRPr="00AA4DFC">
        <w:rPr>
          <w:sz w:val="24"/>
          <w:szCs w:val="24"/>
        </w:rPr>
        <w:t>The Declaration contains a preamble and two operative parts. Part I encompasses the applicable principles and rules of peaceful settlement of international disputes as such. Part II is devoted to the ways and means provided for by the Charter and by general international law with emphasis on the role of the competent organs of the United Nations to this effect.</w:t>
      </w:r>
    </w:p>
    <w:p w14:paraId="50E07F41" w14:textId="66854F77" w:rsidR="00AA4DFC" w:rsidRPr="00AA4DFC" w:rsidRDefault="00AA4DFC" w:rsidP="00AA4DFC">
      <w:pPr>
        <w:rPr>
          <w:color w:val="00B0F0"/>
          <w:sz w:val="24"/>
          <w:szCs w:val="24"/>
        </w:rPr>
      </w:pPr>
      <w:r w:rsidRPr="00AA4DFC">
        <w:rPr>
          <w:color w:val="00B0F0"/>
          <w:sz w:val="24"/>
          <w:szCs w:val="24"/>
        </w:rPr>
        <w:t>Preamble</w:t>
      </w:r>
    </w:p>
    <w:p w14:paraId="4C6D5E2F" w14:textId="23467FAB" w:rsidR="00AA4DFC" w:rsidRPr="00AA4DFC" w:rsidRDefault="00AA4DFC" w:rsidP="00AA4DFC">
      <w:pPr>
        <w:rPr>
          <w:sz w:val="24"/>
          <w:szCs w:val="24"/>
        </w:rPr>
      </w:pPr>
      <w:r w:rsidRPr="00AA4DFC">
        <w:rPr>
          <w:sz w:val="24"/>
          <w:szCs w:val="24"/>
        </w:rPr>
        <w:t>In its preamble, the Declaration reaffirms two fundamental principles of the Charter, namely the obligation of all States to settle their international disputes by peaceful means in such a manner that international peace and security, and justice, are not endangered, and the obligation for all States to refrain in their international relations from the threat or use of force against the territorial integrity or political independence of any State, or in any other manner inconsistent with the purposes of the United Nations.</w:t>
      </w:r>
    </w:p>
    <w:p w14:paraId="4583FBD4" w14:textId="75B1D1B2" w:rsidR="00AA4DFC" w:rsidRPr="00AA4DFC" w:rsidRDefault="00AA4DFC" w:rsidP="00AA4DFC">
      <w:pPr>
        <w:rPr>
          <w:sz w:val="24"/>
          <w:szCs w:val="24"/>
        </w:rPr>
      </w:pPr>
      <w:r w:rsidRPr="00AA4DFC">
        <w:rPr>
          <w:sz w:val="24"/>
          <w:szCs w:val="24"/>
        </w:rPr>
        <w:t xml:space="preserve">The preamble underlines the fact that the Charter of the United Nations embodies an essential framework and the means for the peaceful settlement of international disputes. It further reiterates the principle of non-intervention and refers to the aforementioned </w:t>
      </w:r>
      <w:hyperlink r:id="rId7" w:history="1">
        <w:r>
          <w:rPr>
            <w:rStyle w:val="Hyperlink"/>
            <w:sz w:val="24"/>
            <w:szCs w:val="24"/>
          </w:rPr>
          <w:t xml:space="preserve">Declaration on Principles of International Law </w:t>
        </w:r>
        <w:r>
          <w:rPr>
            <w:rStyle w:val="Hyperlink"/>
            <w:sz w:val="24"/>
            <w:szCs w:val="24"/>
          </w:rPr>
          <w:t>concerning Friendly Relations and Cooperation among States</w:t>
        </w:r>
      </w:hyperlink>
      <w:r w:rsidRPr="00AA4DFC">
        <w:rPr>
          <w:sz w:val="24"/>
          <w:szCs w:val="24"/>
        </w:rPr>
        <w:t>.</w:t>
      </w:r>
    </w:p>
    <w:p w14:paraId="7360D62B" w14:textId="77777777" w:rsidR="00AA4DFC" w:rsidRPr="00AA4DFC" w:rsidRDefault="00AA4DFC" w:rsidP="00AA4DFC">
      <w:pPr>
        <w:rPr>
          <w:sz w:val="24"/>
          <w:szCs w:val="24"/>
        </w:rPr>
      </w:pPr>
      <w:r w:rsidRPr="00AA4DFC">
        <w:rPr>
          <w:sz w:val="24"/>
          <w:szCs w:val="24"/>
        </w:rPr>
        <w:t>The preamble also stresses the principle of equal rights and self-determination of peoples and the need for all States to desist from any forcible action which deprives peoples, particularly peoples under colonial and racist regimes or other forms of alien domination, of their inalienable right to self-determination, freedom and independence. It concludes by recalling the normative efforts of the international society with regard to the principles and rules concerning the peaceful settlement of international disputes and expresses the intention of the drafters to encourage the progressive development of international law and its codification. Nevertheless, until now, the International Law Commission did not produce such a general instrument to this effect.</w:t>
      </w:r>
    </w:p>
    <w:p w14:paraId="65052DE0" w14:textId="77777777" w:rsidR="00AA4DFC" w:rsidRPr="00AA4DFC" w:rsidRDefault="00AA4DFC" w:rsidP="00AA4DFC">
      <w:pPr>
        <w:rPr>
          <w:sz w:val="24"/>
          <w:szCs w:val="24"/>
        </w:rPr>
      </w:pPr>
    </w:p>
    <w:p w14:paraId="157EFF42" w14:textId="025806B7" w:rsidR="00AA4DFC" w:rsidRPr="003101D5" w:rsidRDefault="00AA4DFC" w:rsidP="00AA4DFC">
      <w:pPr>
        <w:rPr>
          <w:color w:val="00B0F0"/>
          <w:sz w:val="24"/>
          <w:szCs w:val="24"/>
        </w:rPr>
      </w:pPr>
      <w:r w:rsidRPr="00AA4DFC">
        <w:rPr>
          <w:color w:val="00B0F0"/>
          <w:sz w:val="24"/>
          <w:szCs w:val="24"/>
        </w:rPr>
        <w:lastRenderedPageBreak/>
        <w:t>Part I: Identification of Applicable Principles and Rules</w:t>
      </w:r>
    </w:p>
    <w:p w14:paraId="32A4AF92" w14:textId="06064A71" w:rsidR="00AA4DFC" w:rsidRPr="00AA4DFC" w:rsidRDefault="00AA4DFC" w:rsidP="00AA4DFC">
      <w:pPr>
        <w:rPr>
          <w:sz w:val="24"/>
          <w:szCs w:val="24"/>
        </w:rPr>
      </w:pPr>
      <w:r w:rsidRPr="00AA4DFC">
        <w:rPr>
          <w:sz w:val="24"/>
          <w:szCs w:val="24"/>
        </w:rPr>
        <w:t xml:space="preserve">In Part I, the Declaration enunciates the principle of prevention of disputes that are likely to affect friendly relations among States, and refers to good faith. It is significant that the principle of good faith appears </w:t>
      </w:r>
      <w:r w:rsidRPr="003101D5">
        <w:rPr>
          <w:i/>
          <w:iCs/>
          <w:sz w:val="24"/>
          <w:szCs w:val="24"/>
        </w:rPr>
        <w:t>expressis verbis</w:t>
      </w:r>
      <w:r w:rsidRPr="00AA4DFC">
        <w:rPr>
          <w:sz w:val="24"/>
          <w:szCs w:val="24"/>
        </w:rPr>
        <w:t xml:space="preserve"> five times in the text (Part I, paras. 1, 5 and 11; Part II, paras. 2 and 6). Furthermore, the text emphasizes that States have the free choice of means (Part I, para. 3), and that disputes shall be settled exclusively by peaceful means.</w:t>
      </w:r>
    </w:p>
    <w:p w14:paraId="0519E2BF" w14:textId="3ED7475F" w:rsidR="00AA4DFC" w:rsidRPr="00AA4DFC" w:rsidRDefault="00AA4DFC" w:rsidP="00AA4DFC">
      <w:pPr>
        <w:rPr>
          <w:sz w:val="24"/>
          <w:szCs w:val="24"/>
        </w:rPr>
      </w:pPr>
      <w:r w:rsidRPr="00AA4DFC">
        <w:rPr>
          <w:sz w:val="24"/>
          <w:szCs w:val="24"/>
        </w:rPr>
        <w:t>As far as applicable law is concerned, Part I, paragraph 3, recalls the relevant obligations under the Charter, the principles of justice and those of general international law. Part I, paragraph 5, repeats the non-exhaustive list of means (</w:t>
      </w:r>
      <w:r w:rsidRPr="003101D5">
        <w:rPr>
          <w:color w:val="00B050"/>
          <w:sz w:val="24"/>
          <w:szCs w:val="24"/>
        </w:rPr>
        <w:t>negotiation, inquiry, conciliation, mediation, arbitration, judicial settlement, resort to regional arrangements or agencies or other peaceful means of settlement, including good offices</w:t>
      </w:r>
      <w:r w:rsidRPr="00AA4DFC">
        <w:rPr>
          <w:sz w:val="24"/>
          <w:szCs w:val="24"/>
        </w:rPr>
        <w:t xml:space="preserve">), while Part I, paragraph 13, explicitly </w:t>
      </w:r>
      <w:r w:rsidRPr="003101D5">
        <w:rPr>
          <w:color w:val="EE0000"/>
          <w:sz w:val="24"/>
          <w:szCs w:val="24"/>
        </w:rPr>
        <w:t>excludes any method of settlement that involves the use or threat of force</w:t>
      </w:r>
      <w:r w:rsidRPr="00AA4DFC">
        <w:rPr>
          <w:sz w:val="24"/>
          <w:szCs w:val="24"/>
        </w:rPr>
        <w:t>. The express reference to good offices appears to be a novelty in relation to the wording of the Charter. On the other hand, in Part I, paragraph 10, the text seems to give preference to meaningful negotiation (obviously in the sense that the International Court of Justice utilizes the expression) and this can be understood in the context of the circumstances prevailing at the time of the adoption of the Declaration.</w:t>
      </w:r>
    </w:p>
    <w:p w14:paraId="55A3364D" w14:textId="63D9D9B5" w:rsidR="00AA4DFC" w:rsidRPr="00AA4DFC" w:rsidRDefault="00AA4DFC" w:rsidP="00AA4DFC">
      <w:pPr>
        <w:rPr>
          <w:sz w:val="24"/>
          <w:szCs w:val="24"/>
        </w:rPr>
      </w:pPr>
      <w:r w:rsidRPr="00AA4DFC">
        <w:rPr>
          <w:sz w:val="24"/>
          <w:szCs w:val="24"/>
        </w:rPr>
        <w:t>Part I, paragraph 6, stresses the role of the regional arrangements in the process of the peaceful settlement of disputes, recognizing a temporal priority, notwithstanding the primary role of the Security Council. But more explicitly than Article 52, paragraph 4, of the Charter, it adds that this does not preclude States from bringing any dispute to the attention of the Security Council or the General Assembly.</w:t>
      </w:r>
    </w:p>
    <w:p w14:paraId="0BF85C72" w14:textId="3781D88F" w:rsidR="00AA4DFC" w:rsidRPr="00AA4DFC" w:rsidRDefault="00AA4DFC" w:rsidP="00AA4DFC">
      <w:pPr>
        <w:rPr>
          <w:sz w:val="24"/>
          <w:szCs w:val="24"/>
        </w:rPr>
      </w:pPr>
      <w:r w:rsidRPr="00AA4DFC">
        <w:rPr>
          <w:sz w:val="24"/>
          <w:szCs w:val="24"/>
        </w:rPr>
        <w:t>The text also provides that States parties to an international dispute shall refrain from any action that may aggravate the situation (Part I, para. 8), and calls on States to conclude agreements or include in agreements effective clauses for the peaceful settlement of disputes (Part I, para. 9). Part I, paragraph 12, amplifies the Declaration of Friendly Relations’ invitation to resort to peaceful settlement of disputes in the exercise of the right to self-determination.</w:t>
      </w:r>
    </w:p>
    <w:p w14:paraId="1BE02117" w14:textId="0B5DBDB2" w:rsidR="00AA4DFC" w:rsidRPr="003101D5" w:rsidRDefault="00AA4DFC" w:rsidP="00AA4DFC">
      <w:pPr>
        <w:rPr>
          <w:color w:val="00B0F0"/>
          <w:sz w:val="24"/>
          <w:szCs w:val="24"/>
        </w:rPr>
      </w:pPr>
      <w:r w:rsidRPr="00AA4DFC">
        <w:rPr>
          <w:color w:val="00B0F0"/>
          <w:sz w:val="24"/>
          <w:szCs w:val="24"/>
        </w:rPr>
        <w:t>Part. II: The Role of the United Nations and its Organs</w:t>
      </w:r>
    </w:p>
    <w:p w14:paraId="00622D7A" w14:textId="77777777" w:rsidR="00AA4DFC" w:rsidRPr="00AA4DFC" w:rsidRDefault="00AA4DFC" w:rsidP="00AA4DFC">
      <w:pPr>
        <w:rPr>
          <w:sz w:val="24"/>
          <w:szCs w:val="24"/>
        </w:rPr>
      </w:pPr>
      <w:r w:rsidRPr="00AA4DFC">
        <w:rPr>
          <w:sz w:val="24"/>
          <w:szCs w:val="24"/>
        </w:rPr>
        <w:t>The second part of the Declaration exposes the ways and means by which the United Nations system can contribute to the peaceful settlement of international disputes. Specific presentations are made with respect to the role of the four principal organs whose contribution is considered to be important, namely the General Assembly, the Security Council, the International Court of Justice and the Secretary-General. In addition, the Declaration specifically mentions the role that the subsidiary organs established by the General Assembly and the Security Council may have in the process of the peaceful settlement of international disputes (Part II, para. 3 (c)).</w:t>
      </w:r>
    </w:p>
    <w:p w14:paraId="517744B0" w14:textId="77777777" w:rsidR="00AA4DFC" w:rsidRPr="00AA4DFC" w:rsidRDefault="00AA4DFC" w:rsidP="00AA4DFC">
      <w:pPr>
        <w:rPr>
          <w:sz w:val="24"/>
          <w:szCs w:val="24"/>
        </w:rPr>
      </w:pPr>
    </w:p>
    <w:p w14:paraId="0931DCF1" w14:textId="2642FDAD" w:rsidR="00AA4DFC" w:rsidRPr="00AA4DFC" w:rsidRDefault="00AA4DFC" w:rsidP="00AA4DFC">
      <w:pPr>
        <w:rPr>
          <w:sz w:val="24"/>
          <w:szCs w:val="24"/>
        </w:rPr>
      </w:pPr>
      <w:r w:rsidRPr="00AA4DFC">
        <w:rPr>
          <w:sz w:val="24"/>
          <w:szCs w:val="24"/>
        </w:rPr>
        <w:lastRenderedPageBreak/>
        <w:t>The Declaration also contains provisions widening the role that the General Assembly, actually or potentially, could play as a forum for consideration of international disputes as well as for consultations leading to the peaceful settlement (Part II, para. 3).</w:t>
      </w:r>
    </w:p>
    <w:p w14:paraId="691927EA" w14:textId="730AAF89" w:rsidR="00AA4DFC" w:rsidRPr="00AA4DFC" w:rsidRDefault="00AA4DFC" w:rsidP="00AA4DFC">
      <w:pPr>
        <w:rPr>
          <w:sz w:val="24"/>
          <w:szCs w:val="24"/>
        </w:rPr>
      </w:pPr>
      <w:r w:rsidRPr="00AA4DFC">
        <w:rPr>
          <w:sz w:val="24"/>
          <w:szCs w:val="24"/>
        </w:rPr>
        <w:t>With respect to the Security Council, the Declaration underlines its primary role, in accordance with the Charter, in the area of the settlement of disputes or of any situation the continuance of which is likely to endanger the maintenance of international peace and security. A specific provision stresses the obligation under Article 37 of the Charter of Members States to refer to the Security Council such a dispute to which they are parties if they fail to settle it by the means indicated in Article 33 of the Charter (Part II, para. 4 (a)). The text further recommends making greater use of the fact-finding capacity of the Security Council in accordance with the Charter (Part II, para. 4 (d)), a suggestion whose actuality should not be underestimated.</w:t>
      </w:r>
    </w:p>
    <w:p w14:paraId="4D9035CE" w14:textId="668F0E43" w:rsidR="00AA4DFC" w:rsidRPr="00AA4DFC" w:rsidRDefault="00AA4DFC" w:rsidP="00AA4DFC">
      <w:pPr>
        <w:rPr>
          <w:sz w:val="24"/>
          <w:szCs w:val="24"/>
        </w:rPr>
      </w:pPr>
      <w:r w:rsidRPr="00AA4DFC">
        <w:rPr>
          <w:sz w:val="24"/>
          <w:szCs w:val="24"/>
        </w:rPr>
        <w:t>The Declaration further emphasizes that States “should be fully aware” of the role of the International Court of Justice, which is the principal judicial organ of the United Nations, for the settlement of legal disputes among them (Part II, para. 5). Of course, the emphasis does not affect the possibility of the parties to a dispute, to choose another judicial organ for the settlement of their dispute, in accordance with the fundamental principle of the free choice of means. Furthermore, with the intent to strengthen the role of the International Court of Justice, the Declaration invites States to recognize as compulsory the jurisdiction of the International Court of Justice, in accordance with Article 36 of its Statute, and/or to insert in treaties, whenever appropriate, clauses providing for the submission to the International Court of Justice of disputes which may arise from the interpretation or application of such treaties.</w:t>
      </w:r>
    </w:p>
    <w:p w14:paraId="6F0C9B0F" w14:textId="25DBC40D" w:rsidR="00D06084" w:rsidRPr="002E1956" w:rsidRDefault="00AA4DFC" w:rsidP="00AA4DFC">
      <w:pPr>
        <w:rPr>
          <w:sz w:val="24"/>
          <w:szCs w:val="24"/>
          <w:lang w:val="el-GR"/>
        </w:rPr>
      </w:pPr>
      <w:r w:rsidRPr="00AA4DFC">
        <w:rPr>
          <w:sz w:val="24"/>
          <w:szCs w:val="24"/>
        </w:rPr>
        <w:t>The Declaration also underscores the responsibilities of the Secretary-General in the field of the peaceful settlement of international disputes, in particular the role of early-warning towards the other organs of the United Nations with respect to disputes that may threaten international peace and security.</w:t>
      </w:r>
    </w:p>
    <w:p w14:paraId="56EE5362" w14:textId="7AF32DD5" w:rsidR="00D06084" w:rsidRPr="002E1956" w:rsidRDefault="00D06084" w:rsidP="00AA4DFC">
      <w:pPr>
        <w:rPr>
          <w:b/>
          <w:bCs/>
          <w:color w:val="00B0F0"/>
          <w:sz w:val="24"/>
          <w:szCs w:val="24"/>
          <w:lang w:val="el-GR"/>
        </w:rPr>
      </w:pPr>
      <w:r w:rsidRPr="002E1956">
        <w:rPr>
          <w:b/>
          <w:bCs/>
          <w:color w:val="00B0F0"/>
          <w:sz w:val="24"/>
          <w:szCs w:val="24"/>
          <w:lang w:val="el-GR"/>
        </w:rPr>
        <w:t>Διαπραγματεύσεις</w:t>
      </w:r>
    </w:p>
    <w:p w14:paraId="48B782E0" w14:textId="018D915F" w:rsidR="00D06084" w:rsidRDefault="00D06084" w:rsidP="00AA4DFC">
      <w:pPr>
        <w:rPr>
          <w:sz w:val="24"/>
          <w:szCs w:val="24"/>
          <w:lang w:val="el-GR"/>
        </w:rPr>
      </w:pPr>
      <w:r>
        <w:rPr>
          <w:sz w:val="24"/>
          <w:szCs w:val="24"/>
          <w:lang w:val="el-GR"/>
        </w:rPr>
        <w:t>Μέτρα Οικοδόμησης Εμπιστοσύνης  (Πρέσπες)</w:t>
      </w:r>
    </w:p>
    <w:p w14:paraId="1651F4F8" w14:textId="6FE66C78" w:rsidR="00D06084" w:rsidRDefault="00D06084" w:rsidP="00AA4DFC">
      <w:pPr>
        <w:rPr>
          <w:sz w:val="24"/>
          <w:szCs w:val="24"/>
          <w:lang w:val="el-GR"/>
        </w:rPr>
      </w:pPr>
      <w:r>
        <w:rPr>
          <w:sz w:val="24"/>
          <w:szCs w:val="24"/>
          <w:lang w:val="el-GR"/>
        </w:rPr>
        <w:t>Δεν αποτελούν φραγμό σε επίλυση της διαφοράς από δικαστήριο</w:t>
      </w:r>
    </w:p>
    <w:p w14:paraId="17E8D1D0" w14:textId="0CEAAA25" w:rsidR="00D06084" w:rsidRDefault="00D06084" w:rsidP="00AA4DFC">
      <w:pPr>
        <w:rPr>
          <w:sz w:val="24"/>
          <w:szCs w:val="24"/>
          <w:lang w:val="el-GR"/>
        </w:rPr>
      </w:pPr>
      <w:r>
        <w:rPr>
          <w:sz w:val="24"/>
          <w:szCs w:val="24"/>
          <w:lang w:val="el-GR"/>
        </w:rPr>
        <w:t>Το ΔΔ ΟΗΕ μπορεί να κρίνει ότι η επίλυση της διαφοράς πρέπει να επιτευχθεί με διαπραγματεύσεις (Ελλάδα/Τουρκία, Ουγγαρία/Σλοβακία)</w:t>
      </w:r>
    </w:p>
    <w:p w14:paraId="012A034D" w14:textId="69FBEE8C" w:rsidR="00D06084" w:rsidRDefault="00D06084" w:rsidP="00AA4DFC">
      <w:pPr>
        <w:rPr>
          <w:sz w:val="24"/>
          <w:szCs w:val="24"/>
          <w:lang w:val="el-GR"/>
        </w:rPr>
      </w:pPr>
      <w:r>
        <w:rPr>
          <w:sz w:val="24"/>
          <w:szCs w:val="24"/>
          <w:lang w:val="el-GR"/>
        </w:rPr>
        <w:t>Πολλές φορές προηγούνται διαβουλεύσεις</w:t>
      </w:r>
    </w:p>
    <w:p w14:paraId="388961CD" w14:textId="32E9E1F5" w:rsidR="00D06084" w:rsidRPr="002E1956" w:rsidRDefault="00D06084" w:rsidP="00AA4DFC">
      <w:pPr>
        <w:rPr>
          <w:b/>
          <w:bCs/>
          <w:color w:val="00B0F0"/>
          <w:sz w:val="24"/>
          <w:szCs w:val="24"/>
          <w:lang w:val="el-GR"/>
        </w:rPr>
      </w:pPr>
      <w:r w:rsidRPr="002E1956">
        <w:rPr>
          <w:b/>
          <w:bCs/>
          <w:color w:val="00B0F0"/>
          <w:sz w:val="24"/>
          <w:szCs w:val="24"/>
          <w:lang w:val="el-GR"/>
        </w:rPr>
        <w:t>Μεσολάβηση</w:t>
      </w:r>
    </w:p>
    <w:p w14:paraId="5D369844" w14:textId="27A71898" w:rsidR="00D06084" w:rsidRDefault="00D06084" w:rsidP="00AA4DFC">
      <w:pPr>
        <w:rPr>
          <w:sz w:val="24"/>
          <w:szCs w:val="24"/>
          <w:lang w:val="el-GR"/>
        </w:rPr>
      </w:pPr>
      <w:r>
        <w:rPr>
          <w:sz w:val="24"/>
          <w:szCs w:val="24"/>
          <w:lang w:val="el-GR"/>
        </w:rPr>
        <w:t>Κρίση των ομήρων (Αλγερία)</w:t>
      </w:r>
    </w:p>
    <w:p w14:paraId="5986FD93" w14:textId="4EC9B231" w:rsidR="00D06084" w:rsidRDefault="00D06084" w:rsidP="00AA4DFC">
      <w:pPr>
        <w:rPr>
          <w:sz w:val="24"/>
          <w:szCs w:val="24"/>
          <w:lang w:val="el-GR"/>
        </w:rPr>
      </w:pPr>
      <w:r>
        <w:rPr>
          <w:sz w:val="24"/>
          <w:szCs w:val="24"/>
          <w:lang w:val="el-GR"/>
        </w:rPr>
        <w:t xml:space="preserve">ΗΒ/Αργεντινή (ΟΗΕ, </w:t>
      </w:r>
      <w:r w:rsidR="00365CF7">
        <w:rPr>
          <w:sz w:val="24"/>
          <w:szCs w:val="24"/>
          <w:lang w:val="el-GR"/>
        </w:rPr>
        <w:t>ΗΠΑ</w:t>
      </w:r>
      <w:r>
        <w:rPr>
          <w:sz w:val="24"/>
          <w:szCs w:val="24"/>
          <w:lang w:val="el-GR"/>
        </w:rPr>
        <w:t>)</w:t>
      </w:r>
    </w:p>
    <w:p w14:paraId="26526CEF" w14:textId="0F3269DE" w:rsidR="00D06084" w:rsidRDefault="00D06084" w:rsidP="00AA4DFC">
      <w:pPr>
        <w:rPr>
          <w:sz w:val="24"/>
          <w:szCs w:val="24"/>
          <w:lang w:val="el-GR"/>
        </w:rPr>
      </w:pPr>
      <w:r>
        <w:rPr>
          <w:sz w:val="24"/>
          <w:szCs w:val="24"/>
          <w:lang w:val="el-GR"/>
        </w:rPr>
        <w:t>Αργεντινή/Χιλή (Πάπας)</w:t>
      </w:r>
    </w:p>
    <w:p w14:paraId="067ED21D" w14:textId="2252FB6A" w:rsidR="00365CF7" w:rsidRDefault="00365CF7" w:rsidP="00AA4DFC">
      <w:pPr>
        <w:rPr>
          <w:sz w:val="24"/>
          <w:szCs w:val="24"/>
          <w:lang w:val="el-GR"/>
        </w:rPr>
      </w:pPr>
      <w:r>
        <w:rPr>
          <w:sz w:val="24"/>
          <w:szCs w:val="24"/>
          <w:lang w:val="el-GR"/>
        </w:rPr>
        <w:lastRenderedPageBreak/>
        <w:t>Ελλάδα/ Β. Μακεδονία (ΟΗΕ)</w:t>
      </w:r>
    </w:p>
    <w:p w14:paraId="2977E79F" w14:textId="19E154FF" w:rsidR="00365CF7" w:rsidRDefault="00365CF7" w:rsidP="00AA4DFC">
      <w:pPr>
        <w:rPr>
          <w:sz w:val="24"/>
          <w:szCs w:val="24"/>
          <w:lang w:val="el-GR"/>
        </w:rPr>
      </w:pPr>
      <w:r>
        <w:rPr>
          <w:sz w:val="24"/>
          <w:szCs w:val="24"/>
          <w:lang w:val="el-GR"/>
        </w:rPr>
        <w:t>Γιουγκοσλαβία (Ελλάδα, ΗΠΑ, ΗΒ, ΟΗΕ)</w:t>
      </w:r>
    </w:p>
    <w:p w14:paraId="68852ECD" w14:textId="729CCD26" w:rsidR="00365CF7" w:rsidRPr="002E1956" w:rsidRDefault="00365CF7" w:rsidP="00AA4DFC">
      <w:pPr>
        <w:rPr>
          <w:b/>
          <w:bCs/>
          <w:color w:val="00B0F0"/>
          <w:sz w:val="24"/>
          <w:szCs w:val="24"/>
          <w:lang w:val="el-GR"/>
        </w:rPr>
      </w:pPr>
      <w:r w:rsidRPr="002E1956">
        <w:rPr>
          <w:b/>
          <w:bCs/>
          <w:color w:val="00B0F0"/>
          <w:sz w:val="24"/>
          <w:szCs w:val="24"/>
          <w:lang w:val="el-GR"/>
        </w:rPr>
        <w:t>Έρευνα</w:t>
      </w:r>
    </w:p>
    <w:p w14:paraId="66A36C8C" w14:textId="04C98D7E" w:rsidR="00365CF7" w:rsidRPr="00365CF7" w:rsidRDefault="00365CF7" w:rsidP="00AA4DFC">
      <w:pPr>
        <w:rPr>
          <w:sz w:val="24"/>
          <w:szCs w:val="24"/>
          <w:lang w:val="el-GR"/>
        </w:rPr>
      </w:pPr>
      <w:r w:rsidRPr="00365CF7">
        <w:rPr>
          <w:sz w:val="24"/>
          <w:szCs w:val="24"/>
        </w:rPr>
        <w:t>Letelier</w:t>
      </w:r>
      <w:r w:rsidRPr="00365CF7">
        <w:rPr>
          <w:sz w:val="24"/>
          <w:szCs w:val="24"/>
          <w:lang w:val="el-GR"/>
        </w:rPr>
        <w:t xml:space="preserve"> </w:t>
      </w:r>
      <w:r w:rsidRPr="00365CF7">
        <w:rPr>
          <w:sz w:val="24"/>
          <w:szCs w:val="24"/>
        </w:rPr>
        <w:t>and</w:t>
      </w:r>
      <w:r w:rsidRPr="00365CF7">
        <w:rPr>
          <w:sz w:val="24"/>
          <w:szCs w:val="24"/>
          <w:lang w:val="el-GR"/>
        </w:rPr>
        <w:t xml:space="preserve"> </w:t>
      </w:r>
      <w:r w:rsidRPr="00365CF7">
        <w:rPr>
          <w:sz w:val="24"/>
          <w:szCs w:val="24"/>
        </w:rPr>
        <w:t>Moffit</w:t>
      </w:r>
      <w:r w:rsidRPr="00365CF7">
        <w:rPr>
          <w:sz w:val="24"/>
          <w:szCs w:val="24"/>
          <w:lang w:val="el-GR"/>
        </w:rPr>
        <w:t xml:space="preserve"> (ΗΠΑ/Χιλή)</w:t>
      </w:r>
    </w:p>
    <w:p w14:paraId="176039BE" w14:textId="33CF9C4D" w:rsidR="00365CF7" w:rsidRPr="002E1956" w:rsidRDefault="00365CF7" w:rsidP="00AA4DFC">
      <w:pPr>
        <w:rPr>
          <w:b/>
          <w:bCs/>
          <w:color w:val="00B0F0"/>
          <w:sz w:val="24"/>
          <w:szCs w:val="24"/>
          <w:lang w:val="el-GR"/>
        </w:rPr>
      </w:pPr>
      <w:r w:rsidRPr="002E1956">
        <w:rPr>
          <w:b/>
          <w:bCs/>
          <w:color w:val="00B0F0"/>
          <w:sz w:val="24"/>
          <w:szCs w:val="24"/>
          <w:lang w:val="el-GR"/>
        </w:rPr>
        <w:t>Συνδιαλλαγή</w:t>
      </w:r>
    </w:p>
    <w:p w14:paraId="69017A94" w14:textId="79217BB9" w:rsidR="00365CF7" w:rsidRDefault="00365CF7" w:rsidP="00AA4DFC">
      <w:pPr>
        <w:rPr>
          <w:sz w:val="24"/>
          <w:szCs w:val="24"/>
          <w:lang w:val="el-GR"/>
        </w:rPr>
      </w:pPr>
      <w:r w:rsidRPr="00365CF7">
        <w:rPr>
          <w:sz w:val="24"/>
          <w:szCs w:val="24"/>
          <w:lang w:val="el-GR"/>
        </w:rPr>
        <w:t xml:space="preserve">Ισλανδία/Νορβηγία </w:t>
      </w:r>
      <w:r>
        <w:rPr>
          <w:sz w:val="24"/>
          <w:szCs w:val="24"/>
        </w:rPr>
        <w:t>Jan</w:t>
      </w:r>
      <w:r w:rsidRPr="00365CF7">
        <w:rPr>
          <w:sz w:val="24"/>
          <w:szCs w:val="24"/>
          <w:lang w:val="el-GR"/>
        </w:rPr>
        <w:t xml:space="preserve"> </w:t>
      </w:r>
      <w:r>
        <w:rPr>
          <w:sz w:val="24"/>
          <w:szCs w:val="24"/>
        </w:rPr>
        <w:t>Mayen</w:t>
      </w:r>
      <w:r w:rsidRPr="00365CF7">
        <w:rPr>
          <w:sz w:val="24"/>
          <w:szCs w:val="24"/>
          <w:lang w:val="el-GR"/>
        </w:rPr>
        <w:t xml:space="preserve"> </w:t>
      </w:r>
      <w:r>
        <w:rPr>
          <w:sz w:val="24"/>
          <w:szCs w:val="24"/>
          <w:lang w:val="el-GR"/>
        </w:rPr>
        <w:t>Επιτροπή = Οριοθέτηση</w:t>
      </w:r>
    </w:p>
    <w:p w14:paraId="1D50CC11" w14:textId="261602C4" w:rsidR="00365CF7" w:rsidRDefault="00365CF7" w:rsidP="00AA4DFC">
      <w:pPr>
        <w:rPr>
          <w:sz w:val="24"/>
          <w:szCs w:val="24"/>
          <w:lang w:val="el-GR"/>
        </w:rPr>
      </w:pPr>
      <w:r>
        <w:rPr>
          <w:sz w:val="24"/>
          <w:szCs w:val="24"/>
          <w:lang w:val="el-GR"/>
        </w:rPr>
        <w:t xml:space="preserve">ΑΛΛΑ </w:t>
      </w:r>
      <w:r w:rsidR="002E1956">
        <w:rPr>
          <w:sz w:val="24"/>
          <w:szCs w:val="24"/>
          <w:lang w:val="el-GR"/>
        </w:rPr>
        <w:t>Δανία/Νορβηγία για την ίδια υπόθεση = ΔΔ ΟΗΕ (ειδικές/σχετικές περιστάσεις μετά τη χάραξη της μέσης γραμμης)</w:t>
      </w:r>
    </w:p>
    <w:p w14:paraId="5EED2082" w14:textId="77777777" w:rsidR="002E1956" w:rsidRDefault="002E1956" w:rsidP="00AA4DFC">
      <w:pPr>
        <w:rPr>
          <w:sz w:val="24"/>
          <w:szCs w:val="24"/>
          <w:lang w:val="el-GR"/>
        </w:rPr>
      </w:pPr>
    </w:p>
    <w:p w14:paraId="3EF793C8" w14:textId="6A313300" w:rsidR="002E1956" w:rsidRPr="002E1956" w:rsidRDefault="002E1956" w:rsidP="00AA4DFC">
      <w:pPr>
        <w:rPr>
          <w:b/>
          <w:bCs/>
          <w:color w:val="7030A0"/>
          <w:sz w:val="24"/>
          <w:szCs w:val="24"/>
          <w:lang w:val="el-GR"/>
        </w:rPr>
      </w:pPr>
      <w:r w:rsidRPr="002E1956">
        <w:rPr>
          <w:b/>
          <w:bCs/>
          <w:color w:val="7030A0"/>
          <w:sz w:val="24"/>
          <w:szCs w:val="24"/>
          <w:lang w:val="el-GR"/>
        </w:rPr>
        <w:t>Νομικές μέθοδοι επίλυσης διαφορών</w:t>
      </w:r>
    </w:p>
    <w:p w14:paraId="18B779DF" w14:textId="75AA6B1A" w:rsidR="002E1956" w:rsidRPr="002E1956" w:rsidRDefault="002E1956" w:rsidP="00AA4DFC">
      <w:pPr>
        <w:rPr>
          <w:color w:val="00B0F0"/>
          <w:sz w:val="24"/>
          <w:szCs w:val="24"/>
          <w:lang w:val="el-GR"/>
        </w:rPr>
      </w:pPr>
      <w:r w:rsidRPr="002E1956">
        <w:rPr>
          <w:color w:val="00B0F0"/>
          <w:sz w:val="24"/>
          <w:szCs w:val="24"/>
          <w:lang w:val="el-GR"/>
        </w:rPr>
        <w:t>Διαιτησία</w:t>
      </w:r>
    </w:p>
    <w:p w14:paraId="30FD28A1" w14:textId="01BD83CB" w:rsidR="00365CF7" w:rsidRDefault="002E1956" w:rsidP="00AA4DFC">
      <w:pPr>
        <w:rPr>
          <w:sz w:val="24"/>
          <w:szCs w:val="24"/>
          <w:lang w:val="el-GR"/>
        </w:rPr>
      </w:pPr>
      <w:r>
        <w:rPr>
          <w:sz w:val="24"/>
          <w:szCs w:val="24"/>
          <w:lang w:val="el-GR"/>
        </w:rPr>
        <w:t>Η παλαιότερη μέθοδος</w:t>
      </w:r>
    </w:p>
    <w:p w14:paraId="666368CA" w14:textId="450C2287" w:rsidR="002E1956" w:rsidRDefault="002E1956" w:rsidP="00AA4DFC">
      <w:pPr>
        <w:rPr>
          <w:sz w:val="24"/>
          <w:szCs w:val="24"/>
          <w:lang w:val="el-GR"/>
        </w:rPr>
      </w:pPr>
      <w:r>
        <w:rPr>
          <w:sz w:val="24"/>
          <w:szCs w:val="24"/>
          <w:lang w:val="el-GR"/>
        </w:rPr>
        <w:t>Σε ευρύτατη χρήση και σήμερα</w:t>
      </w:r>
    </w:p>
    <w:p w14:paraId="2F3FE492" w14:textId="72C04964" w:rsidR="002E1956" w:rsidRPr="002E1956" w:rsidRDefault="002E1956" w:rsidP="00AA4DFC">
      <w:pPr>
        <w:rPr>
          <w:sz w:val="24"/>
          <w:szCs w:val="24"/>
          <w:lang w:val="el-GR"/>
        </w:rPr>
      </w:pPr>
      <w:r>
        <w:rPr>
          <w:sz w:val="24"/>
          <w:szCs w:val="24"/>
          <w:lang w:val="el-GR"/>
        </w:rPr>
        <w:t>Σημαντική νομολογία από Διαιτητικά Δικαστήρια (</w:t>
      </w:r>
      <w:r>
        <w:rPr>
          <w:sz w:val="24"/>
          <w:szCs w:val="24"/>
        </w:rPr>
        <w:t>Trail</w:t>
      </w:r>
      <w:r w:rsidRPr="002E1956">
        <w:rPr>
          <w:sz w:val="24"/>
          <w:szCs w:val="24"/>
          <w:lang w:val="el-GR"/>
        </w:rPr>
        <w:t xml:space="preserve"> </w:t>
      </w:r>
      <w:r>
        <w:rPr>
          <w:sz w:val="24"/>
          <w:szCs w:val="24"/>
        </w:rPr>
        <w:t>Smelter</w:t>
      </w:r>
      <w:r w:rsidRPr="002E1956">
        <w:rPr>
          <w:sz w:val="24"/>
          <w:szCs w:val="24"/>
          <w:lang w:val="el-GR"/>
        </w:rPr>
        <w:t xml:space="preserve">, </w:t>
      </w:r>
      <w:r>
        <w:rPr>
          <w:sz w:val="24"/>
          <w:szCs w:val="24"/>
        </w:rPr>
        <w:t>Island</w:t>
      </w:r>
      <w:r w:rsidRPr="002E1956">
        <w:rPr>
          <w:sz w:val="24"/>
          <w:szCs w:val="24"/>
          <w:lang w:val="el-GR"/>
        </w:rPr>
        <w:t xml:space="preserve"> </w:t>
      </w:r>
      <w:r>
        <w:rPr>
          <w:sz w:val="24"/>
          <w:szCs w:val="24"/>
        </w:rPr>
        <w:t>of</w:t>
      </w:r>
      <w:r w:rsidRPr="002E1956">
        <w:rPr>
          <w:sz w:val="24"/>
          <w:szCs w:val="24"/>
          <w:lang w:val="el-GR"/>
        </w:rPr>
        <w:t xml:space="preserve"> </w:t>
      </w:r>
      <w:r>
        <w:rPr>
          <w:sz w:val="24"/>
          <w:szCs w:val="24"/>
        </w:rPr>
        <w:t>Palmas</w:t>
      </w:r>
      <w:r w:rsidRPr="002E1956">
        <w:rPr>
          <w:sz w:val="24"/>
          <w:szCs w:val="24"/>
          <w:lang w:val="el-GR"/>
        </w:rPr>
        <w:t>)</w:t>
      </w:r>
    </w:p>
    <w:p w14:paraId="6B0D6BC7" w14:textId="290C33F8" w:rsidR="002E1956" w:rsidRPr="002E1956" w:rsidRDefault="002E1956" w:rsidP="00AA4DFC">
      <w:pPr>
        <w:rPr>
          <w:color w:val="00B0F0"/>
          <w:sz w:val="24"/>
          <w:szCs w:val="24"/>
          <w:lang w:val="el-GR"/>
        </w:rPr>
      </w:pPr>
      <w:r w:rsidRPr="002E1956">
        <w:rPr>
          <w:color w:val="00B0F0"/>
          <w:sz w:val="24"/>
          <w:szCs w:val="24"/>
          <w:lang w:val="el-GR"/>
        </w:rPr>
        <w:t>ΔΔ ΟΗΕ</w:t>
      </w:r>
    </w:p>
    <w:p w14:paraId="238097C9" w14:textId="156DF641" w:rsidR="00D06084" w:rsidRDefault="009C03FD" w:rsidP="00AA4DFC">
      <w:pPr>
        <w:rPr>
          <w:sz w:val="24"/>
          <w:szCs w:val="24"/>
          <w:lang w:val="el-GR"/>
        </w:rPr>
      </w:pPr>
      <w:r w:rsidRPr="009C03FD">
        <w:rPr>
          <w:sz w:val="24"/>
          <w:szCs w:val="24"/>
          <w:lang w:val="el-GR"/>
        </w:rPr>
        <w:t xml:space="preserve">15 </w:t>
      </w:r>
      <w:r>
        <w:rPr>
          <w:sz w:val="24"/>
          <w:szCs w:val="24"/>
          <w:lang w:val="el-GR"/>
        </w:rPr>
        <w:t xml:space="preserve">Δικαστές (+ </w:t>
      </w:r>
      <w:r>
        <w:rPr>
          <w:sz w:val="24"/>
          <w:szCs w:val="24"/>
        </w:rPr>
        <w:t>ad</w:t>
      </w:r>
      <w:r w:rsidRPr="009C03FD">
        <w:rPr>
          <w:sz w:val="24"/>
          <w:szCs w:val="24"/>
          <w:lang w:val="el-GR"/>
        </w:rPr>
        <w:t xml:space="preserve"> </w:t>
      </w:r>
      <w:r>
        <w:rPr>
          <w:sz w:val="24"/>
          <w:szCs w:val="24"/>
        </w:rPr>
        <w:t>hoc</w:t>
      </w:r>
      <w:r w:rsidRPr="009C03FD">
        <w:rPr>
          <w:sz w:val="24"/>
          <w:szCs w:val="24"/>
          <w:lang w:val="el-GR"/>
        </w:rPr>
        <w:t xml:space="preserve"> </w:t>
      </w:r>
      <w:r>
        <w:rPr>
          <w:sz w:val="24"/>
          <w:szCs w:val="24"/>
          <w:lang w:val="el-GR"/>
        </w:rPr>
        <w:t>εάν ένα μέρος δεν έχει δικαστή της εθνικότητάς του στην έδρα)</w:t>
      </w:r>
    </w:p>
    <w:p w14:paraId="5B843DD0" w14:textId="79CB4C0B" w:rsidR="009C03FD" w:rsidRPr="007F3A47" w:rsidRDefault="007F3A47" w:rsidP="009C03FD">
      <w:pPr>
        <w:rPr>
          <w:color w:val="BF4E14" w:themeColor="accent2" w:themeShade="BF"/>
          <w:sz w:val="24"/>
          <w:szCs w:val="24"/>
          <w:lang w:val="el-GR"/>
        </w:rPr>
      </w:pPr>
      <w:r w:rsidRPr="007F3A47">
        <w:rPr>
          <w:color w:val="BF4E14" w:themeColor="accent2" w:themeShade="BF"/>
          <w:sz w:val="24"/>
          <w:szCs w:val="24"/>
          <w:lang w:val="el-GR"/>
        </w:rPr>
        <w:t>Προαιρετική Ρήτρα Υποχρεωτικής Αρμοδιότητας</w:t>
      </w:r>
      <w:r w:rsidR="009C03FD" w:rsidRPr="007F3A47">
        <w:rPr>
          <w:color w:val="BF4E14" w:themeColor="accent2" w:themeShade="BF"/>
          <w:sz w:val="24"/>
          <w:szCs w:val="24"/>
          <w:lang w:val="el-GR"/>
        </w:rPr>
        <w:t xml:space="preserve"> </w:t>
      </w:r>
      <w:r w:rsidRPr="007F3A47">
        <w:rPr>
          <w:color w:val="auto"/>
          <w:sz w:val="24"/>
          <w:szCs w:val="24"/>
          <w:lang w:val="el-GR"/>
        </w:rPr>
        <w:t>36(2) Καταστ. Δικαστηρίου ΟΗΕ</w:t>
      </w:r>
    </w:p>
    <w:p w14:paraId="11F9D1E7" w14:textId="2957CEC0" w:rsidR="009C03FD" w:rsidRPr="009C03FD" w:rsidRDefault="009C03FD" w:rsidP="009C03FD">
      <w:pPr>
        <w:rPr>
          <w:color w:val="002060"/>
          <w:sz w:val="24"/>
          <w:szCs w:val="24"/>
          <w:lang w:val="el-GR"/>
        </w:rPr>
      </w:pPr>
      <w:r w:rsidRPr="009C03FD">
        <w:rPr>
          <w:color w:val="002060"/>
          <w:sz w:val="24"/>
          <w:szCs w:val="24"/>
          <w:lang w:val="el-GR"/>
        </w:rPr>
        <w:t>Ελλάδα</w:t>
      </w:r>
    </w:p>
    <w:p w14:paraId="38F804D8" w14:textId="77777777" w:rsidR="009C03FD" w:rsidRPr="009C03FD" w:rsidRDefault="009C03FD" w:rsidP="009C03FD">
      <w:pPr>
        <w:rPr>
          <w:sz w:val="24"/>
          <w:szCs w:val="24"/>
        </w:rPr>
      </w:pPr>
      <w:r w:rsidRPr="009C03FD">
        <w:rPr>
          <w:sz w:val="24"/>
          <w:szCs w:val="24"/>
        </w:rPr>
        <w:t>Whereas the Government of the Hellenic Republic made a Declaration under paragraph 2 of Article 36 of the Statute of the International Court of Justice on the tenth day of January one thousand ninety four, in force for a period of five years and effective thereafter until such time as notice may be given to terminate that Declaration.</w:t>
      </w:r>
    </w:p>
    <w:p w14:paraId="1DDE9BFA" w14:textId="77777777" w:rsidR="009C03FD" w:rsidRPr="009C03FD" w:rsidRDefault="009C03FD" w:rsidP="009C03FD">
      <w:pPr>
        <w:rPr>
          <w:sz w:val="24"/>
          <w:szCs w:val="24"/>
        </w:rPr>
      </w:pPr>
      <w:r w:rsidRPr="009C03FD">
        <w:rPr>
          <w:sz w:val="24"/>
          <w:szCs w:val="24"/>
        </w:rPr>
        <w:t>The Government of the Hellenic Republic having considered the said Declaration, hereby gives notice effective immediately of the withdrawal of that Declaration and replaces the same with the following Declaration:</w:t>
      </w:r>
    </w:p>
    <w:p w14:paraId="00128091" w14:textId="77777777" w:rsidR="009C03FD" w:rsidRPr="009C03FD" w:rsidRDefault="009C03FD" w:rsidP="009C03FD">
      <w:pPr>
        <w:rPr>
          <w:sz w:val="24"/>
          <w:szCs w:val="24"/>
        </w:rPr>
      </w:pPr>
      <w:r w:rsidRPr="009C03FD">
        <w:rPr>
          <w:sz w:val="24"/>
          <w:szCs w:val="24"/>
        </w:rPr>
        <w:t>I have the honour to declare, on behalf of the Government of the Hellenic Republic, that I recognize as compulsory ipso facto and without special agreement, in relation to any other State accepting the same obligation, that is on condition of reciprocity, the jurisdiction of the International Court of Justice with respect to all legal disputes referred to in Article 36, paragraph 2, of the Statute of the Court, with the exception of:</w:t>
      </w:r>
    </w:p>
    <w:p w14:paraId="60DAFDBC" w14:textId="77777777" w:rsidR="009C03FD" w:rsidRPr="009C03FD" w:rsidRDefault="009C03FD" w:rsidP="009C03FD">
      <w:pPr>
        <w:rPr>
          <w:sz w:val="24"/>
          <w:szCs w:val="24"/>
        </w:rPr>
      </w:pPr>
      <w:r w:rsidRPr="009C03FD">
        <w:rPr>
          <w:sz w:val="24"/>
          <w:szCs w:val="24"/>
        </w:rPr>
        <w:t>a) any dispute relating to military activities and measures taken by the Hellenic Republic for the protection of its sovereignty and territorial integrity, for national defense purposes, as well as for the protection of its national security;</w:t>
      </w:r>
    </w:p>
    <w:p w14:paraId="4C4504F1" w14:textId="77777777" w:rsidR="009C03FD" w:rsidRPr="009C03FD" w:rsidRDefault="009C03FD" w:rsidP="009C03FD">
      <w:pPr>
        <w:rPr>
          <w:sz w:val="24"/>
          <w:szCs w:val="24"/>
        </w:rPr>
      </w:pPr>
      <w:r w:rsidRPr="009C03FD">
        <w:rPr>
          <w:sz w:val="24"/>
          <w:szCs w:val="24"/>
        </w:rPr>
        <w:lastRenderedPageBreak/>
        <w:t>b) any dispute concerning State boundaries or sovereignty over the territory of the Hellenic Republic, including any dispute over the breadth and limits of its territorial sea and its airspace;</w:t>
      </w:r>
    </w:p>
    <w:p w14:paraId="0EDB6B65" w14:textId="77777777" w:rsidR="009C03FD" w:rsidRPr="009C03FD" w:rsidRDefault="009C03FD" w:rsidP="009C03FD">
      <w:pPr>
        <w:rPr>
          <w:sz w:val="24"/>
          <w:szCs w:val="24"/>
        </w:rPr>
      </w:pPr>
      <w:r w:rsidRPr="009C03FD">
        <w:rPr>
          <w:sz w:val="24"/>
          <w:szCs w:val="24"/>
        </w:rPr>
        <w:t>c) any dispute in respect of which any other party to the dispute has accepted the compulsory jurisdiction of the Court only in relation to or for the purpose of that dispute; or where the acceptance of the Court's compulsory jurisdiction on behalf of any other party to the dispute was deposited or ratified less than twelve months prior to the filing of the application bringing the dispute before the Court.</w:t>
      </w:r>
    </w:p>
    <w:p w14:paraId="12B3AD01" w14:textId="77777777" w:rsidR="009C03FD" w:rsidRPr="009C03FD" w:rsidRDefault="009C03FD" w:rsidP="009C03FD">
      <w:pPr>
        <w:rPr>
          <w:sz w:val="24"/>
          <w:szCs w:val="24"/>
        </w:rPr>
      </w:pPr>
      <w:r w:rsidRPr="009C03FD">
        <w:rPr>
          <w:sz w:val="24"/>
          <w:szCs w:val="24"/>
        </w:rPr>
        <w:t>The Government of the Hellenic Republic may however submit before the Court any dispute, which is hereby exempted, through the negotiation of a special agreement (compromis).</w:t>
      </w:r>
    </w:p>
    <w:p w14:paraId="1200B265" w14:textId="77777777" w:rsidR="009C03FD" w:rsidRPr="009C03FD" w:rsidRDefault="009C03FD" w:rsidP="009C03FD">
      <w:pPr>
        <w:rPr>
          <w:sz w:val="24"/>
          <w:szCs w:val="24"/>
        </w:rPr>
      </w:pPr>
      <w:r w:rsidRPr="009C03FD">
        <w:rPr>
          <w:sz w:val="24"/>
          <w:szCs w:val="24"/>
        </w:rPr>
        <w:t>The Government of the Hellenic Republic further reserves the right at any time, by means of a notification addressed to the Secretary-General of the United Nations, and with effect as from the moment of such notification, to add to, amend or withdraw this Declaration.</w:t>
      </w:r>
    </w:p>
    <w:p w14:paraId="20730415" w14:textId="2CFAE3FD" w:rsidR="009C03FD" w:rsidRPr="009C03FD" w:rsidRDefault="009C03FD" w:rsidP="009C03FD">
      <w:pPr>
        <w:rPr>
          <w:color w:val="BF4E14" w:themeColor="accent2" w:themeShade="BF"/>
          <w:sz w:val="24"/>
          <w:szCs w:val="24"/>
        </w:rPr>
      </w:pPr>
      <w:r w:rsidRPr="009C03FD">
        <w:rPr>
          <w:color w:val="BF4E14" w:themeColor="accent2" w:themeShade="BF"/>
          <w:sz w:val="24"/>
          <w:szCs w:val="24"/>
        </w:rPr>
        <w:t>Compromis</w:t>
      </w:r>
    </w:p>
    <w:p w14:paraId="6A3CEAA8" w14:textId="63C3B453" w:rsidR="009C03FD" w:rsidRPr="009C03FD" w:rsidRDefault="009C03FD" w:rsidP="009C03FD">
      <w:pPr>
        <w:rPr>
          <w:color w:val="BF4E14" w:themeColor="accent2" w:themeShade="BF"/>
          <w:sz w:val="24"/>
          <w:szCs w:val="24"/>
        </w:rPr>
      </w:pPr>
      <w:r w:rsidRPr="009C03FD">
        <w:rPr>
          <w:color w:val="BF4E14" w:themeColor="accent2" w:themeShade="BF"/>
          <w:sz w:val="24"/>
          <w:szCs w:val="24"/>
        </w:rPr>
        <w:t>DSP Provision in a Treaty</w:t>
      </w:r>
    </w:p>
    <w:p w14:paraId="55CC8102" w14:textId="065A3131" w:rsidR="009C03FD" w:rsidRPr="009C03FD" w:rsidRDefault="009C03FD" w:rsidP="009C03FD">
      <w:pPr>
        <w:rPr>
          <w:color w:val="BF4E14" w:themeColor="accent2" w:themeShade="BF"/>
          <w:sz w:val="24"/>
          <w:szCs w:val="24"/>
        </w:rPr>
      </w:pPr>
      <w:r w:rsidRPr="009C03FD">
        <w:rPr>
          <w:color w:val="BF4E14" w:themeColor="accent2" w:themeShade="BF"/>
          <w:sz w:val="24"/>
          <w:szCs w:val="24"/>
        </w:rPr>
        <w:t>Forum Prorogatum</w:t>
      </w:r>
      <w:r>
        <w:rPr>
          <w:color w:val="BF4E14" w:themeColor="accent2" w:themeShade="BF"/>
          <w:sz w:val="24"/>
          <w:szCs w:val="24"/>
        </w:rPr>
        <w:t xml:space="preserve"> (</w:t>
      </w:r>
      <w:r w:rsidRPr="009C03FD">
        <w:rPr>
          <w:color w:val="BF4E14" w:themeColor="accent2" w:themeShade="BF"/>
          <w:sz w:val="24"/>
          <w:szCs w:val="24"/>
        </w:rPr>
        <w:t>Yaël Ronen</w:t>
      </w:r>
      <w:r>
        <w:rPr>
          <w:color w:val="BF4E14" w:themeColor="accent2" w:themeShade="BF"/>
          <w:sz w:val="24"/>
          <w:szCs w:val="24"/>
        </w:rPr>
        <w:t xml:space="preserve"> MPEPIL)</w:t>
      </w:r>
    </w:p>
    <w:p w14:paraId="6A32FE4C" w14:textId="439CFFF2" w:rsidR="009C03FD" w:rsidRDefault="009C03FD" w:rsidP="009C03FD">
      <w:pPr>
        <w:rPr>
          <w:sz w:val="24"/>
          <w:szCs w:val="24"/>
        </w:rPr>
      </w:pPr>
      <w:r w:rsidRPr="009C03FD">
        <w:rPr>
          <w:sz w:val="24"/>
          <w:szCs w:val="24"/>
        </w:rPr>
        <w:t>In its original form, prorogation only enabled the extension of court jurisdiction </w:t>
      </w:r>
      <w:r w:rsidRPr="009C03FD">
        <w:rPr>
          <w:i/>
          <w:iCs/>
          <w:sz w:val="24"/>
          <w:szCs w:val="24"/>
        </w:rPr>
        <w:t>ratione materiae</w:t>
      </w:r>
      <w:r w:rsidRPr="009C03FD">
        <w:rPr>
          <w:sz w:val="24"/>
          <w:szCs w:val="24"/>
        </w:rPr>
        <w:t> where such jurisdiction had already established both </w:t>
      </w:r>
      <w:r w:rsidRPr="009C03FD">
        <w:rPr>
          <w:i/>
          <w:iCs/>
          <w:sz w:val="24"/>
          <w:szCs w:val="24"/>
        </w:rPr>
        <w:t>ratione personae</w:t>
      </w:r>
      <w:r w:rsidRPr="009C03FD">
        <w:rPr>
          <w:sz w:val="24"/>
          <w:szCs w:val="24"/>
        </w:rPr>
        <w:t> and </w:t>
      </w:r>
      <w:r w:rsidRPr="009C03FD">
        <w:rPr>
          <w:i/>
          <w:iCs/>
          <w:sz w:val="24"/>
          <w:szCs w:val="24"/>
        </w:rPr>
        <w:t>ratione materiae</w:t>
      </w:r>
      <w:r w:rsidRPr="009C03FD">
        <w:rPr>
          <w:sz w:val="24"/>
          <w:szCs w:val="24"/>
        </w:rPr>
        <w:t>, to issues that were originally not covered. Under the jurisprudence of the </w:t>
      </w:r>
      <w:hyperlink r:id="rId8" w:tooltip="Permanent Court of International Justice (PCIJ)" w:history="1">
        <w:r w:rsidRPr="009C03FD">
          <w:rPr>
            <w:rStyle w:val="Hyperlink"/>
            <w:i/>
            <w:iCs/>
            <w:sz w:val="24"/>
            <w:szCs w:val="24"/>
          </w:rPr>
          <w:t xml:space="preserve">Permanent </w:t>
        </w:r>
        <w:r w:rsidRPr="009C03FD">
          <w:rPr>
            <w:rStyle w:val="Hyperlink"/>
            <w:i/>
            <w:iCs/>
            <w:sz w:val="24"/>
            <w:szCs w:val="24"/>
          </w:rPr>
          <w:t>Court of International Justice (PCIJ)</w:t>
        </w:r>
      </w:hyperlink>
      <w:r w:rsidRPr="009C03FD">
        <w:rPr>
          <w:sz w:val="24"/>
          <w:szCs w:val="24"/>
        </w:rPr>
        <w:t> and the </w:t>
      </w:r>
      <w:hyperlink r:id="rId9" w:tooltip="International Court of Justice (ICJ)" w:history="1">
        <w:r w:rsidRPr="009C03FD">
          <w:rPr>
            <w:rStyle w:val="Hyperlink"/>
            <w:i/>
            <w:iCs/>
            <w:sz w:val="24"/>
            <w:szCs w:val="24"/>
          </w:rPr>
          <w:t>International Court of Justice (ICJ)</w:t>
        </w:r>
      </w:hyperlink>
      <w:r w:rsidRPr="009C03FD">
        <w:rPr>
          <w:sz w:val="24"/>
          <w:szCs w:val="24"/>
        </w:rPr>
        <w:t>, </w:t>
      </w:r>
      <w:r w:rsidRPr="009C03FD">
        <w:rPr>
          <w:i/>
          <w:iCs/>
          <w:sz w:val="24"/>
          <w:szCs w:val="24"/>
        </w:rPr>
        <w:t>forum prorogatum</w:t>
      </w:r>
      <w:r w:rsidRPr="009C03FD">
        <w:rPr>
          <w:sz w:val="24"/>
          <w:szCs w:val="24"/>
        </w:rPr>
        <w:t> was expanded to provide the basis for jurisdiction not only </w:t>
      </w:r>
      <w:r w:rsidRPr="009C03FD">
        <w:rPr>
          <w:i/>
          <w:iCs/>
          <w:sz w:val="24"/>
          <w:szCs w:val="24"/>
        </w:rPr>
        <w:t>ratione materiae</w:t>
      </w:r>
      <w:r w:rsidRPr="009C03FD">
        <w:rPr>
          <w:sz w:val="24"/>
          <w:szCs w:val="24"/>
        </w:rPr>
        <w:t> but also </w:t>
      </w:r>
      <w:r w:rsidRPr="009C03FD">
        <w:rPr>
          <w:i/>
          <w:iCs/>
          <w:sz w:val="24"/>
          <w:szCs w:val="24"/>
        </w:rPr>
        <w:t>ratione personae</w:t>
      </w:r>
      <w:r w:rsidRPr="009C03FD">
        <w:rPr>
          <w:sz w:val="24"/>
          <w:szCs w:val="24"/>
        </w:rPr>
        <w:t>. Another modification that the concept has undergone in the migration from domestic systems to the international is that in addition to allowing a choice among tribunals in a system where jurisdiction is fundamentally mandatory and only needs to be located, it enables the creation of jurisdiction where it did not exist</w:t>
      </w:r>
      <w:r>
        <w:rPr>
          <w:sz w:val="24"/>
          <w:szCs w:val="24"/>
        </w:rPr>
        <w:t xml:space="preserve"> </w:t>
      </w:r>
      <w:r w:rsidRPr="009C03FD">
        <w:rPr>
          <w:sz w:val="24"/>
          <w:szCs w:val="24"/>
        </w:rPr>
        <w:t>previously. </w:t>
      </w:r>
      <w:r w:rsidRPr="009C03FD">
        <w:rPr>
          <w:i/>
          <w:iCs/>
          <w:sz w:val="24"/>
          <w:szCs w:val="24"/>
        </w:rPr>
        <w:t>Forum prorogatum</w:t>
      </w:r>
      <w:r w:rsidRPr="009C03FD">
        <w:rPr>
          <w:sz w:val="24"/>
          <w:szCs w:val="24"/>
        </w:rPr>
        <w:t> appears to have been first coined as a term of international law in the mid-1930s, when the PCIJ deliberated the revision of its </w:t>
      </w:r>
      <w:hyperlink r:id="rId10" w:tooltip="Permanent Court of International Justice Rules of Court (1922-1936) (Permanent Court of International Justice (historical) [PCIJ]) PCIJ Series D No 1" w:history="1">
        <w:r w:rsidRPr="009C03FD">
          <w:rPr>
            <w:rStyle w:val="Hyperlink"/>
            <w:sz w:val="24"/>
            <w:szCs w:val="24"/>
          </w:rPr>
          <w:t>Rules of Court</w:t>
        </w:r>
      </w:hyperlink>
      <w:r w:rsidRPr="009C03FD">
        <w:rPr>
          <w:sz w:val="24"/>
          <w:szCs w:val="24"/>
        </w:rPr>
        <w:t>.</w:t>
      </w:r>
    </w:p>
    <w:p w14:paraId="04105239" w14:textId="44245422" w:rsidR="009C03FD" w:rsidRDefault="00863C9A" w:rsidP="009C03FD">
      <w:pPr>
        <w:rPr>
          <w:sz w:val="24"/>
          <w:szCs w:val="24"/>
        </w:rPr>
      </w:pPr>
      <w:r w:rsidRPr="00863C9A">
        <w:rPr>
          <w:sz w:val="24"/>
          <w:szCs w:val="24"/>
        </w:rPr>
        <w:t>The leading case in this regard, although not the first, was the Minority Schools, Germany v Poland, case (1928, 20–25). Poland’s counter-memorial only addressed the merits of the application. When at a later stage Poland objected to the Court’s jurisdiction, the Court held that Poland had implicitly accepted jurisdiction through its conduct. It stated that once given, consent cannot be rescinded unilaterally (German Minorities in Poland, Cases Concerning the). Similarly, in Haya de la Torre, Columbia v Peru, 1951, the ICJ interpreted the submission of arguments on the merits, without objection to jurisdiction, as implicit consent to its jurisdiction</w:t>
      </w:r>
      <w:r>
        <w:rPr>
          <w:sz w:val="24"/>
          <w:szCs w:val="24"/>
        </w:rPr>
        <w:t>.</w:t>
      </w:r>
    </w:p>
    <w:p w14:paraId="4E3EF42F" w14:textId="5B4C053F" w:rsidR="00863C9A" w:rsidRPr="00863C9A" w:rsidRDefault="00863C9A" w:rsidP="009C03FD">
      <w:pPr>
        <w:rPr>
          <w:color w:val="BF4E14" w:themeColor="accent2" w:themeShade="BF"/>
          <w:sz w:val="24"/>
          <w:szCs w:val="24"/>
          <w:lang w:val="el-GR"/>
        </w:rPr>
      </w:pPr>
      <w:r w:rsidRPr="00863C9A">
        <w:rPr>
          <w:color w:val="BF4E14" w:themeColor="accent2" w:themeShade="BF"/>
          <w:sz w:val="24"/>
          <w:szCs w:val="24"/>
          <w:lang w:val="el-GR"/>
        </w:rPr>
        <w:t>Τι είναι διαφορά;</w:t>
      </w:r>
    </w:p>
    <w:p w14:paraId="4D5BE0B0" w14:textId="60102A46" w:rsidR="00863C9A" w:rsidRDefault="00863C9A" w:rsidP="009C03FD">
      <w:pPr>
        <w:rPr>
          <w:sz w:val="24"/>
          <w:szCs w:val="24"/>
        </w:rPr>
      </w:pPr>
      <w:r>
        <w:rPr>
          <w:sz w:val="24"/>
          <w:szCs w:val="24"/>
          <w:lang w:val="el-GR"/>
        </w:rPr>
        <w:t>Διαφωνία ως προς το νόμο ή τα πραγματικά περιστατικά μεταξύ δύο κρατών</w:t>
      </w:r>
    </w:p>
    <w:p w14:paraId="6F42501C" w14:textId="0CEE9011" w:rsidR="00863C9A" w:rsidRPr="00863C9A" w:rsidRDefault="00863C9A" w:rsidP="00863C9A">
      <w:pPr>
        <w:kinsoku w:val="0"/>
        <w:overflowPunct w:val="0"/>
        <w:autoSpaceDE w:val="0"/>
        <w:autoSpaceDN w:val="0"/>
        <w:adjustRightInd w:val="0"/>
        <w:spacing w:before="10" w:after="0" w:line="235" w:lineRule="auto"/>
        <w:ind w:right="951" w:firstLine="40"/>
        <w:rPr>
          <w:color w:val="231F20"/>
          <w:w w:val="110"/>
          <w:kern w:val="0"/>
          <w:sz w:val="19"/>
          <w:szCs w:val="19"/>
        </w:rPr>
      </w:pPr>
      <w:r>
        <w:rPr>
          <w:color w:val="231F20"/>
          <w:w w:val="110"/>
          <w:kern w:val="0"/>
          <w:sz w:val="19"/>
          <w:szCs w:val="19"/>
        </w:rPr>
        <w:lastRenderedPageBreak/>
        <w:t>[The Court]</w:t>
      </w:r>
      <w:r w:rsidRPr="00863C9A">
        <w:rPr>
          <w:color w:val="231F20"/>
          <w:w w:val="110"/>
          <w:kern w:val="0"/>
          <w:sz w:val="19"/>
          <w:szCs w:val="19"/>
        </w:rPr>
        <w:t xml:space="preserve"> cannot require that the dispute should have manifested itsel</w:t>
      </w:r>
      <w:r>
        <w:rPr>
          <w:color w:val="231F20"/>
          <w:w w:val="110"/>
          <w:kern w:val="0"/>
          <w:sz w:val="19"/>
          <w:szCs w:val="19"/>
        </w:rPr>
        <w:t>f in a f</w:t>
      </w:r>
      <w:r w:rsidRPr="00863C9A">
        <w:rPr>
          <w:color w:val="231F20"/>
          <w:w w:val="110"/>
          <w:kern w:val="0"/>
          <w:sz w:val="19"/>
          <w:szCs w:val="19"/>
        </w:rPr>
        <w:t xml:space="preserve">ormal way; according to the Court’s view, it should be suﬃcient </w:t>
      </w:r>
      <w:r w:rsidRPr="00863C9A">
        <w:rPr>
          <w:color w:val="231F20"/>
          <w:w w:val="105"/>
          <w:kern w:val="0"/>
          <w:sz w:val="19"/>
          <w:szCs w:val="19"/>
        </w:rPr>
        <w:t>if</w:t>
      </w:r>
      <w:r w:rsidRPr="00863C9A">
        <w:rPr>
          <w:color w:val="231F20"/>
          <w:spacing w:val="49"/>
          <w:w w:val="105"/>
          <w:kern w:val="0"/>
          <w:sz w:val="19"/>
          <w:szCs w:val="19"/>
        </w:rPr>
        <w:t xml:space="preserve"> </w:t>
      </w:r>
      <w:r w:rsidRPr="00863C9A">
        <w:rPr>
          <w:color w:val="231F20"/>
          <w:w w:val="105"/>
          <w:kern w:val="0"/>
          <w:sz w:val="19"/>
          <w:szCs w:val="19"/>
        </w:rPr>
        <w:t>the</w:t>
      </w:r>
      <w:r w:rsidRPr="00863C9A">
        <w:rPr>
          <w:color w:val="231F20"/>
          <w:spacing w:val="49"/>
          <w:w w:val="105"/>
          <w:kern w:val="0"/>
          <w:sz w:val="19"/>
          <w:szCs w:val="19"/>
        </w:rPr>
        <w:t xml:space="preserve"> </w:t>
      </w:r>
      <w:r w:rsidRPr="00863C9A">
        <w:rPr>
          <w:color w:val="231F20"/>
          <w:w w:val="105"/>
          <w:kern w:val="0"/>
          <w:sz w:val="19"/>
          <w:szCs w:val="19"/>
        </w:rPr>
        <w:t>two</w:t>
      </w:r>
      <w:r w:rsidRPr="00863C9A">
        <w:rPr>
          <w:color w:val="231F20"/>
          <w:spacing w:val="49"/>
          <w:w w:val="105"/>
          <w:kern w:val="0"/>
          <w:sz w:val="19"/>
          <w:szCs w:val="19"/>
        </w:rPr>
        <w:t xml:space="preserve"> </w:t>
      </w:r>
      <w:r w:rsidRPr="00863C9A">
        <w:rPr>
          <w:color w:val="231F20"/>
          <w:w w:val="105"/>
          <w:kern w:val="0"/>
          <w:sz w:val="19"/>
          <w:szCs w:val="19"/>
        </w:rPr>
        <w:t>Governments</w:t>
      </w:r>
      <w:r w:rsidRPr="00863C9A">
        <w:rPr>
          <w:color w:val="231F20"/>
          <w:spacing w:val="49"/>
          <w:w w:val="105"/>
          <w:kern w:val="0"/>
          <w:sz w:val="19"/>
          <w:szCs w:val="19"/>
        </w:rPr>
        <w:t xml:space="preserve"> </w:t>
      </w:r>
      <w:r w:rsidRPr="00863C9A">
        <w:rPr>
          <w:color w:val="231F20"/>
          <w:w w:val="105"/>
          <w:kern w:val="0"/>
          <w:sz w:val="19"/>
          <w:szCs w:val="19"/>
        </w:rPr>
        <w:t>have</w:t>
      </w:r>
      <w:r w:rsidRPr="00863C9A">
        <w:rPr>
          <w:color w:val="231F20"/>
          <w:spacing w:val="49"/>
          <w:w w:val="105"/>
          <w:kern w:val="0"/>
          <w:sz w:val="19"/>
          <w:szCs w:val="19"/>
        </w:rPr>
        <w:t xml:space="preserve"> </w:t>
      </w:r>
      <w:r w:rsidRPr="00863C9A">
        <w:rPr>
          <w:color w:val="231F20"/>
          <w:w w:val="105"/>
          <w:kern w:val="0"/>
          <w:sz w:val="19"/>
          <w:szCs w:val="19"/>
        </w:rPr>
        <w:t>in</w:t>
      </w:r>
      <w:r w:rsidRPr="00863C9A">
        <w:rPr>
          <w:color w:val="231F20"/>
          <w:spacing w:val="49"/>
          <w:w w:val="105"/>
          <w:kern w:val="0"/>
          <w:sz w:val="19"/>
          <w:szCs w:val="19"/>
        </w:rPr>
        <w:t xml:space="preserve"> </w:t>
      </w:r>
      <w:r w:rsidRPr="00863C9A">
        <w:rPr>
          <w:color w:val="231F20"/>
          <w:w w:val="105"/>
          <w:kern w:val="0"/>
          <w:sz w:val="19"/>
          <w:szCs w:val="19"/>
        </w:rPr>
        <w:t>fact</w:t>
      </w:r>
      <w:r w:rsidRPr="00863C9A">
        <w:rPr>
          <w:color w:val="231F20"/>
          <w:spacing w:val="49"/>
          <w:w w:val="105"/>
          <w:kern w:val="0"/>
          <w:sz w:val="19"/>
          <w:szCs w:val="19"/>
        </w:rPr>
        <w:t xml:space="preserve"> </w:t>
      </w:r>
      <w:r w:rsidRPr="00863C9A">
        <w:rPr>
          <w:color w:val="231F20"/>
          <w:w w:val="105"/>
          <w:kern w:val="0"/>
          <w:sz w:val="19"/>
          <w:szCs w:val="19"/>
        </w:rPr>
        <w:t>shown</w:t>
      </w:r>
      <w:r w:rsidRPr="00863C9A">
        <w:rPr>
          <w:color w:val="231F20"/>
          <w:spacing w:val="49"/>
          <w:w w:val="105"/>
          <w:kern w:val="0"/>
          <w:sz w:val="19"/>
          <w:szCs w:val="19"/>
        </w:rPr>
        <w:t xml:space="preserve"> </w:t>
      </w:r>
      <w:r w:rsidRPr="00863C9A">
        <w:rPr>
          <w:color w:val="231F20"/>
          <w:w w:val="105"/>
          <w:kern w:val="0"/>
          <w:sz w:val="19"/>
          <w:szCs w:val="19"/>
        </w:rPr>
        <w:t>themselves</w:t>
      </w:r>
      <w:r w:rsidRPr="00863C9A">
        <w:rPr>
          <w:color w:val="231F20"/>
          <w:spacing w:val="49"/>
          <w:w w:val="105"/>
          <w:kern w:val="0"/>
          <w:sz w:val="19"/>
          <w:szCs w:val="19"/>
        </w:rPr>
        <w:t xml:space="preserve"> </w:t>
      </w:r>
      <w:r w:rsidRPr="00863C9A">
        <w:rPr>
          <w:color w:val="231F20"/>
          <w:w w:val="105"/>
          <w:kern w:val="0"/>
          <w:sz w:val="19"/>
          <w:szCs w:val="19"/>
        </w:rPr>
        <w:t>as</w:t>
      </w:r>
      <w:r w:rsidRPr="00863C9A">
        <w:rPr>
          <w:color w:val="231F20"/>
          <w:spacing w:val="49"/>
          <w:w w:val="105"/>
          <w:kern w:val="0"/>
          <w:sz w:val="19"/>
          <w:szCs w:val="19"/>
        </w:rPr>
        <w:t xml:space="preserve"> </w:t>
      </w:r>
      <w:r w:rsidRPr="00863C9A">
        <w:rPr>
          <w:color w:val="231F20"/>
          <w:w w:val="105"/>
          <w:kern w:val="0"/>
          <w:sz w:val="19"/>
          <w:szCs w:val="19"/>
        </w:rPr>
        <w:t>holding</w:t>
      </w:r>
      <w:r w:rsidRPr="00863C9A">
        <w:rPr>
          <w:color w:val="231F20"/>
          <w:spacing w:val="14"/>
          <w:w w:val="105"/>
          <w:kern w:val="0"/>
          <w:sz w:val="19"/>
          <w:szCs w:val="19"/>
        </w:rPr>
        <w:t xml:space="preserve"> </w:t>
      </w:r>
      <w:r w:rsidRPr="00863C9A">
        <w:rPr>
          <w:color w:val="231F20"/>
          <w:w w:val="105"/>
          <w:kern w:val="0"/>
          <w:sz w:val="19"/>
          <w:szCs w:val="19"/>
        </w:rPr>
        <w:t>opposite</w:t>
      </w:r>
      <w:r w:rsidRPr="00863C9A">
        <w:rPr>
          <w:color w:val="231F20"/>
          <w:spacing w:val="37"/>
          <w:w w:val="105"/>
          <w:kern w:val="0"/>
          <w:sz w:val="19"/>
          <w:szCs w:val="19"/>
        </w:rPr>
        <w:t xml:space="preserve"> </w:t>
      </w:r>
      <w:r w:rsidRPr="00863C9A">
        <w:rPr>
          <w:color w:val="231F20"/>
          <w:w w:val="105"/>
          <w:kern w:val="0"/>
          <w:sz w:val="19"/>
          <w:szCs w:val="19"/>
        </w:rPr>
        <w:t>views</w:t>
      </w:r>
      <w:r w:rsidRPr="00863C9A">
        <w:rPr>
          <w:color w:val="231F20"/>
          <w:spacing w:val="37"/>
          <w:w w:val="105"/>
          <w:kern w:val="0"/>
          <w:sz w:val="19"/>
          <w:szCs w:val="19"/>
        </w:rPr>
        <w:t xml:space="preserve"> </w:t>
      </w:r>
      <w:r w:rsidRPr="00863C9A">
        <w:rPr>
          <w:color w:val="231F20"/>
          <w:w w:val="105"/>
          <w:kern w:val="0"/>
          <w:sz w:val="19"/>
          <w:szCs w:val="19"/>
        </w:rPr>
        <w:t>in</w:t>
      </w:r>
      <w:r w:rsidRPr="00863C9A">
        <w:rPr>
          <w:color w:val="231F20"/>
          <w:spacing w:val="37"/>
          <w:w w:val="105"/>
          <w:kern w:val="0"/>
          <w:sz w:val="19"/>
          <w:szCs w:val="19"/>
        </w:rPr>
        <w:t xml:space="preserve"> </w:t>
      </w:r>
      <w:r w:rsidRPr="00863C9A">
        <w:rPr>
          <w:color w:val="231F20"/>
          <w:w w:val="105"/>
          <w:kern w:val="0"/>
          <w:sz w:val="19"/>
          <w:szCs w:val="19"/>
        </w:rPr>
        <w:t>regard</w:t>
      </w:r>
      <w:r w:rsidRPr="00863C9A">
        <w:rPr>
          <w:color w:val="231F20"/>
          <w:spacing w:val="37"/>
          <w:w w:val="105"/>
          <w:kern w:val="0"/>
          <w:sz w:val="19"/>
          <w:szCs w:val="19"/>
        </w:rPr>
        <w:t xml:space="preserve"> </w:t>
      </w:r>
      <w:r w:rsidRPr="00863C9A">
        <w:rPr>
          <w:color w:val="231F20"/>
          <w:w w:val="105"/>
          <w:kern w:val="0"/>
          <w:sz w:val="19"/>
          <w:szCs w:val="19"/>
        </w:rPr>
        <w:t>to</w:t>
      </w:r>
      <w:r w:rsidRPr="00863C9A">
        <w:rPr>
          <w:color w:val="231F20"/>
          <w:spacing w:val="37"/>
          <w:w w:val="105"/>
          <w:kern w:val="0"/>
          <w:sz w:val="19"/>
          <w:szCs w:val="19"/>
        </w:rPr>
        <w:t xml:space="preserve"> </w:t>
      </w:r>
      <w:r w:rsidRPr="00863C9A">
        <w:rPr>
          <w:color w:val="231F20"/>
          <w:w w:val="105"/>
          <w:kern w:val="0"/>
          <w:sz w:val="19"/>
          <w:szCs w:val="19"/>
        </w:rPr>
        <w:t>the</w:t>
      </w:r>
      <w:r w:rsidRPr="00863C9A">
        <w:rPr>
          <w:color w:val="231F20"/>
          <w:spacing w:val="37"/>
          <w:w w:val="105"/>
          <w:kern w:val="0"/>
          <w:sz w:val="19"/>
          <w:szCs w:val="19"/>
        </w:rPr>
        <w:t xml:space="preserve"> </w:t>
      </w:r>
      <w:r w:rsidRPr="00863C9A">
        <w:rPr>
          <w:color w:val="231F20"/>
          <w:w w:val="105"/>
          <w:kern w:val="0"/>
          <w:sz w:val="19"/>
          <w:szCs w:val="19"/>
        </w:rPr>
        <w:t>meaning</w:t>
      </w:r>
      <w:r w:rsidRPr="00863C9A">
        <w:rPr>
          <w:color w:val="231F20"/>
          <w:spacing w:val="37"/>
          <w:w w:val="105"/>
          <w:kern w:val="0"/>
          <w:sz w:val="19"/>
          <w:szCs w:val="19"/>
        </w:rPr>
        <w:t xml:space="preserve"> </w:t>
      </w:r>
      <w:r w:rsidRPr="00863C9A">
        <w:rPr>
          <w:color w:val="231F20"/>
          <w:w w:val="105"/>
          <w:kern w:val="0"/>
          <w:sz w:val="19"/>
          <w:szCs w:val="19"/>
        </w:rPr>
        <w:t>or</w:t>
      </w:r>
      <w:r w:rsidRPr="00863C9A">
        <w:rPr>
          <w:color w:val="231F20"/>
          <w:spacing w:val="37"/>
          <w:w w:val="105"/>
          <w:kern w:val="0"/>
          <w:sz w:val="19"/>
          <w:szCs w:val="19"/>
        </w:rPr>
        <w:t xml:space="preserve"> </w:t>
      </w:r>
      <w:r w:rsidRPr="00863C9A">
        <w:rPr>
          <w:color w:val="231F20"/>
          <w:w w:val="105"/>
          <w:kern w:val="0"/>
          <w:sz w:val="19"/>
          <w:szCs w:val="19"/>
        </w:rPr>
        <w:t>scope</w:t>
      </w:r>
      <w:r w:rsidRPr="00863C9A">
        <w:rPr>
          <w:color w:val="231F20"/>
          <w:spacing w:val="37"/>
          <w:w w:val="105"/>
          <w:kern w:val="0"/>
          <w:sz w:val="19"/>
          <w:szCs w:val="19"/>
        </w:rPr>
        <w:t xml:space="preserve"> </w:t>
      </w:r>
      <w:r w:rsidRPr="00863C9A">
        <w:rPr>
          <w:color w:val="231F20"/>
          <w:w w:val="105"/>
          <w:kern w:val="0"/>
          <w:sz w:val="19"/>
          <w:szCs w:val="19"/>
        </w:rPr>
        <w:t>of</w:t>
      </w:r>
      <w:r w:rsidRPr="00863C9A">
        <w:rPr>
          <w:color w:val="231F20"/>
          <w:spacing w:val="37"/>
          <w:w w:val="105"/>
          <w:kern w:val="0"/>
          <w:sz w:val="19"/>
          <w:szCs w:val="19"/>
        </w:rPr>
        <w:t xml:space="preserve"> </w:t>
      </w:r>
      <w:r w:rsidRPr="00863C9A">
        <w:rPr>
          <w:color w:val="231F20"/>
          <w:w w:val="105"/>
          <w:kern w:val="0"/>
          <w:sz w:val="19"/>
          <w:szCs w:val="19"/>
        </w:rPr>
        <w:t>a</w:t>
      </w:r>
      <w:r w:rsidRPr="00863C9A">
        <w:rPr>
          <w:color w:val="231F20"/>
          <w:spacing w:val="37"/>
          <w:w w:val="105"/>
          <w:kern w:val="0"/>
          <w:sz w:val="19"/>
          <w:szCs w:val="19"/>
        </w:rPr>
        <w:t xml:space="preserve"> </w:t>
      </w:r>
      <w:r w:rsidRPr="00863C9A">
        <w:rPr>
          <w:color w:val="231F20"/>
          <w:w w:val="105"/>
          <w:kern w:val="0"/>
          <w:sz w:val="19"/>
          <w:szCs w:val="19"/>
        </w:rPr>
        <w:t>judgment</w:t>
      </w:r>
      <w:r w:rsidRPr="00863C9A">
        <w:rPr>
          <w:color w:val="231F20"/>
          <w:spacing w:val="37"/>
          <w:w w:val="105"/>
          <w:kern w:val="0"/>
          <w:sz w:val="19"/>
          <w:szCs w:val="19"/>
        </w:rPr>
        <w:t xml:space="preserve"> </w:t>
      </w:r>
      <w:r w:rsidRPr="00863C9A">
        <w:rPr>
          <w:color w:val="231F20"/>
          <w:w w:val="105"/>
          <w:kern w:val="0"/>
          <w:sz w:val="19"/>
          <w:szCs w:val="19"/>
        </w:rPr>
        <w:t>of</w:t>
      </w:r>
      <w:r w:rsidRPr="00863C9A">
        <w:rPr>
          <w:color w:val="231F20"/>
          <w:spacing w:val="14"/>
          <w:w w:val="105"/>
          <w:kern w:val="0"/>
          <w:sz w:val="19"/>
          <w:szCs w:val="19"/>
        </w:rPr>
        <w:t xml:space="preserve"> </w:t>
      </w:r>
      <w:r w:rsidRPr="00863C9A">
        <w:rPr>
          <w:color w:val="231F20"/>
          <w:w w:val="105"/>
          <w:kern w:val="0"/>
          <w:sz w:val="19"/>
          <w:szCs w:val="19"/>
        </w:rPr>
        <w:t>the</w:t>
      </w:r>
      <w:r w:rsidRPr="00863C9A">
        <w:rPr>
          <w:color w:val="231F20"/>
          <w:spacing w:val="73"/>
          <w:w w:val="150"/>
          <w:kern w:val="0"/>
          <w:sz w:val="19"/>
          <w:szCs w:val="19"/>
        </w:rPr>
        <w:t xml:space="preserve"> </w:t>
      </w:r>
      <w:r w:rsidRPr="00863C9A">
        <w:rPr>
          <w:color w:val="231F20"/>
          <w:w w:val="105"/>
          <w:kern w:val="0"/>
          <w:sz w:val="19"/>
          <w:szCs w:val="19"/>
        </w:rPr>
        <w:t>Court”</w:t>
      </w:r>
      <w:r w:rsidRPr="00863C9A">
        <w:rPr>
          <w:color w:val="231F20"/>
          <w:spacing w:val="73"/>
          <w:w w:val="150"/>
          <w:kern w:val="0"/>
          <w:sz w:val="19"/>
          <w:szCs w:val="19"/>
        </w:rPr>
        <w:t xml:space="preserve"> </w:t>
      </w:r>
      <w:r w:rsidRPr="00863C9A">
        <w:rPr>
          <w:color w:val="231F20"/>
          <w:w w:val="105"/>
          <w:kern w:val="0"/>
          <w:sz w:val="19"/>
          <w:szCs w:val="19"/>
        </w:rPr>
        <w:t>(</w:t>
      </w:r>
      <w:r w:rsidRPr="00863C9A">
        <w:rPr>
          <w:i/>
          <w:iCs/>
          <w:color w:val="231F20"/>
          <w:w w:val="105"/>
          <w:kern w:val="0"/>
          <w:sz w:val="19"/>
          <w:szCs w:val="19"/>
        </w:rPr>
        <w:t>Interpretation</w:t>
      </w:r>
      <w:r w:rsidRPr="00863C9A">
        <w:rPr>
          <w:i/>
          <w:iCs/>
          <w:color w:val="231F20"/>
          <w:spacing w:val="73"/>
          <w:w w:val="150"/>
          <w:kern w:val="0"/>
          <w:sz w:val="19"/>
          <w:szCs w:val="19"/>
        </w:rPr>
        <w:t xml:space="preserve"> </w:t>
      </w:r>
      <w:r w:rsidRPr="00863C9A">
        <w:rPr>
          <w:i/>
          <w:iCs/>
          <w:color w:val="231F20"/>
          <w:w w:val="105"/>
          <w:kern w:val="0"/>
          <w:sz w:val="19"/>
          <w:szCs w:val="19"/>
        </w:rPr>
        <w:t>of</w:t>
      </w:r>
      <w:r w:rsidRPr="00863C9A">
        <w:rPr>
          <w:i/>
          <w:iCs/>
          <w:color w:val="231F20"/>
          <w:spacing w:val="73"/>
          <w:w w:val="150"/>
          <w:kern w:val="0"/>
          <w:sz w:val="19"/>
          <w:szCs w:val="19"/>
        </w:rPr>
        <w:t xml:space="preserve"> </w:t>
      </w:r>
      <w:r w:rsidRPr="00863C9A">
        <w:rPr>
          <w:i/>
          <w:iCs/>
          <w:color w:val="231F20"/>
          <w:w w:val="105"/>
          <w:kern w:val="0"/>
          <w:sz w:val="19"/>
          <w:szCs w:val="19"/>
        </w:rPr>
        <w:t>Judgments</w:t>
      </w:r>
      <w:r w:rsidRPr="00863C9A">
        <w:rPr>
          <w:i/>
          <w:iCs/>
          <w:color w:val="231F20"/>
          <w:spacing w:val="73"/>
          <w:w w:val="150"/>
          <w:kern w:val="0"/>
          <w:sz w:val="19"/>
          <w:szCs w:val="19"/>
        </w:rPr>
        <w:t xml:space="preserve"> </w:t>
      </w:r>
      <w:r w:rsidRPr="00863C9A">
        <w:rPr>
          <w:i/>
          <w:iCs/>
          <w:color w:val="231F20"/>
          <w:w w:val="105"/>
          <w:kern w:val="0"/>
          <w:sz w:val="19"/>
          <w:szCs w:val="19"/>
        </w:rPr>
        <w:t>Nos.</w:t>
      </w:r>
      <w:r w:rsidRPr="00863C9A">
        <w:rPr>
          <w:i/>
          <w:iCs/>
          <w:color w:val="231F20"/>
          <w:spacing w:val="73"/>
          <w:w w:val="150"/>
          <w:kern w:val="0"/>
          <w:sz w:val="19"/>
          <w:szCs w:val="19"/>
        </w:rPr>
        <w:t xml:space="preserve"> </w:t>
      </w:r>
      <w:r w:rsidRPr="00863C9A">
        <w:rPr>
          <w:i/>
          <w:iCs/>
          <w:color w:val="231F20"/>
          <w:w w:val="105"/>
          <w:kern w:val="0"/>
          <w:sz w:val="19"/>
          <w:szCs w:val="19"/>
        </w:rPr>
        <w:t>7</w:t>
      </w:r>
      <w:r w:rsidRPr="00863C9A">
        <w:rPr>
          <w:i/>
          <w:iCs/>
          <w:color w:val="231F20"/>
          <w:spacing w:val="73"/>
          <w:w w:val="150"/>
          <w:kern w:val="0"/>
          <w:sz w:val="19"/>
          <w:szCs w:val="19"/>
        </w:rPr>
        <w:t xml:space="preserve"> </w:t>
      </w:r>
      <w:r w:rsidRPr="00863C9A">
        <w:rPr>
          <w:i/>
          <w:iCs/>
          <w:color w:val="231F20"/>
          <w:w w:val="105"/>
          <w:kern w:val="0"/>
          <w:sz w:val="19"/>
          <w:szCs w:val="19"/>
        </w:rPr>
        <w:t>and</w:t>
      </w:r>
      <w:r w:rsidRPr="00863C9A">
        <w:rPr>
          <w:i/>
          <w:iCs/>
          <w:color w:val="231F20"/>
          <w:spacing w:val="73"/>
          <w:w w:val="150"/>
          <w:kern w:val="0"/>
          <w:sz w:val="19"/>
          <w:szCs w:val="19"/>
        </w:rPr>
        <w:t xml:space="preserve"> </w:t>
      </w:r>
      <w:r w:rsidRPr="00863C9A">
        <w:rPr>
          <w:i/>
          <w:iCs/>
          <w:color w:val="231F20"/>
          <w:w w:val="105"/>
          <w:kern w:val="0"/>
          <w:sz w:val="19"/>
          <w:szCs w:val="19"/>
        </w:rPr>
        <w:t>8</w:t>
      </w:r>
      <w:r w:rsidRPr="00863C9A">
        <w:rPr>
          <w:i/>
          <w:iCs/>
          <w:color w:val="231F20"/>
          <w:spacing w:val="73"/>
          <w:w w:val="150"/>
          <w:kern w:val="0"/>
          <w:sz w:val="19"/>
          <w:szCs w:val="19"/>
        </w:rPr>
        <w:t xml:space="preserve"> </w:t>
      </w:r>
      <w:r w:rsidRPr="00863C9A">
        <w:rPr>
          <w:i/>
          <w:iCs/>
          <w:color w:val="231F20"/>
          <w:w w:val="105"/>
          <w:kern w:val="0"/>
          <w:sz w:val="19"/>
          <w:szCs w:val="19"/>
        </w:rPr>
        <w:t>(Factory</w:t>
      </w:r>
      <w:r w:rsidRPr="00863C9A">
        <w:rPr>
          <w:i/>
          <w:iCs/>
          <w:color w:val="231F20"/>
          <w:spacing w:val="14"/>
          <w:w w:val="105"/>
          <w:kern w:val="0"/>
          <w:sz w:val="19"/>
          <w:szCs w:val="19"/>
        </w:rPr>
        <w:t xml:space="preserve"> </w:t>
      </w:r>
      <w:r w:rsidRPr="00863C9A">
        <w:rPr>
          <w:i/>
          <w:iCs/>
          <w:color w:val="231F20"/>
          <w:w w:val="105"/>
          <w:kern w:val="0"/>
          <w:sz w:val="19"/>
          <w:szCs w:val="19"/>
        </w:rPr>
        <w:t>at Chorzów), Judgment No. 11, 1927, P.C.I.J., Series A, No. 13</w:t>
      </w:r>
      <w:r w:rsidRPr="00863C9A">
        <w:rPr>
          <w:color w:val="231F20"/>
          <w:w w:val="105"/>
          <w:kern w:val="0"/>
          <w:sz w:val="19"/>
          <w:szCs w:val="19"/>
        </w:rPr>
        <w:t>, p. 11).</w:t>
      </w:r>
    </w:p>
    <w:p w14:paraId="1FBDC93C" w14:textId="67CEAB04" w:rsidR="00863C9A" w:rsidRPr="00532D38" w:rsidRDefault="00532D38" w:rsidP="009C03FD">
      <w:pPr>
        <w:rPr>
          <w:color w:val="BF4E14" w:themeColor="accent2" w:themeShade="BF"/>
          <w:sz w:val="24"/>
          <w:szCs w:val="24"/>
        </w:rPr>
      </w:pPr>
      <w:r w:rsidRPr="00532D38">
        <w:rPr>
          <w:color w:val="BF4E14" w:themeColor="accent2" w:themeShade="BF"/>
          <w:sz w:val="24"/>
          <w:szCs w:val="24"/>
        </w:rPr>
        <w:t>Marshall Islands</w:t>
      </w:r>
      <w:r>
        <w:rPr>
          <w:color w:val="BF4E14" w:themeColor="accent2" w:themeShade="BF"/>
          <w:sz w:val="24"/>
          <w:szCs w:val="24"/>
        </w:rPr>
        <w:t xml:space="preserve"> (Judge Crawford Dissenting)</w:t>
      </w:r>
    </w:p>
    <w:sectPr w:rsidR="00863C9A" w:rsidRPr="00532D3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78111" w14:textId="77777777" w:rsidR="00992E3D" w:rsidRDefault="00992E3D" w:rsidP="00AA4DFC">
      <w:pPr>
        <w:spacing w:after="0" w:line="240" w:lineRule="auto"/>
      </w:pPr>
      <w:r>
        <w:separator/>
      </w:r>
    </w:p>
  </w:endnote>
  <w:endnote w:type="continuationSeparator" w:id="0">
    <w:p w14:paraId="375E7565" w14:textId="77777777" w:rsidR="00992E3D" w:rsidRDefault="00992E3D" w:rsidP="00AA4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742925"/>
      <w:docPartObj>
        <w:docPartGallery w:val="Page Numbers (Bottom of Page)"/>
        <w:docPartUnique/>
      </w:docPartObj>
    </w:sdtPr>
    <w:sdtContent>
      <w:p w14:paraId="4C9C2C66" w14:textId="360A97E6" w:rsidR="00AA4DFC" w:rsidRDefault="00AA4DFC">
        <w:pPr>
          <w:pStyle w:val="Footer"/>
          <w:jc w:val="center"/>
        </w:pPr>
        <w:r>
          <w:fldChar w:fldCharType="begin"/>
        </w:r>
        <w:r>
          <w:instrText>PAGE   \* MERGEFORMAT</w:instrText>
        </w:r>
        <w:r>
          <w:fldChar w:fldCharType="separate"/>
        </w:r>
        <w:r>
          <w:t>2</w:t>
        </w:r>
        <w:r>
          <w:fldChar w:fldCharType="end"/>
        </w:r>
      </w:p>
    </w:sdtContent>
  </w:sdt>
  <w:p w14:paraId="15556F6F" w14:textId="77777777" w:rsidR="00AA4DFC" w:rsidRDefault="00AA4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89DB4" w14:textId="77777777" w:rsidR="00992E3D" w:rsidRDefault="00992E3D" w:rsidP="00AA4DFC">
      <w:pPr>
        <w:spacing w:after="0" w:line="240" w:lineRule="auto"/>
      </w:pPr>
      <w:r>
        <w:separator/>
      </w:r>
    </w:p>
  </w:footnote>
  <w:footnote w:type="continuationSeparator" w:id="0">
    <w:p w14:paraId="68A1E7EE" w14:textId="77777777" w:rsidR="00992E3D" w:rsidRDefault="00992E3D" w:rsidP="00AA4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E4719"/>
    <w:multiLevelType w:val="multilevel"/>
    <w:tmpl w:val="8856F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A9406A"/>
    <w:multiLevelType w:val="multilevel"/>
    <w:tmpl w:val="BEA0A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4C132F"/>
    <w:multiLevelType w:val="hybridMultilevel"/>
    <w:tmpl w:val="862E3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9252522">
    <w:abstractNumId w:val="0"/>
  </w:num>
  <w:num w:numId="2" w16cid:durableId="1964774133">
    <w:abstractNumId w:val="1"/>
  </w:num>
  <w:num w:numId="3" w16cid:durableId="1098912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FC"/>
    <w:rsid w:val="002E1956"/>
    <w:rsid w:val="003101D5"/>
    <w:rsid w:val="00365CF7"/>
    <w:rsid w:val="00532D38"/>
    <w:rsid w:val="00556AA5"/>
    <w:rsid w:val="007F3A47"/>
    <w:rsid w:val="00863C9A"/>
    <w:rsid w:val="00903E5F"/>
    <w:rsid w:val="00992E3D"/>
    <w:rsid w:val="009C03FD"/>
    <w:rsid w:val="00A73CC3"/>
    <w:rsid w:val="00AA4DFC"/>
    <w:rsid w:val="00D06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552F"/>
  <w15:chartTrackingRefBased/>
  <w15:docId w15:val="{417DADFF-ACB7-4EDB-8075-11AB4547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kern w:val="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D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D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4D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4D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4D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4D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4D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73CC3"/>
    <w:pPr>
      <w:suppressAutoHyphens/>
      <w:autoSpaceDN w:val="0"/>
      <w:spacing w:after="0" w:line="240" w:lineRule="auto"/>
    </w:pPr>
    <w:rPr>
      <w:rFonts w:eastAsia="Aptos"/>
    </w:rPr>
  </w:style>
  <w:style w:type="character" w:customStyle="1" w:styleId="FootnoteTextChar">
    <w:name w:val="Footnote Text Char"/>
    <w:basedOn w:val="DefaultParagraphFont"/>
    <w:link w:val="FootnoteText"/>
    <w:rsid w:val="00A73CC3"/>
    <w:rPr>
      <w:rFonts w:eastAsia="Aptos"/>
    </w:rPr>
  </w:style>
  <w:style w:type="character" w:styleId="FootnoteReference">
    <w:name w:val="footnote reference"/>
    <w:basedOn w:val="DefaultParagraphFont"/>
    <w:uiPriority w:val="99"/>
    <w:unhideWhenUsed/>
    <w:rsid w:val="00A73CC3"/>
    <w:rPr>
      <w:rFonts w:ascii="Times New Roman" w:hAnsi="Times New Roman"/>
      <w:sz w:val="20"/>
      <w:vertAlign w:val="superscript"/>
    </w:rPr>
  </w:style>
  <w:style w:type="character" w:customStyle="1" w:styleId="Heading1Char">
    <w:name w:val="Heading 1 Char"/>
    <w:basedOn w:val="DefaultParagraphFont"/>
    <w:link w:val="Heading1"/>
    <w:uiPriority w:val="9"/>
    <w:rsid w:val="00AA4D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D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D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D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4D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4D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4D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4D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4D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4DF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A4DF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A4D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D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4DFC"/>
    <w:pPr>
      <w:spacing w:before="160"/>
      <w:jc w:val="center"/>
    </w:pPr>
    <w:rPr>
      <w:i/>
      <w:iCs/>
      <w:color w:val="404040" w:themeColor="text1" w:themeTint="BF"/>
    </w:rPr>
  </w:style>
  <w:style w:type="character" w:customStyle="1" w:styleId="QuoteChar">
    <w:name w:val="Quote Char"/>
    <w:basedOn w:val="DefaultParagraphFont"/>
    <w:link w:val="Quote"/>
    <w:uiPriority w:val="29"/>
    <w:rsid w:val="00AA4DFC"/>
    <w:rPr>
      <w:i/>
      <w:iCs/>
      <w:color w:val="404040" w:themeColor="text1" w:themeTint="BF"/>
    </w:rPr>
  </w:style>
  <w:style w:type="paragraph" w:styleId="ListParagraph">
    <w:name w:val="List Paragraph"/>
    <w:basedOn w:val="Normal"/>
    <w:uiPriority w:val="34"/>
    <w:qFormat/>
    <w:rsid w:val="00AA4DFC"/>
    <w:pPr>
      <w:ind w:left="720"/>
      <w:contextualSpacing/>
    </w:pPr>
  </w:style>
  <w:style w:type="character" w:styleId="IntenseEmphasis">
    <w:name w:val="Intense Emphasis"/>
    <w:basedOn w:val="DefaultParagraphFont"/>
    <w:uiPriority w:val="21"/>
    <w:qFormat/>
    <w:rsid w:val="00AA4DFC"/>
    <w:rPr>
      <w:i/>
      <w:iCs/>
      <w:color w:val="0F4761" w:themeColor="accent1" w:themeShade="BF"/>
    </w:rPr>
  </w:style>
  <w:style w:type="paragraph" w:styleId="IntenseQuote">
    <w:name w:val="Intense Quote"/>
    <w:basedOn w:val="Normal"/>
    <w:next w:val="Normal"/>
    <w:link w:val="IntenseQuoteChar"/>
    <w:uiPriority w:val="30"/>
    <w:qFormat/>
    <w:rsid w:val="00AA4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DFC"/>
    <w:rPr>
      <w:i/>
      <w:iCs/>
      <w:color w:val="0F4761" w:themeColor="accent1" w:themeShade="BF"/>
    </w:rPr>
  </w:style>
  <w:style w:type="character" w:styleId="IntenseReference">
    <w:name w:val="Intense Reference"/>
    <w:basedOn w:val="DefaultParagraphFont"/>
    <w:uiPriority w:val="32"/>
    <w:qFormat/>
    <w:rsid w:val="00AA4DFC"/>
    <w:rPr>
      <w:b/>
      <w:bCs/>
      <w:smallCaps/>
      <w:color w:val="0F4761" w:themeColor="accent1" w:themeShade="BF"/>
      <w:spacing w:val="5"/>
    </w:rPr>
  </w:style>
  <w:style w:type="paragraph" w:styleId="Header">
    <w:name w:val="header"/>
    <w:basedOn w:val="Normal"/>
    <w:link w:val="HeaderChar"/>
    <w:uiPriority w:val="99"/>
    <w:unhideWhenUsed/>
    <w:rsid w:val="00AA4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DFC"/>
  </w:style>
  <w:style w:type="paragraph" w:styleId="Footer">
    <w:name w:val="footer"/>
    <w:basedOn w:val="Normal"/>
    <w:link w:val="FooterChar"/>
    <w:uiPriority w:val="99"/>
    <w:unhideWhenUsed/>
    <w:rsid w:val="00AA4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DFC"/>
  </w:style>
  <w:style w:type="character" w:styleId="Hyperlink">
    <w:name w:val="Hyperlink"/>
    <w:basedOn w:val="DefaultParagraphFont"/>
    <w:uiPriority w:val="99"/>
    <w:unhideWhenUsed/>
    <w:rsid w:val="00AA4DFC"/>
    <w:rPr>
      <w:color w:val="467886" w:themeColor="hyperlink"/>
      <w:u w:val="single"/>
    </w:rPr>
  </w:style>
  <w:style w:type="character" w:styleId="UnresolvedMention">
    <w:name w:val="Unresolved Mention"/>
    <w:basedOn w:val="DefaultParagraphFont"/>
    <w:uiPriority w:val="99"/>
    <w:semiHidden/>
    <w:unhideWhenUsed/>
    <w:rsid w:val="00AA4DFC"/>
    <w:rPr>
      <w:color w:val="605E5C"/>
      <w:shd w:val="clear" w:color="auto" w:fill="E1DFDD"/>
    </w:rPr>
  </w:style>
  <w:style w:type="character" w:styleId="FollowedHyperlink">
    <w:name w:val="FollowedHyperlink"/>
    <w:basedOn w:val="DefaultParagraphFont"/>
    <w:uiPriority w:val="99"/>
    <w:semiHidden/>
    <w:unhideWhenUsed/>
    <w:rsid w:val="00AA4D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il.ouplaw.com/display/10.1093/law-mpeipro/e1575.013.1575/law-mpeipro-e157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gitallibrary.un.org/record/202170?ln=en&amp;v=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pil.ouplaw.com/display/10.1093/law-mpeipro/e1575.013.1575/law-mpeipro-e1575" TargetMode="External"/><Relationship Id="rId4" Type="http://schemas.openxmlformats.org/officeDocument/2006/relationships/webSettings" Target="webSettings.xml"/><Relationship Id="rId9" Type="http://schemas.openxmlformats.org/officeDocument/2006/relationships/hyperlink" Target="https://opil.ouplaw.com/display/10.1093/law-mpeipro/e1575.013.1575/law-mpeipro-e1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2901</Words>
  <Characters>14623</Characters>
  <Application>Microsoft Office Word</Application>
  <DocSecurity>0</DocSecurity>
  <Lines>200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2025-12-08T09:37:00Z</dcterms:created>
  <dcterms:modified xsi:type="dcterms:W3CDTF">2025-12-08T11:38:00Z</dcterms:modified>
</cp:coreProperties>
</file>