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590F2" w14:textId="07C02E61" w:rsidR="00161333" w:rsidRPr="009A136A" w:rsidRDefault="00161333" w:rsidP="009A136A">
      <w:pPr>
        <w:jc w:val="center"/>
        <w:rPr>
          <w:color w:val="156082" w:themeColor="accent1"/>
          <w:sz w:val="28"/>
          <w:szCs w:val="28"/>
          <w:lang w:val="en-US"/>
        </w:rPr>
      </w:pPr>
      <w:r w:rsidRPr="009A136A">
        <w:rPr>
          <w:color w:val="156082" w:themeColor="accent1"/>
          <w:sz w:val="28"/>
          <w:szCs w:val="28"/>
          <w:lang w:val="en-US"/>
        </w:rPr>
        <w:t>Theory</w:t>
      </w:r>
      <w:r w:rsidR="009A136A">
        <w:rPr>
          <w:color w:val="156082" w:themeColor="accent1"/>
          <w:sz w:val="28"/>
          <w:szCs w:val="28"/>
          <w:lang w:val="en-US"/>
        </w:rPr>
        <w:t xml:space="preserve"> Pt.1</w:t>
      </w:r>
    </w:p>
    <w:p w14:paraId="1AFE1881" w14:textId="1867B7A2" w:rsidR="00161333" w:rsidRPr="00161333" w:rsidRDefault="00161333" w:rsidP="00161333">
      <w:pPr>
        <w:pStyle w:val="ListParagraph"/>
        <w:numPr>
          <w:ilvl w:val="0"/>
          <w:numId w:val="1"/>
        </w:numPr>
        <w:rPr>
          <w:lang w:val="en-US"/>
        </w:rPr>
      </w:pPr>
      <w:r w:rsidRPr="00FA3A92">
        <w:rPr>
          <w:u w:val="single"/>
        </w:rPr>
        <w:t>Γιατί μας ενδιαφέρει</w:t>
      </w:r>
      <w:r>
        <w:t>;</w:t>
      </w:r>
    </w:p>
    <w:p w14:paraId="3819F59B" w14:textId="77777777" w:rsidR="00161333" w:rsidRDefault="00161333" w:rsidP="00161333">
      <w:pPr>
        <w:pStyle w:val="ListParagraph"/>
      </w:pPr>
    </w:p>
    <w:p w14:paraId="4F6312C6" w14:textId="7034CE01" w:rsidR="00161333" w:rsidRDefault="00161333" w:rsidP="00161333">
      <w:pPr>
        <w:pStyle w:val="ListParagraph"/>
      </w:pPr>
      <w:r>
        <w:t xml:space="preserve">Ειδικά στο διεθνές δίκαιο </w:t>
      </w:r>
    </w:p>
    <w:p w14:paraId="269840C6" w14:textId="63766915" w:rsidR="00161333" w:rsidRPr="00161333" w:rsidRDefault="00161333" w:rsidP="00161333">
      <w:pPr>
        <w:pStyle w:val="ListParagraph"/>
        <w:numPr>
          <w:ilvl w:val="0"/>
          <w:numId w:val="2"/>
        </w:numPr>
        <w:rPr>
          <w:lang w:val="en-US"/>
        </w:rPr>
      </w:pPr>
      <w:r>
        <w:t>Ζητήματα συμμόρφωσης</w:t>
      </w:r>
    </w:p>
    <w:p w14:paraId="2DC3D90C" w14:textId="1FADE0A2" w:rsidR="00161333" w:rsidRPr="00161333" w:rsidRDefault="00161333" w:rsidP="00161333">
      <w:pPr>
        <w:pStyle w:val="ListParagraph"/>
        <w:numPr>
          <w:ilvl w:val="0"/>
          <w:numId w:val="2"/>
        </w:numPr>
        <w:rPr>
          <w:lang w:val="en-US"/>
        </w:rPr>
      </w:pPr>
      <w:r>
        <w:t>Ανάδυση ανθρωπίνων δικαιωμάτων</w:t>
      </w:r>
    </w:p>
    <w:p w14:paraId="520A9FE1" w14:textId="1315B6FD" w:rsidR="00161333" w:rsidRPr="00161333" w:rsidRDefault="00161333" w:rsidP="00161333">
      <w:pPr>
        <w:pStyle w:val="ListParagraph"/>
        <w:numPr>
          <w:ilvl w:val="0"/>
          <w:numId w:val="2"/>
        </w:numPr>
        <w:rPr>
          <w:lang w:val="en-US"/>
        </w:rPr>
      </w:pPr>
      <w:r>
        <w:t xml:space="preserve">Ιεραρχία των κανόνων </w:t>
      </w:r>
    </w:p>
    <w:p w14:paraId="508F3019" w14:textId="7BD4E6C7" w:rsidR="00161333" w:rsidRDefault="00161333" w:rsidP="00161333">
      <w:pPr>
        <w:pStyle w:val="ListParagraph"/>
        <w:numPr>
          <w:ilvl w:val="0"/>
          <w:numId w:val="2"/>
        </w:numPr>
        <w:rPr>
          <w:lang w:val="en-US"/>
        </w:rPr>
      </w:pPr>
      <w:r>
        <w:t>Πηγές διεθνούς δικαίου</w:t>
      </w:r>
    </w:p>
    <w:p w14:paraId="0F9ABF69" w14:textId="77777777" w:rsidR="00FA3A92" w:rsidRPr="00FA3A92" w:rsidRDefault="00FA3A92" w:rsidP="00FA3A92">
      <w:pPr>
        <w:rPr>
          <w:lang w:val="en-US"/>
        </w:rPr>
      </w:pPr>
    </w:p>
    <w:p w14:paraId="574C5465" w14:textId="3690CA17" w:rsidR="00161333" w:rsidRPr="00FA3A92" w:rsidRDefault="00161333" w:rsidP="00161333">
      <w:pPr>
        <w:pStyle w:val="ListParagraph"/>
        <w:numPr>
          <w:ilvl w:val="0"/>
          <w:numId w:val="1"/>
        </w:numPr>
        <w:rPr>
          <w:u w:val="single"/>
        </w:rPr>
      </w:pPr>
      <w:r w:rsidRPr="00FA3A92">
        <w:rPr>
          <w:u w:val="single"/>
        </w:rPr>
        <w:t>Φυσικό δίκαιο</w:t>
      </w:r>
    </w:p>
    <w:p w14:paraId="4DF60763" w14:textId="2428AFE3" w:rsidR="00161333" w:rsidRDefault="00161333" w:rsidP="00161333">
      <w:pPr>
        <w:pStyle w:val="ListParagraph"/>
      </w:pPr>
    </w:p>
    <w:p w14:paraId="6B7A2E90" w14:textId="035972E3" w:rsidR="00161333" w:rsidRDefault="00161333" w:rsidP="00161333">
      <w:pPr>
        <w:pStyle w:val="ListParagraph"/>
      </w:pPr>
      <w:r>
        <w:t>Από την αρχή της ύπαρξής του το διεθνές δίκαιο έμοιαζε να εδράζεται στο φυσικό δίκαιο. Κυρίως γιατί δεν υπήρχαν κανόνες θετικού δικαίου που να έλκουν την καταγωγή τους απευθείας από το Ρωμαϊκό Δίκαιο που ήταν και η βάση του δικαίου στην Ευρώπη.</w:t>
      </w:r>
    </w:p>
    <w:p w14:paraId="22C36BB5" w14:textId="77777777" w:rsidR="00161333" w:rsidRDefault="00161333" w:rsidP="00161333">
      <w:pPr>
        <w:pStyle w:val="ListParagraph"/>
      </w:pPr>
    </w:p>
    <w:p w14:paraId="050C3486" w14:textId="77777777" w:rsidR="00224033" w:rsidRDefault="00161333" w:rsidP="00161333">
      <w:pPr>
        <w:pStyle w:val="ListParagraph"/>
        <w:rPr>
          <w:lang w:val="en-US"/>
        </w:rPr>
      </w:pPr>
      <w:r>
        <w:t xml:space="preserve">Ευρωπαϊκό δημιούργημα </w:t>
      </w:r>
    </w:p>
    <w:p w14:paraId="163D27E2" w14:textId="77777777" w:rsidR="00224033" w:rsidRDefault="00224033" w:rsidP="00161333">
      <w:pPr>
        <w:pStyle w:val="ListParagraph"/>
        <w:rPr>
          <w:lang w:val="en-US"/>
        </w:rPr>
      </w:pPr>
    </w:p>
    <w:p w14:paraId="193FCCFE" w14:textId="77777777" w:rsidR="00224033" w:rsidRDefault="00161333" w:rsidP="00161333">
      <w:pPr>
        <w:pStyle w:val="ListParagraph"/>
        <w:rPr>
          <w:lang w:val="en-US"/>
        </w:rPr>
      </w:pPr>
      <w:r>
        <w:t xml:space="preserve">α) </w:t>
      </w:r>
      <w:r w:rsidRPr="00DA4B80">
        <w:rPr>
          <w:color w:val="A02B93" w:themeColor="accent5"/>
        </w:rPr>
        <w:t>Σαλαμάνκα</w:t>
      </w:r>
    </w:p>
    <w:p w14:paraId="1CE33392" w14:textId="77777777" w:rsidR="00224033" w:rsidRDefault="00224033" w:rsidP="00161333">
      <w:pPr>
        <w:pStyle w:val="ListParagraph"/>
        <w:rPr>
          <w:lang w:val="en-US"/>
        </w:rPr>
      </w:pPr>
    </w:p>
    <w:p w14:paraId="176E31A3" w14:textId="0616345B" w:rsidR="00224033" w:rsidRPr="00224033" w:rsidRDefault="00224033" w:rsidP="00224033">
      <w:pPr>
        <w:pStyle w:val="ListParagraph"/>
        <w:spacing w:line="480" w:lineRule="auto"/>
        <w:rPr>
          <w:i/>
          <w:iCs/>
          <w:lang w:val="en-US"/>
        </w:rPr>
      </w:pPr>
      <w:r w:rsidRPr="00224033">
        <w:rPr>
          <w:i/>
          <w:iCs/>
          <w:lang w:val="en-US"/>
        </w:rPr>
        <w:t xml:space="preserve">Vitoria’s universal humanism led to the elaboration not only of the ius gentium as a political right of all, but also the ius </w:t>
      </w:r>
      <w:proofErr w:type="spellStart"/>
      <w:r w:rsidRPr="00224033">
        <w:rPr>
          <w:i/>
          <w:iCs/>
          <w:lang w:val="en-US"/>
        </w:rPr>
        <w:t>peregrinandi</w:t>
      </w:r>
      <w:proofErr w:type="spellEnd"/>
      <w:r w:rsidRPr="00224033">
        <w:rPr>
          <w:i/>
          <w:iCs/>
          <w:lang w:val="en-US"/>
        </w:rPr>
        <w:t xml:space="preserve"> et </w:t>
      </w:r>
      <w:proofErr w:type="spellStart"/>
      <w:r w:rsidRPr="00224033">
        <w:rPr>
          <w:i/>
          <w:iCs/>
          <w:lang w:val="en-US"/>
        </w:rPr>
        <w:t>degendi</w:t>
      </w:r>
      <w:proofErr w:type="spellEnd"/>
      <w:r w:rsidRPr="00224033">
        <w:rPr>
          <w:i/>
          <w:iCs/>
          <w:lang w:val="en-US"/>
        </w:rPr>
        <w:t xml:space="preserve"> as its economic correlate. This principle held that all people hold a fundamental right to commerce and travel across the globe as some of the specific natural rights predicated of every human being. This meant that Europeans had, under the ius </w:t>
      </w:r>
      <w:proofErr w:type="spellStart"/>
      <w:r w:rsidRPr="00224033">
        <w:rPr>
          <w:i/>
          <w:iCs/>
          <w:lang w:val="en-US"/>
        </w:rPr>
        <w:t>peregrinandi</w:t>
      </w:r>
      <w:proofErr w:type="spellEnd"/>
      <w:r w:rsidRPr="00224033">
        <w:rPr>
          <w:i/>
          <w:iCs/>
          <w:lang w:val="en-US"/>
        </w:rPr>
        <w:t xml:space="preserve"> et </w:t>
      </w:r>
      <w:proofErr w:type="spellStart"/>
      <w:r w:rsidRPr="00224033">
        <w:rPr>
          <w:i/>
          <w:iCs/>
          <w:lang w:val="en-US"/>
        </w:rPr>
        <w:t>degendi</w:t>
      </w:r>
      <w:proofErr w:type="spellEnd"/>
      <w:r w:rsidRPr="00224033">
        <w:rPr>
          <w:i/>
          <w:iCs/>
          <w:lang w:val="en-US"/>
        </w:rPr>
        <w:t xml:space="preserve">, the right not only to travel to the Americas, but to live there, set up businesses there, enter into employment contracts there, and make profits there. A consequence of the ius </w:t>
      </w:r>
      <w:proofErr w:type="spellStart"/>
      <w:r w:rsidRPr="00224033">
        <w:rPr>
          <w:i/>
          <w:iCs/>
          <w:lang w:val="en-US"/>
        </w:rPr>
        <w:t>peregrinandi</w:t>
      </w:r>
      <w:proofErr w:type="spellEnd"/>
      <w:r w:rsidRPr="00224033">
        <w:rPr>
          <w:i/>
          <w:iCs/>
          <w:lang w:val="en-US"/>
        </w:rPr>
        <w:t xml:space="preserve"> et </w:t>
      </w:r>
      <w:proofErr w:type="spellStart"/>
      <w:r w:rsidRPr="00224033">
        <w:rPr>
          <w:i/>
          <w:iCs/>
          <w:lang w:val="en-US"/>
        </w:rPr>
        <w:t>degendi</w:t>
      </w:r>
      <w:proofErr w:type="spellEnd"/>
      <w:r w:rsidRPr="00224033">
        <w:rPr>
          <w:i/>
          <w:iCs/>
          <w:lang w:val="en-US"/>
        </w:rPr>
        <w:t xml:space="preserve"> meant that, if the indigenous peoples of the Americas refused passage, travel or business with Europeans, the latter could ‘defend themselves’ in a just war to remain in the land and continue to engage in commercial activity, for, ‘to keep certain people out of the city or province as being enemies, or to expel them when already there, are acts of war</w:t>
      </w:r>
      <w:r w:rsidR="00161333" w:rsidRPr="00224033">
        <w:rPr>
          <w:i/>
          <w:iCs/>
          <w:lang w:val="en-US"/>
        </w:rPr>
        <w:t xml:space="preserve"> </w:t>
      </w:r>
    </w:p>
    <w:p w14:paraId="4AAABEBD" w14:textId="77777777" w:rsidR="00224033" w:rsidRDefault="00224033" w:rsidP="00161333">
      <w:pPr>
        <w:pStyle w:val="ListParagraph"/>
        <w:rPr>
          <w:lang w:val="en-US"/>
        </w:rPr>
      </w:pPr>
    </w:p>
    <w:p w14:paraId="4B836E1E" w14:textId="7972F841" w:rsidR="00161333" w:rsidRPr="00224033" w:rsidRDefault="00161333" w:rsidP="00161333">
      <w:pPr>
        <w:pStyle w:val="ListParagraph"/>
      </w:pPr>
      <w:r>
        <w:t xml:space="preserve">β) </w:t>
      </w:r>
      <w:r w:rsidRPr="00DA4B80">
        <w:rPr>
          <w:color w:val="A02B93" w:themeColor="accent5"/>
        </w:rPr>
        <w:t xml:space="preserve">Ολλανδία/Αγγλία </w:t>
      </w:r>
      <w:r>
        <w:t xml:space="preserve">– </w:t>
      </w:r>
      <w:proofErr w:type="spellStart"/>
      <w:r>
        <w:t>Γκρότιους</w:t>
      </w:r>
      <w:proofErr w:type="spellEnd"/>
      <w:r>
        <w:t xml:space="preserve"> / </w:t>
      </w:r>
      <w:proofErr w:type="spellStart"/>
      <w:r>
        <w:t>Σέλντεν</w:t>
      </w:r>
      <w:proofErr w:type="spellEnd"/>
    </w:p>
    <w:p w14:paraId="61656A73" w14:textId="77777777" w:rsidR="00161333" w:rsidRDefault="00161333" w:rsidP="00161333">
      <w:pPr>
        <w:pStyle w:val="ListParagraph"/>
      </w:pPr>
    </w:p>
    <w:p w14:paraId="5A405800" w14:textId="21487BED" w:rsidR="00161333" w:rsidRDefault="00161333" w:rsidP="00161333">
      <w:pPr>
        <w:pStyle w:val="ListParagraph"/>
        <w:rPr>
          <w:lang w:val="en-US"/>
        </w:rPr>
      </w:pPr>
      <w:r>
        <w:t>Τι σημαίνει αυτό;</w:t>
      </w:r>
    </w:p>
    <w:p w14:paraId="26C9E39B" w14:textId="77777777" w:rsidR="00224033" w:rsidRPr="00224033" w:rsidRDefault="00224033" w:rsidP="00161333">
      <w:pPr>
        <w:pStyle w:val="ListParagraph"/>
        <w:rPr>
          <w:lang w:val="en-US"/>
        </w:rPr>
      </w:pPr>
    </w:p>
    <w:p w14:paraId="0F3793AE" w14:textId="1AFCFFBF" w:rsidR="00161333" w:rsidRDefault="00224033" w:rsidP="00161333">
      <w:pPr>
        <w:pStyle w:val="ListParagraph"/>
      </w:pPr>
      <w:r>
        <w:t xml:space="preserve">Αρχικά </w:t>
      </w:r>
      <w:r w:rsidRPr="00224033">
        <w:t xml:space="preserve">: </w:t>
      </w:r>
      <w:r>
        <w:t xml:space="preserve">Άνθρωπος = κοινωνικό ζώο = κοινό καλό της κοινωνίας </w:t>
      </w:r>
    </w:p>
    <w:p w14:paraId="58ED06CC" w14:textId="77777777" w:rsidR="00224033" w:rsidRDefault="00224033" w:rsidP="00161333">
      <w:pPr>
        <w:pStyle w:val="ListParagraph"/>
      </w:pPr>
    </w:p>
    <w:p w14:paraId="3532D305" w14:textId="6996D82A" w:rsidR="00224033" w:rsidRDefault="00224033" w:rsidP="00161333">
      <w:pPr>
        <w:pStyle w:val="ListParagraph"/>
      </w:pPr>
      <w:r w:rsidRPr="00DA4B80">
        <w:rPr>
          <w:color w:val="A02B93" w:themeColor="accent5"/>
        </w:rPr>
        <w:t>Αναγέννηση</w:t>
      </w:r>
      <w:r>
        <w:t xml:space="preserve"> </w:t>
      </w:r>
    </w:p>
    <w:p w14:paraId="36592F05" w14:textId="77777777" w:rsidR="00224033" w:rsidRDefault="00224033" w:rsidP="00161333">
      <w:pPr>
        <w:pStyle w:val="ListParagraph"/>
      </w:pPr>
    </w:p>
    <w:p w14:paraId="08EFD5EC" w14:textId="6CA624BF" w:rsidR="00224033" w:rsidRDefault="00224033" w:rsidP="00161333">
      <w:pPr>
        <w:pStyle w:val="ListParagraph"/>
      </w:pPr>
      <w:r>
        <w:t xml:space="preserve">Απομάκρυνση από την αρχική ιδέα του </w:t>
      </w:r>
      <w:proofErr w:type="spellStart"/>
      <w:r>
        <w:t>Ακινάτη</w:t>
      </w:r>
      <w:proofErr w:type="spellEnd"/>
      <w:r>
        <w:t xml:space="preserve"> για το φυσικό δίκαιο και τη σύνδεσή του με την ηθική</w:t>
      </w:r>
    </w:p>
    <w:p w14:paraId="765342AC" w14:textId="77777777" w:rsidR="00224033" w:rsidRDefault="00224033" w:rsidP="00161333">
      <w:pPr>
        <w:pStyle w:val="ListParagraph"/>
      </w:pPr>
    </w:p>
    <w:p w14:paraId="534D3934" w14:textId="0DD13D82" w:rsidR="00224033" w:rsidRDefault="00224033" w:rsidP="00161333">
      <w:pPr>
        <w:pStyle w:val="ListParagraph"/>
      </w:pPr>
      <w:r>
        <w:t>Εμπειρική παρατήρηση της Φύσης – Αποκόπτεται η σύνδεση με τη θρησκεία (όχι πλήρως) και αντικαθίσταται από μία επιστημονική προσέγγιση με σκοπό το δίκαιο να πλησιάσει τις ‘φυσικές επιστήμες΄</w:t>
      </w:r>
    </w:p>
    <w:p w14:paraId="5C25BD71" w14:textId="77777777" w:rsidR="00224033" w:rsidRDefault="00224033" w:rsidP="00161333">
      <w:pPr>
        <w:pStyle w:val="ListParagraph"/>
      </w:pPr>
    </w:p>
    <w:p w14:paraId="137CE060" w14:textId="376E1C82" w:rsidR="00224033" w:rsidRDefault="00224033" w:rsidP="00161333">
      <w:pPr>
        <w:pStyle w:val="ListParagraph"/>
      </w:pPr>
      <w:r>
        <w:rPr>
          <w:lang w:val="en-US"/>
        </w:rPr>
        <w:t xml:space="preserve">Law of nature v. Natural law </w:t>
      </w:r>
      <w:r>
        <w:t>δυο</w:t>
      </w:r>
      <w:r w:rsidRPr="00224033">
        <w:rPr>
          <w:lang w:val="en-US"/>
        </w:rPr>
        <w:t xml:space="preserve"> </w:t>
      </w:r>
      <w:r>
        <w:t>διαφορετικά</w:t>
      </w:r>
      <w:r w:rsidRPr="00224033">
        <w:rPr>
          <w:lang w:val="en-US"/>
        </w:rPr>
        <w:t xml:space="preserve"> </w:t>
      </w:r>
      <w:r>
        <w:t>πράγματα</w:t>
      </w:r>
    </w:p>
    <w:p w14:paraId="755B888E" w14:textId="77777777" w:rsidR="00224033" w:rsidRDefault="00224033" w:rsidP="00161333">
      <w:pPr>
        <w:pStyle w:val="ListParagraph"/>
      </w:pPr>
    </w:p>
    <w:p w14:paraId="39D6D384" w14:textId="23CDC314" w:rsidR="00224033" w:rsidRDefault="00224033" w:rsidP="00161333">
      <w:pPr>
        <w:pStyle w:val="ListParagraph"/>
      </w:pPr>
      <w:proofErr w:type="spellStart"/>
      <w:r w:rsidRPr="00345859">
        <w:rPr>
          <w:b/>
          <w:bCs/>
        </w:rPr>
        <w:t>Πουφεντορφ</w:t>
      </w:r>
      <w:proofErr w:type="spellEnd"/>
      <w:r w:rsidRPr="00345859">
        <w:rPr>
          <w:b/>
          <w:bCs/>
        </w:rPr>
        <w:t xml:space="preserve"> </w:t>
      </w:r>
      <w:r>
        <w:t xml:space="preserve">= το διεθνές δίκαιο δεν μπορεί παρά να εδράζεται στο φυσικό δίκαιο </w:t>
      </w:r>
      <w:r w:rsidR="00DA4B80">
        <w:t>μεταξύ των κρατών</w:t>
      </w:r>
    </w:p>
    <w:p w14:paraId="4A26A928" w14:textId="59F8CF38" w:rsidR="00DA4B80" w:rsidRDefault="00DA4B80" w:rsidP="00161333">
      <w:pPr>
        <w:pStyle w:val="ListParagraph"/>
      </w:pPr>
      <w:r>
        <w:t>Πρόκειται για το ιδεολογικό όπλο των κοινωνικών επαναστάσεων</w:t>
      </w:r>
    </w:p>
    <w:p w14:paraId="5E74F205" w14:textId="77777777" w:rsidR="00DA4B80" w:rsidRDefault="00DA4B80" w:rsidP="00161333">
      <w:pPr>
        <w:pStyle w:val="ListParagraph"/>
      </w:pPr>
    </w:p>
    <w:p w14:paraId="073F1C8B" w14:textId="36289339" w:rsidR="00DA4B80" w:rsidRDefault="00DA4B80" w:rsidP="00161333">
      <w:pPr>
        <w:pStyle w:val="ListParagraph"/>
      </w:pPr>
      <w:r>
        <w:t>Το εάν κάτι είναι δίκαιο ή ηθικό βρίσκεται εκτός θετικού δικαίου</w:t>
      </w:r>
    </w:p>
    <w:p w14:paraId="47499E36" w14:textId="77777777" w:rsidR="00DA4B80" w:rsidRDefault="00DA4B80" w:rsidP="00161333">
      <w:pPr>
        <w:pStyle w:val="ListParagraph"/>
      </w:pPr>
    </w:p>
    <w:p w14:paraId="4182DA38" w14:textId="35EE65CA" w:rsidR="00DA4B80" w:rsidRDefault="00DA4B80" w:rsidP="00161333">
      <w:pPr>
        <w:pStyle w:val="ListParagraph"/>
      </w:pPr>
      <w:r>
        <w:t>Ο 19</w:t>
      </w:r>
      <w:r w:rsidRPr="00DA4B80">
        <w:rPr>
          <w:vertAlign w:val="superscript"/>
        </w:rPr>
        <w:t>ος</w:t>
      </w:r>
      <w:r>
        <w:t xml:space="preserve"> αιώνας απομακρύνεται από το φυσικό δίκαιο ακόμη περισσότερο</w:t>
      </w:r>
    </w:p>
    <w:p w14:paraId="11A268B4" w14:textId="77777777" w:rsidR="00DA4B80" w:rsidRDefault="00DA4B80" w:rsidP="00161333">
      <w:pPr>
        <w:pStyle w:val="ListParagraph"/>
      </w:pPr>
    </w:p>
    <w:p w14:paraId="365F384F" w14:textId="47EF0617" w:rsidR="00DA4B80" w:rsidRDefault="00DA4B80" w:rsidP="00161333">
      <w:pPr>
        <w:pStyle w:val="ListParagraph"/>
        <w:rPr>
          <w:lang w:val="en-US"/>
        </w:rPr>
      </w:pPr>
      <w:r>
        <w:rPr>
          <w:lang w:val="en-US"/>
        </w:rPr>
        <w:t>Modernity + deterministic theories of man and society</w:t>
      </w:r>
    </w:p>
    <w:p w14:paraId="4561F8DB" w14:textId="77777777" w:rsidR="00DA4B80" w:rsidRDefault="00DA4B80" w:rsidP="00161333">
      <w:pPr>
        <w:pStyle w:val="ListParagraph"/>
        <w:rPr>
          <w:lang w:val="en-US"/>
        </w:rPr>
      </w:pPr>
    </w:p>
    <w:p w14:paraId="18B9EA7D" w14:textId="073FFC41" w:rsidR="00DA4B80" w:rsidRDefault="00DA4B80" w:rsidP="00161333">
      <w:pPr>
        <w:pStyle w:val="ListParagraph"/>
        <w:rPr>
          <w:lang w:val="en-US"/>
        </w:rPr>
      </w:pPr>
      <w:r>
        <w:rPr>
          <w:lang w:val="en-US"/>
        </w:rPr>
        <w:t>Key</w:t>
      </w:r>
    </w:p>
    <w:p w14:paraId="1BA505DC" w14:textId="77777777" w:rsidR="00DA4B80" w:rsidRDefault="00DA4B80" w:rsidP="00161333">
      <w:pPr>
        <w:pStyle w:val="ListParagraph"/>
        <w:rPr>
          <w:lang w:val="en-US"/>
        </w:rPr>
      </w:pPr>
    </w:p>
    <w:p w14:paraId="3AECBA04" w14:textId="749F1D7F" w:rsidR="00DA4B80" w:rsidRDefault="00DA4B80" w:rsidP="00DA4B80">
      <w:pPr>
        <w:pStyle w:val="ListParagraph"/>
        <w:spacing w:line="480" w:lineRule="auto"/>
        <w:rPr>
          <w:lang w:val="en-US"/>
        </w:rPr>
      </w:pPr>
      <w:r>
        <w:rPr>
          <w:lang w:val="en-US"/>
        </w:rPr>
        <w:t>‘</w:t>
      </w:r>
      <w:r w:rsidRPr="00DA4B80">
        <w:rPr>
          <w:i/>
          <w:iCs/>
          <w:lang w:val="en-US"/>
        </w:rPr>
        <w:t>Obedience to law is fundamentally a matter of moral obligation. With the flight from practical reason which accompanied modernity and legal positivism, the source of law’s obligation must be sought elsewhere. Positivism’s answer was to replace reason with fear</w:t>
      </w:r>
      <w:r>
        <w:rPr>
          <w:lang w:val="en-US"/>
        </w:rPr>
        <w:t>’ (</w:t>
      </w:r>
      <w:r w:rsidRPr="00DA4B80">
        <w:rPr>
          <w:color w:val="156082" w:themeColor="accent1"/>
          <w:lang w:val="en-US"/>
        </w:rPr>
        <w:t>coercion} KELSEN</w:t>
      </w:r>
      <w:r>
        <w:rPr>
          <w:lang w:val="en-US"/>
        </w:rPr>
        <w:t>)</w:t>
      </w:r>
    </w:p>
    <w:p w14:paraId="664A971E" w14:textId="77777777" w:rsidR="00FA3A92" w:rsidRDefault="00FA3A92" w:rsidP="00DA4B80">
      <w:pPr>
        <w:pStyle w:val="ListParagraph"/>
        <w:spacing w:line="480" w:lineRule="auto"/>
        <w:rPr>
          <w:lang w:val="en-US"/>
        </w:rPr>
      </w:pPr>
    </w:p>
    <w:p w14:paraId="1F819BA3" w14:textId="77777777" w:rsidR="00FA3A92" w:rsidRPr="00FA3A92" w:rsidRDefault="00FA3A92" w:rsidP="00FA3A92">
      <w:pPr>
        <w:pStyle w:val="ListParagraph"/>
      </w:pPr>
      <w:r w:rsidRPr="00FA3A92">
        <w:rPr>
          <w:color w:val="A02B93" w:themeColor="accent5"/>
        </w:rPr>
        <w:t>Θετικισμός</w:t>
      </w:r>
      <w:r w:rsidRPr="00FA3A92">
        <w:t xml:space="preserve"> = νόμοι από άνθρωπο προς άνθρωπο = ηθική (χριστιανική ηθική) βρίσκεται εκτός</w:t>
      </w:r>
    </w:p>
    <w:p w14:paraId="0D18198C" w14:textId="7AEF5DF9" w:rsidR="00DA4B80" w:rsidRDefault="00FA3A92" w:rsidP="00FA3A92">
      <w:pPr>
        <w:pStyle w:val="ListParagraph"/>
        <w:rPr>
          <w:lang w:val="en-US"/>
        </w:rPr>
      </w:pPr>
      <w:r w:rsidRPr="00FA3A92">
        <w:t xml:space="preserve">ΑΛΛΑ άγνοια για το διεθνές δίκαιο </w:t>
      </w:r>
    </w:p>
    <w:p w14:paraId="156A7432" w14:textId="77777777" w:rsidR="00FA3A92" w:rsidRPr="00FA3A92" w:rsidRDefault="00FA3A92" w:rsidP="00FA3A92">
      <w:pPr>
        <w:pStyle w:val="ListParagraph"/>
        <w:rPr>
          <w:lang w:val="en-US"/>
        </w:rPr>
      </w:pPr>
    </w:p>
    <w:p w14:paraId="2F25F071" w14:textId="64449D29" w:rsidR="00DA4B80" w:rsidRDefault="00DA4B80" w:rsidP="00DA4B80">
      <w:pPr>
        <w:pStyle w:val="ListParagraph"/>
        <w:spacing w:line="480" w:lineRule="auto"/>
      </w:pPr>
      <w:r w:rsidRPr="00DA4B80">
        <w:rPr>
          <w:color w:val="156082" w:themeColor="accent1"/>
          <w:lang w:val="en-US"/>
        </w:rPr>
        <w:t>Bentham</w:t>
      </w:r>
      <w:r>
        <w:rPr>
          <w:lang w:val="en-US"/>
        </w:rPr>
        <w:t xml:space="preserve"> / </w:t>
      </w:r>
      <w:r w:rsidRPr="00DA4B80">
        <w:rPr>
          <w:color w:val="156082" w:themeColor="accent1"/>
          <w:lang w:val="en-US"/>
        </w:rPr>
        <w:t xml:space="preserve">Austin </w:t>
      </w:r>
      <w:r>
        <w:t>κλασικός θετικισμός</w:t>
      </w:r>
    </w:p>
    <w:p w14:paraId="6D3AC789" w14:textId="77EDCD75" w:rsidR="00DA4B80" w:rsidRDefault="00DA4B80" w:rsidP="00DA4B80">
      <w:pPr>
        <w:pStyle w:val="ListParagraph"/>
        <w:spacing w:line="480" w:lineRule="auto"/>
        <w:rPr>
          <w:lang w:val="en-US"/>
        </w:rPr>
      </w:pPr>
      <w:proofErr w:type="gramStart"/>
      <w:r w:rsidRPr="00DA4B80">
        <w:rPr>
          <w:color w:val="156082" w:themeColor="accent1"/>
          <w:lang w:val="en-US"/>
        </w:rPr>
        <w:t>Austin</w:t>
      </w:r>
      <w:r>
        <w:rPr>
          <w:lang w:val="en-US"/>
        </w:rPr>
        <w:t xml:space="preserve"> </w:t>
      </w:r>
      <w:r w:rsidRPr="00DA4B80">
        <w:rPr>
          <w:lang w:val="en-US"/>
        </w:rPr>
        <w:t>}</w:t>
      </w:r>
      <w:proofErr w:type="gramEnd"/>
      <w:r w:rsidRPr="00DA4B80">
        <w:rPr>
          <w:lang w:val="en-US"/>
        </w:rPr>
        <w:t xml:space="preserve"> </w:t>
      </w:r>
      <w:r>
        <w:rPr>
          <w:lang w:val="en-US"/>
        </w:rPr>
        <w:t xml:space="preserve">International law is the law of positive morality </w:t>
      </w:r>
      <w:r w:rsidRPr="00DA4B80">
        <w:rPr>
          <w:lang w:val="en-US"/>
        </w:rPr>
        <w:t xml:space="preserve"> </w:t>
      </w:r>
      <w:r w:rsidRPr="00DA4B80">
        <w:rPr>
          <w:b/>
          <w:bCs/>
        </w:rPr>
        <w:t>Γιατί</w:t>
      </w:r>
      <w:r w:rsidRPr="00DA4B80">
        <w:rPr>
          <w:lang w:val="en-US"/>
        </w:rPr>
        <w:t xml:space="preserve">; </w:t>
      </w:r>
      <w:r>
        <w:t>Επειδή στο διεθνές δίκαιο δεν μπορούσε να εντοπιστεί ο κυρίαρχος που ήταν επιφορτισμένος με την επιβολή κυρώσεων</w:t>
      </w:r>
    </w:p>
    <w:p w14:paraId="155C41E4" w14:textId="226239C2" w:rsidR="00FA3A92" w:rsidRDefault="00FA3A92" w:rsidP="00DA4B80">
      <w:pPr>
        <w:pStyle w:val="ListParagraph"/>
        <w:spacing w:line="480" w:lineRule="auto"/>
      </w:pPr>
      <w:r>
        <w:t>Η πραγματικότητα όμως διέφερε. Τα κράτη ακολουθούσαν τους περισσότερους κανόνες του διεθνούς δικαίου τον περισσότερο καιρό για τα περισσότερα ζητήματα</w:t>
      </w:r>
    </w:p>
    <w:p w14:paraId="2188A6DE" w14:textId="1FCD0AD8" w:rsidR="00FA3A92" w:rsidRDefault="00FA3A92" w:rsidP="00DA4B80">
      <w:pPr>
        <w:pStyle w:val="ListParagraph"/>
        <w:spacing w:line="480" w:lineRule="auto"/>
        <w:rPr>
          <w:lang w:val="en-US"/>
        </w:rPr>
      </w:pPr>
      <w:r w:rsidRPr="00FA3A92">
        <w:rPr>
          <w:color w:val="A02B93" w:themeColor="accent5"/>
          <w:lang w:val="en-US"/>
        </w:rPr>
        <w:t>Jellinek</w:t>
      </w:r>
      <w:r>
        <w:rPr>
          <w:color w:val="A02B93" w:themeColor="accent5"/>
          <w:lang w:val="en-US"/>
        </w:rPr>
        <w:t xml:space="preserve"> </w:t>
      </w:r>
      <w:r>
        <w:rPr>
          <w:lang w:val="en-US"/>
        </w:rPr>
        <w:t>States are sovereign with their own free wills so the can consent themselves to legal obligations</w:t>
      </w:r>
    </w:p>
    <w:p w14:paraId="7CD095EA" w14:textId="7354B114" w:rsidR="00FA3A92" w:rsidRDefault="00FA3A92" w:rsidP="00DA4B80">
      <w:pPr>
        <w:pStyle w:val="ListParagraph"/>
        <w:spacing w:line="480" w:lineRule="auto"/>
        <w:rPr>
          <w:lang w:val="en-US"/>
        </w:rPr>
      </w:pPr>
      <w:proofErr w:type="spellStart"/>
      <w:r>
        <w:rPr>
          <w:color w:val="A02B93" w:themeColor="accent5"/>
          <w:lang w:val="en-US"/>
        </w:rPr>
        <w:t>Triepel</w:t>
      </w:r>
      <w:proofErr w:type="spellEnd"/>
      <w:r>
        <w:rPr>
          <w:color w:val="A02B93" w:themeColor="accent5"/>
          <w:lang w:val="en-US"/>
        </w:rPr>
        <w:t xml:space="preserve"> </w:t>
      </w:r>
      <w:r>
        <w:rPr>
          <w:lang w:val="en-US"/>
        </w:rPr>
        <w:t>States can have a common will explicitly or implicitly</w:t>
      </w:r>
    </w:p>
    <w:p w14:paraId="3FE1FABF" w14:textId="121AA9ED" w:rsidR="00594FA2" w:rsidRPr="00594FA2" w:rsidRDefault="007818A3" w:rsidP="00594FA2">
      <w:pPr>
        <w:pStyle w:val="ListParagraph"/>
        <w:spacing w:line="480" w:lineRule="auto"/>
        <w:rPr>
          <w:lang w:val="en-US"/>
        </w:rPr>
      </w:pPr>
      <w:r w:rsidRPr="007818A3">
        <w:rPr>
          <w:lang w:val="en-US"/>
        </w:rPr>
        <w:t>Paul Guggenheim observed that international law is "lay, secularized of necessity; it cannot be otherwise, considering the variety of moral and religious conceptions featured by the different societies making up the international community."2' But ideological neutrality is also necessary to guarantee the coexistence of heterogeneous entities in a pluralistic society. Both religious and ideological neutrality are inherent in the basic concept of international law.</w:t>
      </w:r>
    </w:p>
    <w:p w14:paraId="225001F2" w14:textId="2A15FEE4" w:rsidR="00594FA2" w:rsidRDefault="00594FA2" w:rsidP="00DA4B80">
      <w:pPr>
        <w:pStyle w:val="ListParagraph"/>
        <w:spacing w:line="480" w:lineRule="auto"/>
        <w:rPr>
          <w:color w:val="A02B93" w:themeColor="accent5"/>
          <w:lang w:val="en-US"/>
        </w:rPr>
      </w:pPr>
      <w:r w:rsidRPr="00594FA2">
        <w:rPr>
          <w:color w:val="A02B93" w:themeColor="accent5"/>
          <w:lang w:val="en-US"/>
        </w:rPr>
        <w:t>Kelsen</w:t>
      </w:r>
    </w:p>
    <w:p w14:paraId="654AEC92" w14:textId="03BBA627" w:rsidR="00594FA2" w:rsidRDefault="00594FA2" w:rsidP="00DA4B80">
      <w:pPr>
        <w:pStyle w:val="ListParagraph"/>
        <w:spacing w:line="480" w:lineRule="auto"/>
        <w:rPr>
          <w:lang w:val="en-US"/>
        </w:rPr>
      </w:pPr>
      <w:r>
        <w:rPr>
          <w:lang w:val="en-US"/>
        </w:rPr>
        <w:t>The</w:t>
      </w:r>
      <w:r w:rsidRPr="00594FA2">
        <w:rPr>
          <w:lang w:val="en-US"/>
        </w:rPr>
        <w:t xml:space="preserve"> </w:t>
      </w:r>
      <w:r>
        <w:rPr>
          <w:lang w:val="en-US"/>
        </w:rPr>
        <w:t>hypothetical</w:t>
      </w:r>
      <w:r w:rsidRPr="00594FA2">
        <w:rPr>
          <w:lang w:val="en-US"/>
        </w:rPr>
        <w:t xml:space="preserve"> </w:t>
      </w:r>
      <w:proofErr w:type="spellStart"/>
      <w:r>
        <w:rPr>
          <w:lang w:val="en-US"/>
        </w:rPr>
        <w:t>Grundnorm</w:t>
      </w:r>
      <w:proofErr w:type="spellEnd"/>
      <w:r>
        <w:rPr>
          <w:lang w:val="en-US"/>
        </w:rPr>
        <w:t xml:space="preserve"> of the entire system must be found in the federal (or international) compact which will be the organizing structure of the Commonwealth</w:t>
      </w:r>
    </w:p>
    <w:p w14:paraId="021FAF5C" w14:textId="1748CF91" w:rsidR="00594FA2" w:rsidRDefault="00594FA2" w:rsidP="00DA4B80">
      <w:pPr>
        <w:pStyle w:val="ListParagraph"/>
        <w:spacing w:line="480" w:lineRule="auto"/>
      </w:pPr>
      <w:r>
        <w:rPr>
          <w:lang w:val="en-US"/>
        </w:rPr>
        <w:t>Rights</w:t>
      </w:r>
      <w:r w:rsidRPr="00594FA2">
        <w:t xml:space="preserve"> </w:t>
      </w:r>
      <w:r>
        <w:rPr>
          <w:lang w:val="en-US"/>
        </w:rPr>
        <w:t>theory</w:t>
      </w:r>
      <w:r w:rsidRPr="00594FA2">
        <w:t xml:space="preserve">: </w:t>
      </w:r>
      <w:r>
        <w:t xml:space="preserve">Εφόσον δεν υπάρχει φυσικό δίκαιο ο μόνος τρόπος τα άτομα να έχουν </w:t>
      </w:r>
      <w:proofErr w:type="gramStart"/>
      <w:r>
        <w:t>δικαιώματα }</w:t>
      </w:r>
      <w:proofErr w:type="gramEnd"/>
      <w:r>
        <w:t xml:space="preserve"> Το κράτος</w:t>
      </w:r>
    </w:p>
    <w:p w14:paraId="0EA3B2CC" w14:textId="6B52C602" w:rsidR="00594FA2" w:rsidRDefault="00594FA2" w:rsidP="00DA4B80">
      <w:pPr>
        <w:pStyle w:val="ListParagraph"/>
        <w:spacing w:line="480" w:lineRule="auto"/>
      </w:pPr>
      <w:r>
        <w:lastRenderedPageBreak/>
        <w:t xml:space="preserve">Η ελευθερία δεν είναι νομική έννοια κατά τον </w:t>
      </w:r>
      <w:proofErr w:type="spellStart"/>
      <w:r w:rsidRPr="009A136A">
        <w:rPr>
          <w:color w:val="A02B93" w:themeColor="accent5"/>
        </w:rPr>
        <w:t>Κέλσεν</w:t>
      </w:r>
      <w:proofErr w:type="spellEnd"/>
    </w:p>
    <w:p w14:paraId="7D7F276C" w14:textId="7A6D4924" w:rsidR="00594FA2" w:rsidRDefault="00594FA2" w:rsidP="00DA4B80">
      <w:pPr>
        <w:pStyle w:val="ListParagraph"/>
        <w:spacing w:line="480" w:lineRule="auto"/>
        <w:rPr>
          <w:lang w:val="en-US"/>
        </w:rPr>
      </w:pPr>
      <w:r>
        <w:t xml:space="preserve">Ο νόμος και το κράτος ταυτίζονται (εδώ υπάρχει η διάσταση απόψεων με το </w:t>
      </w:r>
      <w:proofErr w:type="spellStart"/>
      <w:r w:rsidRPr="009A136A">
        <w:rPr>
          <w:color w:val="A02B93" w:themeColor="accent5"/>
        </w:rPr>
        <w:t>Σμιτ</w:t>
      </w:r>
      <w:proofErr w:type="spellEnd"/>
      <w:r>
        <w:t xml:space="preserve"> – πολιτική θεολογία και η θεωρία της εξαίρεσης + συζήτηση για την κατάσταση εξαίρεσης)</w:t>
      </w:r>
    </w:p>
    <w:p w14:paraId="29C8B0F3" w14:textId="7E84EDA7" w:rsidR="009A136A" w:rsidRDefault="009A136A" w:rsidP="009A136A">
      <w:pPr>
        <w:pStyle w:val="ListParagraph"/>
        <w:numPr>
          <w:ilvl w:val="0"/>
          <w:numId w:val="4"/>
        </w:numPr>
        <w:spacing w:line="480" w:lineRule="auto"/>
        <w:rPr>
          <w:lang w:val="en-US"/>
        </w:rPr>
      </w:pPr>
      <w:r>
        <w:rPr>
          <w:lang w:val="en-US"/>
        </w:rPr>
        <w:t>No external legitimacy required</w:t>
      </w:r>
    </w:p>
    <w:p w14:paraId="673CB6B9" w14:textId="1F7D8972" w:rsidR="009A136A" w:rsidRDefault="009A136A" w:rsidP="009A136A">
      <w:pPr>
        <w:pStyle w:val="ListParagraph"/>
        <w:numPr>
          <w:ilvl w:val="0"/>
          <w:numId w:val="4"/>
        </w:numPr>
        <w:spacing w:line="480" w:lineRule="auto"/>
        <w:rPr>
          <w:lang w:val="en-US"/>
        </w:rPr>
      </w:pPr>
      <w:r>
        <w:rPr>
          <w:lang w:val="en-US"/>
        </w:rPr>
        <w:t>No possibility of conflict: conflict will always be resolved by a judge BUT in international law there are other avenues --- countermeasures</w:t>
      </w:r>
    </w:p>
    <w:p w14:paraId="7FF8CEE7" w14:textId="0AD2696E" w:rsidR="009A136A" w:rsidRDefault="009A136A" w:rsidP="009A136A">
      <w:pPr>
        <w:spacing w:line="480" w:lineRule="auto"/>
        <w:ind w:left="720"/>
        <w:rPr>
          <w:lang w:val="en-US"/>
        </w:rPr>
      </w:pPr>
      <w:r>
        <w:rPr>
          <w:lang w:val="en-US"/>
        </w:rPr>
        <w:t>What</w:t>
      </w:r>
      <w:r w:rsidRPr="009A136A">
        <w:rPr>
          <w:lang w:val="en-US"/>
        </w:rPr>
        <w:t xml:space="preserve"> </w:t>
      </w:r>
      <w:r>
        <w:rPr>
          <w:lang w:val="en-US"/>
        </w:rPr>
        <w:t xml:space="preserve">distinguishes law from other normative systems: law is coercive order </w:t>
      </w:r>
    </w:p>
    <w:p w14:paraId="7A847AAA" w14:textId="3F7A5DB3" w:rsidR="009A136A" w:rsidRDefault="009A136A" w:rsidP="009A136A">
      <w:pPr>
        <w:pStyle w:val="ListParagraph"/>
        <w:numPr>
          <w:ilvl w:val="0"/>
          <w:numId w:val="5"/>
        </w:numPr>
        <w:spacing w:line="480" w:lineRule="auto"/>
        <w:rPr>
          <w:lang w:val="en-US"/>
        </w:rPr>
      </w:pPr>
      <w:r>
        <w:rPr>
          <w:lang w:val="en-US"/>
        </w:rPr>
        <w:t>Coercion to be distinguished from effectiveness</w:t>
      </w:r>
    </w:p>
    <w:p w14:paraId="6DD71C0A" w14:textId="1F64E0E0" w:rsidR="009A136A" w:rsidRDefault="009A136A" w:rsidP="009A136A">
      <w:pPr>
        <w:pStyle w:val="ListParagraph"/>
        <w:numPr>
          <w:ilvl w:val="0"/>
          <w:numId w:val="5"/>
        </w:numPr>
        <w:spacing w:line="480" w:lineRule="auto"/>
        <w:rPr>
          <w:lang w:val="en-US"/>
        </w:rPr>
      </w:pPr>
      <w:r>
        <w:rPr>
          <w:lang w:val="en-US"/>
        </w:rPr>
        <w:t>Exercise or threat of physical force THE SAME in international law: coercion can be interpreted either as sanction (e.g. UNSC) or as a delict (law of state responsibility)</w:t>
      </w:r>
    </w:p>
    <w:p w14:paraId="1D9E97B5" w14:textId="3E6EC4F9" w:rsidR="009A136A" w:rsidRPr="009A136A" w:rsidRDefault="009A136A" w:rsidP="009A136A">
      <w:pPr>
        <w:spacing w:line="480" w:lineRule="auto"/>
        <w:ind w:left="720"/>
        <w:rPr>
          <w:lang w:val="en-US"/>
        </w:rPr>
      </w:pPr>
      <w:r>
        <w:rPr>
          <w:lang w:val="en-US"/>
        </w:rPr>
        <w:t>“</w:t>
      </w:r>
      <w:proofErr w:type="gramStart"/>
      <w:r w:rsidRPr="009A136A">
        <w:rPr>
          <w:color w:val="E97132" w:themeColor="accent2"/>
          <w:lang w:val="en-US"/>
        </w:rPr>
        <w:t>international</w:t>
      </w:r>
      <w:proofErr w:type="gramEnd"/>
      <w:r w:rsidRPr="009A136A">
        <w:rPr>
          <w:color w:val="E97132" w:themeColor="accent2"/>
          <w:lang w:val="en-US"/>
        </w:rPr>
        <w:t xml:space="preserve"> morality is the soil that fosters the growth of PIL […] whatever is considered just in the sense of international morality has at least a tendency in becoming international law</w:t>
      </w:r>
      <w:r>
        <w:rPr>
          <w:lang w:val="en-US"/>
        </w:rPr>
        <w:t xml:space="preserve">’ </w:t>
      </w:r>
    </w:p>
    <w:p w14:paraId="6E7DE03F" w14:textId="386554B4" w:rsidR="00594FA2" w:rsidRDefault="009A136A" w:rsidP="00DA4B80">
      <w:pPr>
        <w:pStyle w:val="ListParagraph"/>
        <w:spacing w:line="480" w:lineRule="auto"/>
        <w:rPr>
          <w:lang w:val="en-US"/>
        </w:rPr>
      </w:pPr>
      <w:r>
        <w:rPr>
          <w:lang w:val="en-US"/>
        </w:rPr>
        <w:t>Brute</w:t>
      </w:r>
      <w:r w:rsidRPr="009A136A">
        <w:rPr>
          <w:lang w:val="en-US"/>
        </w:rPr>
        <w:t xml:space="preserve"> </w:t>
      </w:r>
      <w:r>
        <w:rPr>
          <w:lang w:val="en-US"/>
        </w:rPr>
        <w:t>force</w:t>
      </w:r>
      <w:r w:rsidRPr="009A136A">
        <w:rPr>
          <w:lang w:val="en-US"/>
        </w:rPr>
        <w:t xml:space="preserve"> </w:t>
      </w:r>
      <w:r>
        <w:rPr>
          <w:lang w:val="en-US"/>
        </w:rPr>
        <w:t>cannot</w:t>
      </w:r>
      <w:r w:rsidRPr="009A136A">
        <w:rPr>
          <w:lang w:val="en-US"/>
        </w:rPr>
        <w:t xml:space="preserve"> </w:t>
      </w:r>
      <w:r>
        <w:rPr>
          <w:lang w:val="en-US"/>
        </w:rPr>
        <w:t>generate law because it does not provide for a basic norm</w:t>
      </w:r>
    </w:p>
    <w:p w14:paraId="2113EAE8" w14:textId="77777777" w:rsidR="009A136A" w:rsidRPr="009A136A" w:rsidRDefault="009A136A" w:rsidP="00DA4B80">
      <w:pPr>
        <w:pStyle w:val="ListParagraph"/>
        <w:spacing w:line="480" w:lineRule="auto"/>
        <w:rPr>
          <w:lang w:val="en-US"/>
        </w:rPr>
      </w:pPr>
    </w:p>
    <w:p w14:paraId="779805DC" w14:textId="2E8B6213" w:rsidR="00FA3A92" w:rsidRPr="004270D4" w:rsidRDefault="00FA3A92" w:rsidP="00DA4B80">
      <w:pPr>
        <w:pStyle w:val="ListParagraph"/>
        <w:spacing w:line="480" w:lineRule="auto"/>
        <w:rPr>
          <w:color w:val="156082" w:themeColor="accent1"/>
        </w:rPr>
      </w:pPr>
      <w:r w:rsidRPr="004270D4">
        <w:rPr>
          <w:color w:val="156082" w:themeColor="accent1"/>
        </w:rPr>
        <w:t>ΠΡΟΒΛΗΜΑΤΑ ΤΟΥ ΘΕΤΙΚΙΣΜΟΥ</w:t>
      </w:r>
    </w:p>
    <w:p w14:paraId="6B90A00D" w14:textId="77777777" w:rsidR="00594FA2" w:rsidRPr="00594FA2" w:rsidRDefault="00594FA2" w:rsidP="00DA4B80">
      <w:pPr>
        <w:pStyle w:val="ListParagraph"/>
        <w:spacing w:line="480" w:lineRule="auto"/>
      </w:pPr>
    </w:p>
    <w:p w14:paraId="506FBC1B" w14:textId="3E9F8FFC" w:rsidR="00FA3A92" w:rsidRDefault="004B5E7A" w:rsidP="00DA4B80">
      <w:pPr>
        <w:pStyle w:val="ListParagraph"/>
        <w:spacing w:line="480" w:lineRule="auto"/>
      </w:pPr>
      <w:r>
        <w:t xml:space="preserve">Πηγές </w:t>
      </w:r>
    </w:p>
    <w:p w14:paraId="201927F8" w14:textId="6283D93D" w:rsidR="004B5E7A" w:rsidRDefault="004B5E7A" w:rsidP="00DA4B80">
      <w:pPr>
        <w:pStyle w:val="ListParagraph"/>
        <w:spacing w:line="480" w:lineRule="auto"/>
        <w:rPr>
          <w:lang w:val="en-US"/>
        </w:rPr>
      </w:pPr>
      <w:r>
        <w:rPr>
          <w:lang w:val="en-US"/>
        </w:rPr>
        <w:t xml:space="preserve">Pacta sunt </w:t>
      </w:r>
      <w:proofErr w:type="spellStart"/>
      <w:r>
        <w:rPr>
          <w:lang w:val="en-US"/>
        </w:rPr>
        <w:t>servanda</w:t>
      </w:r>
      <w:proofErr w:type="spellEnd"/>
    </w:p>
    <w:p w14:paraId="4DAF1637" w14:textId="5BB394DA" w:rsidR="004B5E7A" w:rsidRDefault="004B5E7A" w:rsidP="00DA4B80">
      <w:pPr>
        <w:pStyle w:val="ListParagraph"/>
        <w:spacing w:line="480" w:lineRule="auto"/>
        <w:rPr>
          <w:lang w:val="en-US"/>
        </w:rPr>
      </w:pPr>
      <w:r>
        <w:rPr>
          <w:lang w:val="en-US"/>
        </w:rPr>
        <w:t>Custom</w:t>
      </w:r>
    </w:p>
    <w:p w14:paraId="3C1A35A2" w14:textId="5E9189E7" w:rsidR="004B5E7A" w:rsidRDefault="004B5E7A" w:rsidP="00DA4B80">
      <w:pPr>
        <w:pStyle w:val="ListParagraph"/>
        <w:spacing w:line="480" w:lineRule="auto"/>
        <w:rPr>
          <w:lang w:val="en-US"/>
        </w:rPr>
      </w:pPr>
      <w:r>
        <w:rPr>
          <w:lang w:val="en-US"/>
        </w:rPr>
        <w:t>Normative Hierarchy</w:t>
      </w:r>
    </w:p>
    <w:p w14:paraId="73EB4892" w14:textId="77777777" w:rsidR="004B5E7A" w:rsidRPr="004270D4" w:rsidRDefault="004B5E7A" w:rsidP="00DA4B80">
      <w:pPr>
        <w:pStyle w:val="ListParagraph"/>
        <w:spacing w:line="480" w:lineRule="auto"/>
      </w:pPr>
    </w:p>
    <w:p w14:paraId="2989F992" w14:textId="77777777" w:rsidR="00DA4B80" w:rsidRPr="00594FA2" w:rsidRDefault="00DA4B80" w:rsidP="00DA4B80">
      <w:pPr>
        <w:pStyle w:val="ListParagraph"/>
        <w:spacing w:line="480" w:lineRule="auto"/>
      </w:pPr>
    </w:p>
    <w:p w14:paraId="13FD9679" w14:textId="77777777" w:rsidR="00DA4B80" w:rsidRPr="00594FA2" w:rsidRDefault="00DA4B80" w:rsidP="00DA4B80">
      <w:pPr>
        <w:pStyle w:val="ListParagraph"/>
        <w:spacing w:line="480" w:lineRule="auto"/>
      </w:pPr>
    </w:p>
    <w:sectPr w:rsidR="00DA4B80" w:rsidRPr="00594F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C417F" w14:textId="77777777" w:rsidR="00FB782A" w:rsidRDefault="00FB782A" w:rsidP="00594FA2">
      <w:pPr>
        <w:spacing w:after="0" w:line="240" w:lineRule="auto"/>
      </w:pPr>
      <w:r>
        <w:separator/>
      </w:r>
    </w:p>
  </w:endnote>
  <w:endnote w:type="continuationSeparator" w:id="0">
    <w:p w14:paraId="5B96D05C" w14:textId="77777777" w:rsidR="00FB782A" w:rsidRDefault="00FB782A" w:rsidP="0059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150314"/>
      <w:docPartObj>
        <w:docPartGallery w:val="Page Numbers (Bottom of Page)"/>
        <w:docPartUnique/>
      </w:docPartObj>
    </w:sdtPr>
    <w:sdtEndPr>
      <w:rPr>
        <w:noProof/>
      </w:rPr>
    </w:sdtEndPr>
    <w:sdtContent>
      <w:p w14:paraId="712F8318" w14:textId="1FA38EAC" w:rsidR="00594FA2" w:rsidRDefault="00594FA2">
        <w:pPr>
          <w:pStyle w:val="Footer"/>
        </w:pPr>
        <w:r>
          <w:fldChar w:fldCharType="begin"/>
        </w:r>
        <w:r>
          <w:instrText xml:space="preserve"> PAGE   \* MERGEFORMAT </w:instrText>
        </w:r>
        <w:r>
          <w:fldChar w:fldCharType="separate"/>
        </w:r>
        <w:r>
          <w:rPr>
            <w:noProof/>
          </w:rPr>
          <w:t>2</w:t>
        </w:r>
        <w:r>
          <w:rPr>
            <w:noProof/>
          </w:rPr>
          <w:fldChar w:fldCharType="end"/>
        </w:r>
      </w:p>
    </w:sdtContent>
  </w:sdt>
  <w:p w14:paraId="2EB16841" w14:textId="77777777" w:rsidR="00594FA2" w:rsidRDefault="0059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19973" w14:textId="77777777" w:rsidR="00FB782A" w:rsidRDefault="00FB782A" w:rsidP="00594FA2">
      <w:pPr>
        <w:spacing w:after="0" w:line="240" w:lineRule="auto"/>
      </w:pPr>
      <w:r>
        <w:separator/>
      </w:r>
    </w:p>
  </w:footnote>
  <w:footnote w:type="continuationSeparator" w:id="0">
    <w:p w14:paraId="6FE5696B" w14:textId="77777777" w:rsidR="00FB782A" w:rsidRDefault="00FB782A" w:rsidP="00594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62EB6"/>
    <w:multiLevelType w:val="hybridMultilevel"/>
    <w:tmpl w:val="44BA26A8"/>
    <w:lvl w:ilvl="0" w:tplc="51E2D83E">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BC85F69"/>
    <w:multiLevelType w:val="hybridMultilevel"/>
    <w:tmpl w:val="3266D4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6203574F"/>
    <w:multiLevelType w:val="hybridMultilevel"/>
    <w:tmpl w:val="3AE0F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AFF0229"/>
    <w:multiLevelType w:val="hybridMultilevel"/>
    <w:tmpl w:val="FBA46D74"/>
    <w:lvl w:ilvl="0" w:tplc="90741C82">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73526FC3"/>
    <w:multiLevelType w:val="hybridMultilevel"/>
    <w:tmpl w:val="6BE83E60"/>
    <w:lvl w:ilvl="0" w:tplc="56FC686C">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673728944">
    <w:abstractNumId w:val="2"/>
  </w:num>
  <w:num w:numId="2" w16cid:durableId="1319453936">
    <w:abstractNumId w:val="1"/>
  </w:num>
  <w:num w:numId="3" w16cid:durableId="1126578827">
    <w:abstractNumId w:val="0"/>
  </w:num>
  <w:num w:numId="4" w16cid:durableId="1262252717">
    <w:abstractNumId w:val="4"/>
  </w:num>
  <w:num w:numId="5" w16cid:durableId="78580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33"/>
    <w:rsid w:val="00161333"/>
    <w:rsid w:val="00224033"/>
    <w:rsid w:val="00345859"/>
    <w:rsid w:val="003717C7"/>
    <w:rsid w:val="004270D4"/>
    <w:rsid w:val="004B5E7A"/>
    <w:rsid w:val="00594FA2"/>
    <w:rsid w:val="007818A3"/>
    <w:rsid w:val="00912E66"/>
    <w:rsid w:val="009A136A"/>
    <w:rsid w:val="00D71854"/>
    <w:rsid w:val="00DA4B80"/>
    <w:rsid w:val="00E25B28"/>
    <w:rsid w:val="00FA355E"/>
    <w:rsid w:val="00FA3A92"/>
    <w:rsid w:val="00FA5F58"/>
    <w:rsid w:val="00FB78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6126"/>
  <w15:chartTrackingRefBased/>
  <w15:docId w15:val="{80BCD591-C0A7-46BB-B5C7-561485E9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3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3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13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13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13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13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13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FA355E"/>
    <w:rPr>
      <w:rFonts w:ascii="Times New Roman" w:hAnsi="Times New Roman"/>
      <w:sz w:val="20"/>
      <w:vertAlign w:val="superscript"/>
    </w:rPr>
  </w:style>
  <w:style w:type="paragraph" w:styleId="FootnoteText">
    <w:name w:val="footnote text"/>
    <w:aliases w:val="Char,Footnote,fn,footnote text,Footnotes,Footnote ak,ft,fn cafc"/>
    <w:basedOn w:val="Normal"/>
    <w:link w:val="FootnoteTextChar"/>
    <w:autoRedefine/>
    <w:uiPriority w:val="99"/>
    <w:unhideWhenUsed/>
    <w:rsid w:val="00FA355E"/>
    <w:pPr>
      <w:spacing w:after="0" w:line="240" w:lineRule="auto"/>
    </w:pPr>
    <w:rPr>
      <w:rFonts w:cstheme="minorBidi"/>
    </w:rPr>
  </w:style>
  <w:style w:type="character" w:customStyle="1" w:styleId="FootnoteTextChar">
    <w:name w:val="Footnote Text Char"/>
    <w:aliases w:val="Char Char,Footnote Char,fn Char,footnote text Char,Footnotes Char,Footnote ak Char,ft Char,fn cafc Char"/>
    <w:basedOn w:val="DefaultParagraphFont"/>
    <w:link w:val="FootnoteText"/>
    <w:uiPriority w:val="99"/>
    <w:rsid w:val="00FA355E"/>
    <w:rPr>
      <w:rFonts w:cstheme="minorBidi"/>
    </w:rPr>
  </w:style>
  <w:style w:type="character" w:customStyle="1" w:styleId="Heading1Char">
    <w:name w:val="Heading 1 Char"/>
    <w:basedOn w:val="DefaultParagraphFont"/>
    <w:link w:val="Heading1"/>
    <w:uiPriority w:val="9"/>
    <w:rsid w:val="00161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3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3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13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13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13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13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13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1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3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3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1333"/>
    <w:pPr>
      <w:spacing w:before="160"/>
      <w:jc w:val="center"/>
    </w:pPr>
    <w:rPr>
      <w:i/>
      <w:iCs/>
      <w:color w:val="404040" w:themeColor="text1" w:themeTint="BF"/>
    </w:rPr>
  </w:style>
  <w:style w:type="character" w:customStyle="1" w:styleId="QuoteChar">
    <w:name w:val="Quote Char"/>
    <w:basedOn w:val="DefaultParagraphFont"/>
    <w:link w:val="Quote"/>
    <w:uiPriority w:val="29"/>
    <w:rsid w:val="00161333"/>
    <w:rPr>
      <w:i/>
      <w:iCs/>
      <w:color w:val="404040" w:themeColor="text1" w:themeTint="BF"/>
    </w:rPr>
  </w:style>
  <w:style w:type="paragraph" w:styleId="ListParagraph">
    <w:name w:val="List Paragraph"/>
    <w:basedOn w:val="Normal"/>
    <w:uiPriority w:val="34"/>
    <w:qFormat/>
    <w:rsid w:val="00161333"/>
    <w:pPr>
      <w:ind w:left="720"/>
      <w:contextualSpacing/>
    </w:pPr>
  </w:style>
  <w:style w:type="character" w:styleId="IntenseEmphasis">
    <w:name w:val="Intense Emphasis"/>
    <w:basedOn w:val="DefaultParagraphFont"/>
    <w:uiPriority w:val="21"/>
    <w:qFormat/>
    <w:rsid w:val="00161333"/>
    <w:rPr>
      <w:i/>
      <w:iCs/>
      <w:color w:val="0F4761" w:themeColor="accent1" w:themeShade="BF"/>
    </w:rPr>
  </w:style>
  <w:style w:type="paragraph" w:styleId="IntenseQuote">
    <w:name w:val="Intense Quote"/>
    <w:basedOn w:val="Normal"/>
    <w:next w:val="Normal"/>
    <w:link w:val="IntenseQuoteChar"/>
    <w:uiPriority w:val="30"/>
    <w:qFormat/>
    <w:rsid w:val="00161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333"/>
    <w:rPr>
      <w:i/>
      <w:iCs/>
      <w:color w:val="0F4761" w:themeColor="accent1" w:themeShade="BF"/>
    </w:rPr>
  </w:style>
  <w:style w:type="character" w:styleId="IntenseReference">
    <w:name w:val="Intense Reference"/>
    <w:basedOn w:val="DefaultParagraphFont"/>
    <w:uiPriority w:val="32"/>
    <w:qFormat/>
    <w:rsid w:val="00161333"/>
    <w:rPr>
      <w:b/>
      <w:bCs/>
      <w:smallCaps/>
      <w:color w:val="0F4761" w:themeColor="accent1" w:themeShade="BF"/>
      <w:spacing w:val="5"/>
    </w:rPr>
  </w:style>
  <w:style w:type="paragraph" w:styleId="Header">
    <w:name w:val="header"/>
    <w:basedOn w:val="Normal"/>
    <w:link w:val="HeaderChar"/>
    <w:uiPriority w:val="99"/>
    <w:unhideWhenUsed/>
    <w:rsid w:val="00594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FA2"/>
  </w:style>
  <w:style w:type="paragraph" w:styleId="Footer">
    <w:name w:val="footer"/>
    <w:basedOn w:val="Normal"/>
    <w:link w:val="FooterChar"/>
    <w:uiPriority w:val="99"/>
    <w:unhideWhenUsed/>
    <w:rsid w:val="00594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780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Plakokefalos</dc:creator>
  <cp:keywords/>
  <dc:description/>
  <cp:lastModifiedBy>Ilias Plakokefalos</cp:lastModifiedBy>
  <cp:revision>6</cp:revision>
  <dcterms:created xsi:type="dcterms:W3CDTF">2024-12-19T10:41:00Z</dcterms:created>
  <dcterms:modified xsi:type="dcterms:W3CDTF">2024-12-19T13:36:00Z</dcterms:modified>
</cp:coreProperties>
</file>