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11/relationships/webextensiontaskpanes" Target="word/webextensions/taskpanes.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CB783B" w:rsidRPr="00C02F2C" w:rsidRDefault="00CB783B" w:rsidP="00CB783B">
      <w:pPr>
        <w:spacing w:after="0" w:line="280" w:lineRule="exact"/>
        <w:contextualSpacing/>
        <w:jc w:val="center"/>
        <w:rPr>
          <w:rFonts w:ascii="Poor Richard" w:hAnsi="Poor Richard" w:cs="Times New Roman"/>
          <w:sz w:val="24"/>
          <w:szCs w:val="24"/>
        </w:rPr>
      </w:pPr>
      <w:r w:rsidRPr="00C02F2C">
        <w:rPr>
          <w:rFonts w:ascii="Poor Richard" w:hAnsi="Poor Richard" w:cs="Times New Roman"/>
          <w:sz w:val="24"/>
          <w:szCs w:val="24"/>
        </w:rPr>
        <w:t>Dionysius in Albertus Magnus and his student Thomas Aquinas</w:t>
      </w:r>
    </w:p>
    <w:p w:rsidR="00C02F2C" w:rsidRPr="00C02F2C" w:rsidRDefault="00C02F2C" w:rsidP="00C02F2C">
      <w:pPr>
        <w:spacing w:after="0" w:line="280" w:lineRule="exact"/>
        <w:contextualSpacing/>
        <w:jc w:val="center"/>
        <w:rPr>
          <w:rFonts w:ascii="Poor Richard" w:hAnsi="Poor Richard" w:cs="Times New Roman"/>
          <w:sz w:val="24"/>
          <w:szCs w:val="24"/>
        </w:rPr>
      </w:pPr>
      <w:r w:rsidRPr="00C02F2C">
        <w:rPr>
          <w:rFonts w:ascii="Poor Richard" w:hAnsi="Poor Richard" w:cs="Times New Roman"/>
          <w:sz w:val="24"/>
          <w:szCs w:val="24"/>
        </w:rPr>
        <w:t>Oxford Handbook to Dionysius the Areopagite</w:t>
      </w:r>
    </w:p>
    <w:p w:rsidR="00C02F2C" w:rsidRPr="00C02F2C" w:rsidRDefault="00C02F2C" w:rsidP="00C02F2C">
      <w:pPr>
        <w:spacing w:after="0" w:line="280" w:lineRule="exact"/>
        <w:contextualSpacing/>
        <w:jc w:val="center"/>
        <w:rPr>
          <w:rFonts w:ascii="Poor Richard" w:hAnsi="Poor Richard" w:cs="Times New Roman"/>
          <w:sz w:val="24"/>
          <w:szCs w:val="24"/>
        </w:rPr>
      </w:pPr>
      <w:r w:rsidRPr="00C02F2C">
        <w:rPr>
          <w:rFonts w:ascii="Poor Richard" w:hAnsi="Poor Richard" w:cs="Times New Roman"/>
          <w:sz w:val="24"/>
          <w:szCs w:val="24"/>
        </w:rPr>
        <w:t xml:space="preserve">Edited Mark Edwards, </w:t>
      </w:r>
      <w:proofErr w:type="spellStart"/>
      <w:r w:rsidRPr="00C02F2C">
        <w:rPr>
          <w:rFonts w:ascii="Poor Richard" w:hAnsi="Poor Richard" w:cs="Times New Roman"/>
          <w:sz w:val="24"/>
          <w:szCs w:val="24"/>
        </w:rPr>
        <w:t>Dimitrios</w:t>
      </w:r>
      <w:proofErr w:type="spellEnd"/>
      <w:r w:rsidRPr="00C02F2C">
        <w:rPr>
          <w:rFonts w:ascii="Poor Richard" w:hAnsi="Poor Richard" w:cs="Times New Roman"/>
          <w:sz w:val="24"/>
          <w:szCs w:val="24"/>
        </w:rPr>
        <w:t xml:space="preserve"> </w:t>
      </w:r>
      <w:proofErr w:type="spellStart"/>
      <w:r w:rsidRPr="00C02F2C">
        <w:rPr>
          <w:rFonts w:ascii="Poor Richard" w:hAnsi="Poor Richard" w:cs="Times New Roman"/>
          <w:sz w:val="24"/>
          <w:szCs w:val="24"/>
        </w:rPr>
        <w:t>Pallis</w:t>
      </w:r>
      <w:proofErr w:type="spellEnd"/>
      <w:r>
        <w:rPr>
          <w:rFonts w:ascii="Poor Richard" w:hAnsi="Poor Richard" w:cs="Times New Roman"/>
          <w:sz w:val="24"/>
          <w:szCs w:val="24"/>
        </w:rPr>
        <w:t>,</w:t>
      </w:r>
      <w:r w:rsidRPr="00C02F2C">
        <w:rPr>
          <w:rFonts w:ascii="Poor Richard" w:hAnsi="Poor Richard" w:cs="Times New Roman"/>
          <w:sz w:val="24"/>
          <w:szCs w:val="24"/>
        </w:rPr>
        <w:t xml:space="preserve"> George </w:t>
      </w:r>
      <w:proofErr w:type="spellStart"/>
      <w:r w:rsidRPr="00C02F2C">
        <w:rPr>
          <w:rFonts w:ascii="Poor Richard" w:hAnsi="Poor Richard" w:cs="Times New Roman"/>
          <w:sz w:val="24"/>
          <w:szCs w:val="24"/>
        </w:rPr>
        <w:t>Steiris</w:t>
      </w:r>
      <w:proofErr w:type="spellEnd"/>
    </w:p>
    <w:p w:rsidR="00C02F2C" w:rsidRPr="00C02F2C" w:rsidRDefault="00C02F2C" w:rsidP="00C02F2C">
      <w:pPr>
        <w:spacing w:after="0" w:line="280" w:lineRule="exact"/>
        <w:contextualSpacing/>
        <w:jc w:val="center"/>
        <w:rPr>
          <w:rFonts w:ascii="Poor Richard" w:hAnsi="Poor Richard" w:cs="Times New Roman"/>
          <w:sz w:val="24"/>
          <w:szCs w:val="24"/>
        </w:rPr>
      </w:pPr>
    </w:p>
    <w:p w:rsidR="00C02F2C" w:rsidRPr="00C02F2C" w:rsidRDefault="00C02F2C" w:rsidP="00C02F2C">
      <w:pPr>
        <w:spacing w:after="0" w:line="280" w:lineRule="exact"/>
        <w:contextualSpacing/>
        <w:jc w:val="center"/>
        <w:rPr>
          <w:rFonts w:ascii="Poor Richard" w:hAnsi="Poor Richard" w:cs="Times New Roman"/>
          <w:sz w:val="24"/>
          <w:szCs w:val="24"/>
        </w:rPr>
      </w:pPr>
      <w:r w:rsidRPr="00C02F2C">
        <w:rPr>
          <w:rFonts w:ascii="Poor Richard" w:hAnsi="Poor Richard" w:cs="Times New Roman"/>
          <w:sz w:val="24"/>
          <w:szCs w:val="24"/>
        </w:rPr>
        <w:t>Dr Wayne J. Hankey</w:t>
      </w:r>
    </w:p>
    <w:p w:rsidR="00C02F2C" w:rsidRPr="00C02F2C" w:rsidRDefault="00C02F2C" w:rsidP="00C02F2C">
      <w:pPr>
        <w:spacing w:after="0" w:line="280" w:lineRule="exact"/>
        <w:contextualSpacing/>
        <w:jc w:val="center"/>
        <w:rPr>
          <w:rFonts w:ascii="Poor Richard" w:hAnsi="Poor Richard" w:cs="Times New Roman"/>
          <w:sz w:val="24"/>
          <w:szCs w:val="24"/>
        </w:rPr>
      </w:pPr>
      <w:r w:rsidRPr="00C02F2C">
        <w:rPr>
          <w:rFonts w:ascii="Poor Richard" w:hAnsi="Poor Richard" w:cs="Times New Roman"/>
          <w:sz w:val="24"/>
          <w:szCs w:val="24"/>
        </w:rPr>
        <w:t>Emeritus Professor of Classics</w:t>
      </w:r>
    </w:p>
    <w:p w:rsidR="00CB783B" w:rsidRPr="00C02F2C" w:rsidRDefault="00C02F2C" w:rsidP="00C02F2C">
      <w:pPr>
        <w:spacing w:after="0" w:line="280" w:lineRule="exact"/>
        <w:contextualSpacing/>
        <w:jc w:val="center"/>
        <w:rPr>
          <w:rFonts w:ascii="Poor Richard" w:hAnsi="Poor Richard" w:cs="Times New Roman"/>
          <w:sz w:val="24"/>
          <w:szCs w:val="24"/>
        </w:rPr>
      </w:pPr>
      <w:r w:rsidRPr="00C02F2C">
        <w:rPr>
          <w:rFonts w:ascii="Poor Richard" w:hAnsi="Poor Richard" w:cs="Times New Roman"/>
          <w:sz w:val="24"/>
          <w:szCs w:val="24"/>
        </w:rPr>
        <w:t>Dalhousie University</w:t>
      </w:r>
    </w:p>
    <w:p w:rsidR="00C04C69" w:rsidRPr="00C02F2C" w:rsidRDefault="00C04C69" w:rsidP="00CB783B">
      <w:pPr>
        <w:spacing w:after="0" w:line="280" w:lineRule="exact"/>
        <w:contextualSpacing/>
        <w:jc w:val="center"/>
        <w:rPr>
          <w:rFonts w:ascii="Poor Richard" w:hAnsi="Poor Richard" w:cs="Times New Roman"/>
          <w:sz w:val="24"/>
          <w:szCs w:val="24"/>
          <w:lang w:val="en-US"/>
        </w:rPr>
      </w:pPr>
    </w:p>
    <w:p w:rsidR="000F23BE" w:rsidRPr="00C02F2C" w:rsidRDefault="00454361" w:rsidP="00242980">
      <w:pPr>
        <w:spacing w:after="0" w:line="280" w:lineRule="exact"/>
        <w:ind w:left="360"/>
        <w:jc w:val="center"/>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“Dionysius nearly everywhere follows Aristotle as will be evident to anyone diligently examining his books</w:t>
      </w:r>
      <w:r w:rsidR="00AA6CF3" w:rsidRPr="00C02F2C">
        <w:rPr>
          <w:rFonts w:ascii="Poor Richard" w:hAnsi="Poor Richard" w:cs="Times New Roman"/>
          <w:sz w:val="24"/>
          <w:szCs w:val="24"/>
          <w:lang w:val="en-US" w:eastAsia="zh-CN"/>
        </w:rPr>
        <w:t>.</w:t>
      </w:r>
      <w:r w:rsidRPr="00C02F2C">
        <w:rPr>
          <w:rFonts w:ascii="Poor Richard" w:hAnsi="Poor Richard" w:cs="Times New Roman"/>
          <w:sz w:val="24"/>
          <w:szCs w:val="24"/>
          <w:lang w:val="en-US" w:eastAsia="zh-CN"/>
        </w:rPr>
        <w:t>”</w:t>
      </w:r>
      <w:r w:rsidR="000F23BE" w:rsidRPr="00C02F2C">
        <w:rPr>
          <w:rStyle w:val="FootnoteReference"/>
          <w:rFonts w:ascii="Poor Richard" w:hAnsi="Poor Richard" w:cs="Times New Roman"/>
          <w:smallCaps/>
          <w:sz w:val="24"/>
          <w:szCs w:val="24"/>
          <w:lang w:val="fr-CA"/>
        </w:rPr>
        <w:footnoteReference w:id="1"/>
      </w:r>
    </w:p>
    <w:p w:rsidR="000F23BE" w:rsidRPr="00C02F2C" w:rsidRDefault="000F23BE" w:rsidP="00313228">
      <w:pPr>
        <w:spacing w:after="0" w:line="280" w:lineRule="exact"/>
        <w:contextualSpacing/>
        <w:rPr>
          <w:rFonts w:ascii="Poor Richard" w:hAnsi="Poor Richard" w:cs="Times New Roman"/>
          <w:sz w:val="24"/>
          <w:szCs w:val="24"/>
        </w:rPr>
      </w:pPr>
      <w:r w:rsidRPr="00C02F2C">
        <w:rPr>
          <w:rFonts w:ascii="Poor Richard" w:hAnsi="Poor Richard" w:cs="Times New Roman"/>
          <w:sz w:val="24"/>
          <w:szCs w:val="24"/>
          <w:lang w:val="en-US" w:eastAsia="zh-CN"/>
        </w:rPr>
        <w:t>For this judgement, the great Thomist scholar Marie-Dominque Chenu supposed Aquinas “to have been duped by certain external resemblances.”</w:t>
      </w:r>
      <w:r w:rsidRPr="00C02F2C">
        <w:rPr>
          <w:rStyle w:val="FootnoteReference"/>
          <w:rFonts w:ascii="Poor Richard" w:hAnsi="Poor Richard" w:cs="Times New Roman"/>
          <w:sz w:val="24"/>
          <w:szCs w:val="24"/>
          <w:lang w:val="en-US" w:eastAsia="zh-CN"/>
        </w:rPr>
        <w:footnoteReference w:id="2"/>
      </w:r>
      <w:r w:rsidRPr="00C02F2C">
        <w:rPr>
          <w:rFonts w:ascii="Poor Richard" w:hAnsi="Poor Richard" w:cs="Times New Roman"/>
          <w:sz w:val="24"/>
          <w:szCs w:val="24"/>
          <w:lang w:val="en-US" w:eastAsia="zh-CN"/>
        </w:rPr>
        <w:t xml:space="preserve"> However, if, in fact, there are dupes here, the first was Albertus Magnus. From his great teacher, Albert, the Dionysian Peripatetic, </w:t>
      </w:r>
      <w:r w:rsidRPr="00C02F2C">
        <w:rPr>
          <w:rFonts w:ascii="Poor Richard" w:hAnsi="Poor Richard" w:cs="Times New Roman"/>
          <w:sz w:val="24"/>
          <w:szCs w:val="24"/>
        </w:rPr>
        <w:t>Aquinas, for whom the Areopagite remained a quasi-Biblical authority but identified as a Platonist, learned the fundamental congruence of the doctrines of the greatest philosophical authority, Aristotle, and his match in the higher realm of theology, Dionysius.</w:t>
      </w:r>
    </w:p>
    <w:p w:rsidR="000F23BE" w:rsidRPr="00C02F2C" w:rsidRDefault="000F23BE" w:rsidP="00313228">
      <w:pPr>
        <w:spacing w:after="0" w:line="280" w:lineRule="exact"/>
        <w:contextualSpacing/>
        <w:rPr>
          <w:rFonts w:ascii="Poor Richard" w:hAnsi="Poor Richard" w:cs="Times New Roman"/>
          <w:sz w:val="24"/>
          <w:szCs w:val="24"/>
        </w:rPr>
      </w:pPr>
    </w:p>
    <w:p w:rsidR="000F23BE" w:rsidRPr="00C02F2C" w:rsidRDefault="000F23BE" w:rsidP="00C57E90">
      <w:pPr>
        <w:pStyle w:val="ListParagraph"/>
        <w:numPr>
          <w:ilvl w:val="0"/>
          <w:numId w:val="1"/>
        </w:numPr>
        <w:spacing w:after="0" w:line="280" w:lineRule="exact"/>
        <w:ind w:left="357" w:firstLine="0"/>
        <w:jc w:val="center"/>
        <w:rPr>
          <w:rFonts w:ascii="Poor Richard" w:hAnsi="Poor Richard" w:cs="Times New Roman"/>
          <w:sz w:val="24"/>
          <w:szCs w:val="24"/>
        </w:rPr>
      </w:pPr>
      <w:r w:rsidRPr="00C02F2C">
        <w:rPr>
          <w:rFonts w:ascii="Poor Richard" w:hAnsi="Poor Richard" w:cs="Times New Roman"/>
          <w:sz w:val="24"/>
          <w:szCs w:val="24"/>
        </w:rPr>
        <w:t>Albert, the Dionysian Peripatetic</w:t>
      </w:r>
    </w:p>
    <w:p w:rsidR="000F23BE" w:rsidRPr="00C02F2C" w:rsidRDefault="000F23BE" w:rsidP="0082333C">
      <w:pPr>
        <w:pStyle w:val="ListParagraph"/>
        <w:spacing w:after="0" w:line="280" w:lineRule="exact"/>
        <w:ind w:left="357"/>
        <w:jc w:val="center"/>
        <w:rPr>
          <w:rFonts w:ascii="Poor Richard" w:hAnsi="Poor Richard" w:cs="Times New Roman"/>
          <w:sz w:val="24"/>
          <w:szCs w:val="24"/>
        </w:rPr>
      </w:pPr>
      <w:r w:rsidRPr="00C02F2C">
        <w:rPr>
          <w:rFonts w:ascii="Poor Richard" w:hAnsi="Poor Richard" w:cs="Times New Roman"/>
          <w:sz w:val="24"/>
          <w:szCs w:val="24"/>
        </w:rPr>
        <w:t>A. Dionysius and Aristotle juxtaposed in Cologne</w:t>
      </w:r>
    </w:p>
    <w:p w:rsidR="000F23BE" w:rsidRPr="00C02F2C" w:rsidRDefault="000F23BE" w:rsidP="000F23BE">
      <w:pPr>
        <w:spacing w:after="0" w:line="280" w:lineRule="exact"/>
        <w:contextualSpacing/>
        <w:rPr>
          <w:rFonts w:ascii="Poor Richard" w:hAnsi="Poor Richard" w:cs="Times New Roman"/>
          <w:sz w:val="24"/>
          <w:szCs w:val="24"/>
          <w:lang w:val="en-US" w:eastAsia="zh-CN"/>
        </w:rPr>
      </w:pPr>
      <w:r w:rsidRPr="00C02F2C">
        <w:rPr>
          <w:rFonts w:ascii="Poor Richard" w:hAnsi="Poor Richard" w:cs="Times New Roman"/>
          <w:sz w:val="24"/>
          <w:szCs w:val="24"/>
        </w:rPr>
        <w:t>Aquinas had been initiated by Albert into what Alain de Libera called “The ‘way’ of Dionysian peripateticism,”</w:t>
      </w:r>
      <w:r w:rsidRPr="00C02F2C">
        <w:rPr>
          <w:rStyle w:val="FootnoteReference"/>
          <w:rFonts w:ascii="Poor Richard" w:hAnsi="Poor Richard" w:cs="Times New Roman"/>
          <w:sz w:val="24"/>
          <w:szCs w:val="24"/>
        </w:rPr>
        <w:footnoteReference w:id="3"/>
      </w:r>
      <w:r w:rsidRPr="00C02F2C">
        <w:rPr>
          <w:rFonts w:ascii="Poor Richard" w:hAnsi="Poor Richard" w:cs="Times New Roman"/>
          <w:sz w:val="24"/>
          <w:szCs w:val="24"/>
        </w:rPr>
        <w:t xml:space="preserve"> when, from 1245/46</w:t>
      </w:r>
      <w:r w:rsidRPr="00C02F2C">
        <w:rPr>
          <w:rStyle w:val="FootnoteReference"/>
          <w:rFonts w:ascii="Poor Richard" w:hAnsi="Poor Richard" w:cs="Times New Roman"/>
          <w:sz w:val="24"/>
          <w:szCs w:val="24"/>
        </w:rPr>
        <w:footnoteReference w:id="4"/>
      </w:r>
      <w:r w:rsidRPr="00C02F2C">
        <w:rPr>
          <w:rFonts w:ascii="Poor Richard" w:hAnsi="Poor Richard" w:cs="Times New Roman"/>
          <w:sz w:val="24"/>
          <w:szCs w:val="24"/>
        </w:rPr>
        <w:t xml:space="preserve"> to 1251/52, Thomas was his student, first in Paris and, then, crucially, from 1248, in Cologne. In the advanced </w:t>
      </w:r>
      <w:r w:rsidRPr="00C02F2C">
        <w:rPr>
          <w:rFonts w:ascii="Poor Richard" w:hAnsi="Poor Richard" w:cs="Times New Roman"/>
          <w:i/>
          <w:sz w:val="24"/>
          <w:szCs w:val="24"/>
        </w:rPr>
        <w:t>studium</w:t>
      </w:r>
      <w:r w:rsidRPr="00C02F2C">
        <w:rPr>
          <w:rFonts w:ascii="Poor Richard" w:hAnsi="Poor Richard" w:cs="Times New Roman"/>
          <w:sz w:val="24"/>
          <w:szCs w:val="24"/>
        </w:rPr>
        <w:t xml:space="preserve"> the Dominicans directed Albert to establish there, “the greatest Dionysian commentator of the XIII</w:t>
      </w:r>
      <w:r w:rsidRPr="00C02F2C">
        <w:rPr>
          <w:rFonts w:ascii="Poor Richard" w:hAnsi="Poor Richard" w:cs="Times New Roman"/>
          <w:sz w:val="24"/>
          <w:szCs w:val="24"/>
          <w:vertAlign w:val="superscript"/>
        </w:rPr>
        <w:t xml:space="preserve">th </w:t>
      </w:r>
      <w:r w:rsidRPr="00C02F2C">
        <w:rPr>
          <w:rFonts w:ascii="Poor Richard" w:hAnsi="Poor Richard" w:cs="Times New Roman"/>
          <w:sz w:val="24"/>
          <w:szCs w:val="24"/>
        </w:rPr>
        <w:t>century,”</w:t>
      </w:r>
      <w:r w:rsidRPr="00C02F2C">
        <w:rPr>
          <w:rStyle w:val="FootnoteReference"/>
          <w:rFonts w:ascii="Poor Richard" w:hAnsi="Poor Richard" w:cs="Times New Roman"/>
          <w:sz w:val="24"/>
          <w:szCs w:val="24"/>
        </w:rPr>
        <w:footnoteReference w:id="5"/>
      </w:r>
      <w:r w:rsidRPr="00C02F2C">
        <w:rPr>
          <w:rFonts w:ascii="Poor Richard" w:hAnsi="Poor Richard" w:cs="Times New Roman"/>
          <w:sz w:val="24"/>
          <w:szCs w:val="24"/>
        </w:rPr>
        <w:t xml:space="preserve"> exposited the entire Dionysian </w:t>
      </w:r>
      <w:r w:rsidRPr="00C02F2C">
        <w:rPr>
          <w:rFonts w:ascii="Poor Richard" w:hAnsi="Poor Richard" w:cs="Times New Roman"/>
          <w:i/>
          <w:sz w:val="24"/>
          <w:szCs w:val="24"/>
        </w:rPr>
        <w:t>corpus</w:t>
      </w:r>
      <w:r w:rsidRPr="00C02F2C">
        <w:rPr>
          <w:rFonts w:ascii="Poor Richard" w:hAnsi="Poor Richard" w:cs="Times New Roman"/>
          <w:sz w:val="24"/>
          <w:szCs w:val="24"/>
        </w:rPr>
        <w:t xml:space="preserve"> and began his explanations of the works attributed to Aristotle.</w:t>
      </w:r>
      <w:r w:rsidRPr="00C02F2C">
        <w:rPr>
          <w:rStyle w:val="FootnoteReference"/>
          <w:rFonts w:ascii="Poor Richard" w:hAnsi="Poor Richard" w:cs="Times New Roman"/>
          <w:sz w:val="24"/>
          <w:szCs w:val="24"/>
        </w:rPr>
        <w:footnoteReference w:id="6"/>
      </w:r>
      <w:r w:rsidRPr="00C02F2C">
        <w:rPr>
          <w:rFonts w:ascii="Poor Richard" w:hAnsi="Poor Richard" w:cs="Times New Roman"/>
          <w:sz w:val="24"/>
          <w:szCs w:val="24"/>
          <w:lang w:val="en-US" w:eastAsia="zh-CN"/>
        </w:rPr>
        <w:t xml:space="preserve"> Evidence that Thomas studied both authors with him are manuscripts of Albert’s commentaries on the </w:t>
      </w:r>
      <w:r w:rsidRPr="00C02F2C">
        <w:rPr>
          <w:rFonts w:ascii="Poor Richard" w:hAnsi="Poor Richard" w:cs="Times New Roman"/>
          <w:i/>
          <w:sz w:val="24"/>
          <w:szCs w:val="24"/>
          <w:lang w:val="en-US" w:eastAsia="zh-CN"/>
        </w:rPr>
        <w:t>Dionysian corpus</w:t>
      </w:r>
      <w:r w:rsidRPr="00C02F2C">
        <w:rPr>
          <w:rFonts w:ascii="Poor Richard" w:hAnsi="Poor Richard" w:cs="Times New Roman"/>
          <w:sz w:val="24"/>
          <w:szCs w:val="24"/>
          <w:lang w:val="en-US" w:eastAsia="zh-CN"/>
        </w:rPr>
        <w:t xml:space="preserve"> and of his lectures on the </w:t>
      </w:r>
      <w:r w:rsidRPr="00C02F2C">
        <w:rPr>
          <w:rFonts w:ascii="Poor Richard" w:hAnsi="Poor Richard" w:cs="Times New Roman"/>
          <w:i/>
          <w:sz w:val="24"/>
          <w:szCs w:val="24"/>
          <w:lang w:val="en-US" w:eastAsia="zh-CN"/>
        </w:rPr>
        <w:t xml:space="preserve">Nicomachean Ethics </w:t>
      </w:r>
      <w:r w:rsidRPr="00C02F2C">
        <w:rPr>
          <w:rFonts w:ascii="Poor Richard" w:hAnsi="Poor Richard" w:cs="Times New Roman"/>
          <w:sz w:val="24"/>
          <w:szCs w:val="24"/>
          <w:lang w:val="en-US" w:eastAsia="zh-CN"/>
        </w:rPr>
        <w:t>of Aristotle.  For the former, we have Thomas’ autographs, written out for Albert as his assistant.</w:t>
      </w:r>
      <w:r w:rsidRPr="00C02F2C">
        <w:rPr>
          <w:rStyle w:val="FootnoteReference"/>
          <w:rFonts w:ascii="Poor Richard" w:hAnsi="Poor Richard" w:cs="Times New Roman"/>
          <w:sz w:val="24"/>
          <w:szCs w:val="24"/>
          <w:lang w:val="en-US" w:eastAsia="zh-CN"/>
        </w:rPr>
        <w:footnoteReference w:id="7"/>
      </w:r>
      <w:r w:rsidRPr="00C02F2C">
        <w:rPr>
          <w:rFonts w:ascii="Poor Richard" w:hAnsi="Poor Richard" w:cs="Times New Roman"/>
          <w:sz w:val="24"/>
          <w:szCs w:val="24"/>
          <w:lang w:val="en-US" w:eastAsia="zh-CN"/>
        </w:rPr>
        <w:t xml:space="preserve"> Thus “he copied the whole set of Albert’s [Dionysian] commentaries by hand” and also inserted annotations.</w:t>
      </w:r>
      <w:r w:rsidRPr="00C02F2C">
        <w:rPr>
          <w:rStyle w:val="FootnoteReference"/>
          <w:rFonts w:ascii="Poor Richard" w:hAnsi="Poor Richard" w:cs="Times New Roman"/>
          <w:sz w:val="24"/>
          <w:szCs w:val="24"/>
          <w:lang w:val="en-US" w:eastAsia="zh-CN"/>
        </w:rPr>
        <w:footnoteReference w:id="8"/>
      </w:r>
      <w:r w:rsidRPr="00C02F2C">
        <w:rPr>
          <w:rFonts w:ascii="Poor Richard" w:hAnsi="Poor Richard" w:cs="Times New Roman"/>
          <w:sz w:val="24"/>
          <w:szCs w:val="24"/>
          <w:lang w:val="en-US" w:eastAsia="zh-CN"/>
        </w:rPr>
        <w:t xml:space="preserve"> For the </w:t>
      </w:r>
      <w:r w:rsidRPr="00C02F2C">
        <w:rPr>
          <w:rFonts w:ascii="Poor Richard" w:hAnsi="Poor Richard" w:cs="Times New Roman"/>
          <w:i/>
          <w:sz w:val="24"/>
          <w:szCs w:val="24"/>
          <w:lang w:val="en-US" w:eastAsia="zh-CN"/>
        </w:rPr>
        <w:t>Ethics</w:t>
      </w:r>
      <w:r w:rsidRPr="00C02F2C">
        <w:rPr>
          <w:rFonts w:ascii="Poor Richard" w:hAnsi="Poor Richard" w:cs="Times New Roman"/>
          <w:sz w:val="24"/>
          <w:szCs w:val="24"/>
          <w:lang w:val="en-US" w:eastAsia="zh-CN"/>
        </w:rPr>
        <w:t xml:space="preserve">, we have a </w:t>
      </w:r>
      <w:r w:rsidRPr="00C02F2C">
        <w:rPr>
          <w:rFonts w:ascii="Poor Richard" w:hAnsi="Poor Richard" w:cs="Times New Roman"/>
          <w:i/>
          <w:sz w:val="24"/>
          <w:szCs w:val="24"/>
          <w:lang w:val="en-US" w:eastAsia="zh-CN"/>
        </w:rPr>
        <w:t xml:space="preserve">reportatio </w:t>
      </w:r>
      <w:r w:rsidRPr="00C02F2C">
        <w:rPr>
          <w:rFonts w:ascii="Poor Richard" w:hAnsi="Poor Richard" w:cs="Times New Roman"/>
          <w:sz w:val="24"/>
          <w:szCs w:val="24"/>
          <w:lang w:val="en-US" w:eastAsia="zh-CN"/>
        </w:rPr>
        <w:t xml:space="preserve">by Thomas. Importantly for the differences which evolved between their ways of thinking, Albert did not start his paraphrastic expositions of the </w:t>
      </w:r>
      <w:r w:rsidRPr="00C02F2C">
        <w:rPr>
          <w:rFonts w:ascii="Poor Richard" w:hAnsi="Poor Richard" w:cs="Times New Roman"/>
          <w:sz w:val="24"/>
          <w:szCs w:val="24"/>
          <w:lang w:val="en-US" w:eastAsia="zh-CN"/>
        </w:rPr>
        <w:lastRenderedPageBreak/>
        <w:t xml:space="preserve">Aristotelian </w:t>
      </w:r>
      <w:r w:rsidRPr="00C02F2C">
        <w:rPr>
          <w:rFonts w:ascii="Poor Richard" w:hAnsi="Poor Richard" w:cs="Times New Roman"/>
          <w:i/>
          <w:sz w:val="24"/>
          <w:szCs w:val="24"/>
          <w:lang w:val="en-US" w:eastAsia="zh-CN"/>
        </w:rPr>
        <w:t>corpus</w:t>
      </w:r>
      <w:r w:rsidRPr="00C02F2C">
        <w:rPr>
          <w:rFonts w:ascii="Poor Richard" w:hAnsi="Poor Richard" w:cs="Times New Roman"/>
          <w:sz w:val="24"/>
          <w:szCs w:val="24"/>
          <w:lang w:val="en-US" w:eastAsia="zh-CN"/>
        </w:rPr>
        <w:t xml:space="preserve"> until the one devoted to the </w:t>
      </w:r>
      <w:r w:rsidRPr="00C02F2C">
        <w:rPr>
          <w:rFonts w:ascii="Poor Richard" w:hAnsi="Poor Richard" w:cs="Times New Roman"/>
          <w:i/>
          <w:sz w:val="24"/>
          <w:szCs w:val="24"/>
          <w:lang w:val="en-US" w:eastAsia="zh-CN"/>
        </w:rPr>
        <w:t>Physics</w:t>
      </w:r>
      <w:r w:rsidRPr="00C02F2C">
        <w:rPr>
          <w:rFonts w:ascii="Poor Richard" w:hAnsi="Poor Richard" w:cs="Times New Roman"/>
          <w:sz w:val="24"/>
          <w:szCs w:val="24"/>
          <w:lang w:val="en-US" w:eastAsia="zh-CN"/>
        </w:rPr>
        <w:t xml:space="preserve"> in 1251/52. Soon after that, Thomas left for Paris. Burger stresses that “when Albert was commenting on the texts of Aristotle, and finally on the </w:t>
      </w:r>
      <w:r w:rsidRPr="00C02F2C">
        <w:rPr>
          <w:rFonts w:ascii="Poor Richard" w:hAnsi="Poor Richard" w:cs="Times New Roman"/>
          <w:i/>
          <w:sz w:val="24"/>
          <w:szCs w:val="24"/>
          <w:lang w:val="en-US" w:eastAsia="zh-CN"/>
        </w:rPr>
        <w:t>Liber de causis</w:t>
      </w:r>
      <w:r w:rsidRPr="00C02F2C">
        <w:rPr>
          <w:rFonts w:ascii="Poor Richard" w:hAnsi="Poor Richard" w:cs="Times New Roman"/>
          <w:sz w:val="24"/>
          <w:szCs w:val="24"/>
          <w:lang w:val="en-US" w:eastAsia="zh-CN"/>
        </w:rPr>
        <w:t>, Thomas was in Paris and in Italy. So their ways, like their thinking, were separated.”</w:t>
      </w:r>
      <w:r w:rsidRPr="00C02F2C">
        <w:rPr>
          <w:rStyle w:val="FootnoteReference"/>
          <w:rFonts w:ascii="Poor Richard" w:hAnsi="Poor Richard" w:cs="Times New Roman"/>
          <w:sz w:val="24"/>
          <w:szCs w:val="24"/>
          <w:lang w:val="en-US" w:eastAsia="zh-CN"/>
        </w:rPr>
        <w:footnoteReference w:id="9"/>
      </w:r>
    </w:p>
    <w:p w:rsidR="000F23BE" w:rsidRPr="00C02F2C" w:rsidRDefault="000F23BE" w:rsidP="00E910D7">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“In the autumn of 1251, or at the latest 1252, [Aquinas] commenced his career of teaching at the University of Paris by cursive reading of two books of the Bible.”</w:t>
      </w:r>
      <w:r w:rsidRPr="00C02F2C">
        <w:rPr>
          <w:rStyle w:val="FootnoteReference"/>
          <w:rFonts w:ascii="Poor Richard" w:hAnsi="Poor Richard" w:cs="Times New Roman"/>
          <w:sz w:val="24"/>
          <w:szCs w:val="24"/>
          <w:lang w:val="en-US" w:eastAsia="zh-CN"/>
        </w:rPr>
        <w:footnoteReference w:id="10"/>
      </w:r>
      <w:r w:rsidRPr="00C02F2C">
        <w:rPr>
          <w:rFonts w:ascii="Poor Richard" w:hAnsi="Poor Richard" w:cs="Times New Roman"/>
          <w:sz w:val="24"/>
          <w:szCs w:val="24"/>
          <w:lang w:val="en-US" w:eastAsia="zh-CN"/>
        </w:rPr>
        <w:t xml:space="preserve">  These lectures qualified him to comment on the </w:t>
      </w:r>
      <w:r w:rsidRPr="00C02F2C">
        <w:rPr>
          <w:rFonts w:ascii="Poor Richard" w:hAnsi="Poor Richard" w:cs="Times New Roman"/>
          <w:i/>
          <w:sz w:val="24"/>
          <w:szCs w:val="24"/>
          <w:lang w:val="en-US" w:eastAsia="zh-CN"/>
        </w:rPr>
        <w:t>Sentences</w:t>
      </w:r>
      <w:r w:rsidRPr="00C02F2C">
        <w:rPr>
          <w:rFonts w:ascii="Poor Richard" w:hAnsi="Poor Richard" w:cs="Times New Roman"/>
          <w:sz w:val="24"/>
          <w:szCs w:val="24"/>
          <w:lang w:val="en-US" w:eastAsia="zh-CN"/>
        </w:rPr>
        <w:t xml:space="preserve">, obtain the </w:t>
      </w:r>
      <w:r w:rsidRPr="00C02F2C">
        <w:rPr>
          <w:rFonts w:ascii="Poor Richard" w:hAnsi="Poor Richard" w:cs="Times New Roman"/>
          <w:i/>
          <w:sz w:val="24"/>
          <w:szCs w:val="24"/>
          <w:lang w:val="en-US" w:eastAsia="zh-CN"/>
        </w:rPr>
        <w:t>licentia docendi</w:t>
      </w:r>
      <w:r w:rsidRPr="00C02F2C">
        <w:rPr>
          <w:rFonts w:ascii="Poor Richard" w:hAnsi="Poor Richard" w:cs="Times New Roman"/>
          <w:sz w:val="24"/>
          <w:szCs w:val="24"/>
          <w:lang w:val="en-US" w:eastAsia="zh-CN"/>
        </w:rPr>
        <w:t xml:space="preserve">, the status of </w:t>
      </w:r>
      <w:r w:rsidRPr="00C02F2C">
        <w:rPr>
          <w:rFonts w:ascii="Poor Richard" w:hAnsi="Poor Richard" w:cs="Times New Roman"/>
          <w:i/>
          <w:sz w:val="24"/>
          <w:szCs w:val="24"/>
          <w:lang w:val="en-US" w:eastAsia="zh-CN"/>
        </w:rPr>
        <w:t>magister</w:t>
      </w:r>
      <w:r w:rsidRPr="00C02F2C">
        <w:rPr>
          <w:rFonts w:ascii="Poor Richard" w:hAnsi="Poor Richard" w:cs="Times New Roman"/>
          <w:sz w:val="24"/>
          <w:szCs w:val="24"/>
          <w:lang w:val="en-US" w:eastAsia="zh-CN"/>
        </w:rPr>
        <w:t xml:space="preserve">, and a chair. Thomas’ </w:t>
      </w:r>
      <w:r w:rsidRPr="00C02F2C">
        <w:rPr>
          <w:rFonts w:ascii="Poor Richard" w:hAnsi="Poor Richard" w:cs="Times New Roman"/>
          <w:i/>
          <w:sz w:val="24"/>
          <w:szCs w:val="24"/>
          <w:lang w:val="en-US" w:eastAsia="zh-CN"/>
        </w:rPr>
        <w:t xml:space="preserve">Sentences Commentary </w:t>
      </w:r>
      <w:r w:rsidRPr="00C02F2C">
        <w:rPr>
          <w:rFonts w:ascii="Poor Richard" w:hAnsi="Poor Richard" w:cs="Times New Roman"/>
          <w:sz w:val="24"/>
          <w:szCs w:val="24"/>
          <w:lang w:val="en-US" w:eastAsia="zh-CN"/>
        </w:rPr>
        <w:t>is his largest theological system. Commenting on the second Book Thomas made his observation about Dionysius following Aristotle, “during the academic year 1252-53” or the next,</w:t>
      </w:r>
      <w:r w:rsidRPr="00C02F2C">
        <w:rPr>
          <w:rStyle w:val="FootnoteReference"/>
          <w:rFonts w:ascii="Poor Richard" w:hAnsi="Poor Richard" w:cs="Times New Roman"/>
          <w:sz w:val="24"/>
          <w:szCs w:val="24"/>
          <w:lang w:val="en-US" w:eastAsia="zh-CN"/>
        </w:rPr>
        <w:footnoteReference w:id="11"/>
      </w:r>
      <w:r w:rsidRPr="00C02F2C">
        <w:rPr>
          <w:rFonts w:ascii="Poor Richard" w:hAnsi="Poor Richard" w:cs="Times New Roman"/>
          <w:sz w:val="24"/>
          <w:szCs w:val="24"/>
          <w:lang w:val="en-US" w:eastAsia="zh-CN"/>
        </w:rPr>
        <w:t xml:space="preserve"> when he was still strongly under the influence of Albert.</w:t>
      </w:r>
    </w:p>
    <w:p w:rsidR="000F23BE" w:rsidRPr="00C02F2C" w:rsidRDefault="000F23BE" w:rsidP="00E910D7">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No longer determined to possess the medieval scholastics as changeless doctrinal and philosophical authorities,</w:t>
      </w:r>
      <w:r w:rsidRPr="00C02F2C">
        <w:rPr>
          <w:rStyle w:val="FootnoteReference"/>
          <w:rFonts w:ascii="Poor Richard" w:hAnsi="Poor Richard" w:cs="Times New Roman"/>
          <w:sz w:val="24"/>
          <w:szCs w:val="24"/>
          <w:lang w:val="en-US" w:eastAsia="zh-CN"/>
        </w:rPr>
        <w:footnoteReference w:id="12"/>
      </w:r>
      <w:r w:rsidRPr="00C02F2C">
        <w:rPr>
          <w:rFonts w:ascii="Poor Richard" w:hAnsi="Poor Richard" w:cs="Times New Roman"/>
          <w:sz w:val="24"/>
          <w:szCs w:val="24"/>
          <w:lang w:val="en-US" w:eastAsia="zh-CN"/>
        </w:rPr>
        <w:t xml:space="preserve"> we now value the developments or radical shifts of mind required by Albert’s reconciliation of what is most strongly opposed in Latin Christendom’s 13</w:t>
      </w:r>
      <w:r w:rsidRPr="00C02F2C">
        <w:rPr>
          <w:rFonts w:ascii="Poor Richard" w:hAnsi="Poor Richard" w:cs="Times New Roman"/>
          <w:sz w:val="24"/>
          <w:szCs w:val="24"/>
          <w:vertAlign w:val="superscript"/>
          <w:lang w:val="en-US" w:eastAsia="zh-CN"/>
        </w:rPr>
        <w:t>th</w:t>
      </w:r>
      <w:r w:rsidRPr="00C02F2C">
        <w:rPr>
          <w:rFonts w:ascii="Poor Richard" w:hAnsi="Poor Richard" w:cs="Times New Roman"/>
          <w:sz w:val="24"/>
          <w:szCs w:val="24"/>
          <w:lang w:val="en-US" w:eastAsia="zh-CN"/>
        </w:rPr>
        <w:t xml:space="preserve"> century intellectual world: the Augustinian Platonist tradition vis-à-vis Dionysius and apophatic theology, on the one hand, and Aristotle, mediated by Arabic philosophy, on the other, with their overlaps. Equally, we prize Aquinas’ continuation of this synthesis, while reaching back behind both the Arabic and Latin philosophers to the Greeks. He sought the fonts from which philosophy flowed in primal purity and traced the history of its progress and errors for use as arguments. His Plato and Aristotle were largely framed for him by the Late Ancient Neoplatonists and Peripatetics Moerbeke made available. In fact, they had mediated what were for Aquinas the two greatest philosophers to the Arabic and Latin philosophers he mostly knew.</w:t>
      </w:r>
      <w:r w:rsidRPr="00C02F2C">
        <w:rPr>
          <w:rStyle w:val="FootnoteReference"/>
          <w:rFonts w:ascii="Poor Richard" w:hAnsi="Poor Richard" w:cs="Times New Roman"/>
          <w:sz w:val="24"/>
          <w:szCs w:val="24"/>
        </w:rPr>
        <w:footnoteReference w:id="13"/>
      </w:r>
      <w:r w:rsidRPr="00C02F2C">
        <w:rPr>
          <w:rFonts w:ascii="Poor Richard" w:hAnsi="Poor Richard" w:cs="Times New Roman"/>
          <w:sz w:val="24"/>
          <w:szCs w:val="24"/>
          <w:lang w:val="en-US" w:eastAsia="zh-CN"/>
        </w:rPr>
        <w:t xml:space="preserve"> In scholastic theology, changes in understanding of the history of philosophy have doctrinal implications. When Platonism is reevaluated positively and Dionysius is understood to follow and modify a school of thought whose acme is Proclus, rather than Aristotle, a change Aquinas’ mind underwent,</w:t>
      </w:r>
      <w:r w:rsidRPr="00C02F2C">
        <w:rPr>
          <w:rStyle w:val="FootnoteReference"/>
          <w:rFonts w:ascii="Poor Richard" w:hAnsi="Poor Richard" w:cs="Times New Roman"/>
          <w:sz w:val="24"/>
          <w:szCs w:val="24"/>
          <w:lang w:val="en-US" w:eastAsia="zh-CN"/>
        </w:rPr>
        <w:footnoteReference w:id="14"/>
      </w:r>
      <w:r w:rsidRPr="00C02F2C">
        <w:rPr>
          <w:rFonts w:ascii="Poor Richard" w:hAnsi="Poor Richard" w:cs="Times New Roman"/>
          <w:sz w:val="24"/>
          <w:szCs w:val="24"/>
          <w:lang w:val="en-US" w:eastAsia="zh-CN"/>
        </w:rPr>
        <w:t xml:space="preserve"> theology is shaped differently.</w:t>
      </w:r>
    </w:p>
    <w:p w:rsidR="000F23BE" w:rsidRPr="00C02F2C" w:rsidRDefault="000F23BE" w:rsidP="002766B4">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Albert’s thinking went through several stages.</w:t>
      </w:r>
      <w:r w:rsidRPr="00C02F2C">
        <w:rPr>
          <w:rStyle w:val="FootnoteReference"/>
          <w:rFonts w:ascii="Poor Richard" w:hAnsi="Poor Richard" w:cs="Times New Roman"/>
          <w:sz w:val="24"/>
          <w:szCs w:val="24"/>
          <w:lang w:val="en-US" w:eastAsia="zh-CN"/>
        </w:rPr>
        <w:footnoteReference w:id="15"/>
      </w:r>
      <w:r w:rsidRPr="00C02F2C">
        <w:rPr>
          <w:rFonts w:ascii="Poor Richard" w:hAnsi="Poor Richard" w:cs="Times New Roman"/>
          <w:sz w:val="24"/>
          <w:szCs w:val="24"/>
          <w:lang w:val="en-US" w:eastAsia="zh-CN"/>
        </w:rPr>
        <w:t xml:space="preserve"> His largest shift is the one by which Dionysius, matched with Aristotelian philosophy in its Arabic Neoplatonic – Peripatetic medium, provided the system within which his Latin Augustinianism is placed.</w:t>
      </w:r>
      <w:r w:rsidRPr="00C02F2C">
        <w:rPr>
          <w:rStyle w:val="FootnoteReference"/>
          <w:rFonts w:ascii="Poor Richard" w:hAnsi="Poor Richard" w:cs="Times New Roman"/>
          <w:sz w:val="24"/>
          <w:szCs w:val="24"/>
          <w:lang w:val="en-US" w:eastAsia="zh-CN"/>
        </w:rPr>
        <w:t xml:space="preserve"> </w:t>
      </w:r>
      <w:r w:rsidRPr="00C02F2C">
        <w:rPr>
          <w:rFonts w:ascii="Poor Richard" w:hAnsi="Poor Richard" w:cs="Times New Roman"/>
          <w:sz w:val="24"/>
          <w:szCs w:val="24"/>
          <w:lang w:val="en-US" w:eastAsia="zh-CN"/>
        </w:rPr>
        <w:t xml:space="preserve">The Latins were confronted with a new intellectual reality, terrible in its totality. </w:t>
      </w:r>
      <w:r w:rsidRPr="00C02F2C">
        <w:rPr>
          <w:rFonts w:ascii="Poor Richard" w:hAnsi="Poor Richard" w:cs="Times New Roman"/>
          <w:sz w:val="24"/>
          <w:szCs w:val="24"/>
        </w:rPr>
        <w:t xml:space="preserve">As a result of its Arabic transformations, preceded by Byzantine developments requiring that Neoplatonism be hidden within commentary on Aristotle, the thought of the Stagirite appears in the Latin West as: “a total philosophical </w:t>
      </w:r>
      <w:r w:rsidRPr="00C02F2C">
        <w:rPr>
          <w:rFonts w:ascii="Poor Richard" w:hAnsi="Poor Richard" w:cs="Times New Roman"/>
          <w:i/>
          <w:sz w:val="24"/>
          <w:szCs w:val="24"/>
        </w:rPr>
        <w:t>corpus</w:t>
      </w:r>
      <w:r w:rsidRPr="00C02F2C">
        <w:rPr>
          <w:rFonts w:ascii="Poor Richard" w:hAnsi="Poor Richard" w:cs="Times New Roman"/>
          <w:sz w:val="24"/>
          <w:szCs w:val="24"/>
        </w:rPr>
        <w:t>, where all of Hellenistic thought, profoundly Neoplatonized, had slipped—sometimes surreptitiously.”</w:t>
      </w:r>
      <w:r w:rsidRPr="00C02F2C">
        <w:rPr>
          <w:rStyle w:val="FootnoteReference"/>
          <w:rFonts w:ascii="Poor Richard" w:hAnsi="Poor Richard" w:cs="Times New Roman"/>
          <w:sz w:val="24"/>
          <w:szCs w:val="24"/>
        </w:rPr>
        <w:footnoteReference w:id="16"/>
      </w:r>
      <w:r w:rsidRPr="00C02F2C">
        <w:rPr>
          <w:rFonts w:ascii="Poor Richard" w:hAnsi="Poor Richard" w:cs="Times New Roman"/>
          <w:sz w:val="24"/>
          <w:szCs w:val="24"/>
          <w:lang w:val="en-US" w:eastAsia="zh-CN"/>
        </w:rPr>
        <w:t xml:space="preserve"> The last great wave of Aristotle’s works arrived not only with the Cryptoproclean </w:t>
      </w:r>
      <w:r w:rsidRPr="00C02F2C">
        <w:rPr>
          <w:rFonts w:ascii="Poor Richard" w:hAnsi="Poor Richard" w:cs="Times New Roman"/>
          <w:i/>
          <w:sz w:val="24"/>
          <w:szCs w:val="24"/>
          <w:lang w:val="en-US" w:eastAsia="zh-CN"/>
        </w:rPr>
        <w:t>Liber de causis</w:t>
      </w:r>
      <w:r w:rsidRPr="00C02F2C">
        <w:rPr>
          <w:rFonts w:ascii="Poor Richard" w:hAnsi="Poor Richard" w:cs="Times New Roman"/>
          <w:sz w:val="24"/>
          <w:szCs w:val="24"/>
          <w:lang w:val="en-US" w:eastAsia="zh-CN"/>
        </w:rPr>
        <w:t xml:space="preserve">, taken to be the theological pinnacle of </w:t>
      </w:r>
      <w:r w:rsidRPr="00C02F2C">
        <w:rPr>
          <w:rFonts w:ascii="Poor Richard" w:hAnsi="Poor Richard" w:cs="Times New Roman"/>
          <w:sz w:val="24"/>
          <w:szCs w:val="24"/>
          <w:lang w:val="en-US" w:eastAsia="zh-CN"/>
        </w:rPr>
        <w:lastRenderedPageBreak/>
        <w:t>his philosophy, but also, first, with important systematic works of Avicenna. Then came Averroes</w:t>
      </w:r>
      <w:r w:rsidRPr="00C02F2C">
        <w:rPr>
          <w:rFonts w:ascii="Poor Richard" w:hAnsi="Poor Richard" w:cs="Times New Roman"/>
          <w:sz w:val="24"/>
          <w:szCs w:val="24"/>
          <w:lang w:eastAsia="zh-CN"/>
        </w:rPr>
        <w:t>’</w:t>
      </w:r>
      <w:r w:rsidRPr="00C02F2C">
        <w:rPr>
          <w:rFonts w:ascii="Poor Richard" w:hAnsi="Poor Richard" w:cs="Times New Roman"/>
          <w:sz w:val="24"/>
          <w:szCs w:val="24"/>
          <w:lang w:val="en-US" w:eastAsia="zh-CN"/>
        </w:rPr>
        <w:t xml:space="preserve"> commentaries received in phases.</w:t>
      </w:r>
      <w:r w:rsidRPr="00C02F2C">
        <w:rPr>
          <w:rStyle w:val="FootnoteReference"/>
          <w:rFonts w:ascii="Poor Richard" w:hAnsi="Poor Richard" w:cs="Times New Roman"/>
          <w:sz w:val="24"/>
          <w:szCs w:val="24"/>
          <w:lang w:val="en-US" w:eastAsia="zh-CN"/>
        </w:rPr>
        <w:footnoteReference w:id="17"/>
      </w:r>
      <w:r w:rsidRPr="00C02F2C">
        <w:rPr>
          <w:rFonts w:ascii="Poor Richard" w:hAnsi="Poor Richard" w:cs="Times New Roman"/>
          <w:sz w:val="24"/>
          <w:szCs w:val="24"/>
          <w:lang w:val="en-US" w:eastAsia="zh-CN"/>
        </w:rPr>
        <w:t xml:space="preserve"> Edward Booth writes of how Latin Christendom’s philosophers and theologians were “almost overwhelmed”:</w:t>
      </w:r>
    </w:p>
    <w:p w:rsidR="000F23BE" w:rsidRPr="00C02F2C" w:rsidRDefault="000F23BE" w:rsidP="002766B4">
      <w:pPr>
        <w:spacing w:after="0" w:line="280" w:lineRule="exact"/>
        <w:ind w:firstLine="720"/>
        <w:contextualSpacing/>
        <w:rPr>
          <w:rFonts w:ascii="Poor Richard" w:hAnsi="Poor Richard" w:cs="Times New Roman"/>
          <w:sz w:val="24"/>
          <w:szCs w:val="24"/>
          <w:lang w:val="en-US" w:eastAsia="zh-CN"/>
        </w:rPr>
      </w:pPr>
    </w:p>
    <w:p w:rsidR="000F23BE" w:rsidRPr="00C02F2C" w:rsidRDefault="000F23BE" w:rsidP="002766B4">
      <w:pPr>
        <w:spacing w:after="0" w:line="280" w:lineRule="exact"/>
        <w:ind w:left="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as the proportion of Christian to non-Christian thinking was now thoroughly altered with the onslaught of Aristotle on Plato’s metaphysics now unexpectedly disclosed and expressed … in the rigorous systems of Ibn S</w:t>
      </w:r>
      <w:r w:rsidRPr="00C02F2C">
        <w:rPr>
          <w:rFonts w:ascii="Times New Roman" w:hAnsi="Times New Roman" w:cs="Times New Roman"/>
          <w:sz w:val="24"/>
          <w:szCs w:val="24"/>
          <w:lang w:val="en-US" w:eastAsia="zh-CN"/>
        </w:rPr>
        <w:t>ī</w:t>
      </w:r>
      <w:r w:rsidRPr="00C02F2C">
        <w:rPr>
          <w:rFonts w:ascii="Poor Richard" w:hAnsi="Poor Richard" w:cs="Times New Roman"/>
          <w:sz w:val="24"/>
          <w:szCs w:val="24"/>
          <w:lang w:val="en-US" w:eastAsia="zh-CN"/>
        </w:rPr>
        <w:t>n</w:t>
      </w:r>
      <w:r w:rsidRPr="00C02F2C">
        <w:rPr>
          <w:rFonts w:ascii="Times New Roman" w:hAnsi="Times New Roman" w:cs="Times New Roman"/>
          <w:sz w:val="24"/>
          <w:szCs w:val="24"/>
          <w:lang w:val="en-US" w:eastAsia="zh-CN"/>
        </w:rPr>
        <w:t>ā</w:t>
      </w:r>
      <w:r w:rsidRPr="00C02F2C">
        <w:rPr>
          <w:rFonts w:ascii="Poor Richard" w:hAnsi="Poor Richard" w:cs="Times New Roman"/>
          <w:sz w:val="24"/>
          <w:szCs w:val="24"/>
          <w:lang w:val="en-US" w:eastAsia="zh-CN"/>
        </w:rPr>
        <w:t xml:space="preserve"> and Ibn Rushd, for which no equivalent existed.</w:t>
      </w:r>
      <w:r w:rsidRPr="00C02F2C">
        <w:rPr>
          <w:rFonts w:ascii="Poor Richard" w:hAnsi="Poor Richard" w:cs="Poor Richard"/>
          <w:sz w:val="24"/>
          <w:szCs w:val="24"/>
          <w:lang w:val="en-US" w:eastAsia="zh-CN"/>
        </w:rPr>
        <w:t>”</w:t>
      </w:r>
      <w:r w:rsidRPr="00C02F2C">
        <w:rPr>
          <w:rStyle w:val="FootnoteReference"/>
          <w:rFonts w:ascii="Poor Richard" w:hAnsi="Poor Richard" w:cs="Times New Roman"/>
          <w:sz w:val="24"/>
          <w:szCs w:val="24"/>
          <w:lang w:val="en-US" w:eastAsia="zh-CN"/>
        </w:rPr>
        <w:footnoteReference w:id="18"/>
      </w:r>
    </w:p>
    <w:p w:rsidR="000F23BE" w:rsidRPr="00C02F2C" w:rsidRDefault="000F23BE" w:rsidP="002766B4">
      <w:pPr>
        <w:spacing w:after="0" w:line="280" w:lineRule="exact"/>
        <w:ind w:left="720"/>
        <w:contextualSpacing/>
        <w:rPr>
          <w:rFonts w:ascii="Poor Richard" w:hAnsi="Poor Richard" w:cs="Times New Roman"/>
          <w:sz w:val="24"/>
          <w:szCs w:val="24"/>
          <w:lang w:val="en-US" w:eastAsia="zh-CN"/>
        </w:rPr>
      </w:pPr>
    </w:p>
    <w:p w:rsidR="000F23BE" w:rsidRPr="00C02F2C" w:rsidRDefault="000F23BE" w:rsidP="00B65887">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The reason for Albert’s Peripatetic Aristotle with its complementary and deeply similar Dionysius is here. This powerful system required a matching one. Albert provided it and did better. He countered and reconciled philosophy to Christian revelation and Avicenna to Averroes in his Aristotle. Amos Bertolacci details how Albert united Averroes and Avicenna in his paraphrase on the </w:t>
      </w:r>
      <w:r w:rsidRPr="00C02F2C">
        <w:rPr>
          <w:rFonts w:ascii="Poor Richard" w:hAnsi="Poor Richard" w:cs="Times New Roman"/>
          <w:i/>
          <w:sz w:val="24"/>
          <w:szCs w:val="24"/>
          <w:lang w:val="en-US" w:eastAsia="zh-CN"/>
        </w:rPr>
        <w:t xml:space="preserve">Metaphysics. </w:t>
      </w:r>
      <w:r w:rsidRPr="00C02F2C">
        <w:rPr>
          <w:rFonts w:ascii="Poor Richard" w:hAnsi="Poor Richard" w:cs="Times New Roman"/>
          <w:sz w:val="24"/>
          <w:szCs w:val="24"/>
          <w:lang w:val="en-US" w:eastAsia="zh-CN"/>
        </w:rPr>
        <w:t>They play different roles: “Averroes helps to explain the text, Avicenna contributes to the doctrinal enrichment.”</w:t>
      </w:r>
      <w:r w:rsidRPr="00C02F2C">
        <w:rPr>
          <w:rStyle w:val="FootnoteReference"/>
          <w:rFonts w:ascii="Poor Richard" w:hAnsi="Poor Richard" w:cs="Times New Roman"/>
          <w:sz w:val="24"/>
          <w:szCs w:val="24"/>
          <w:lang w:val="en-US" w:eastAsia="zh-CN"/>
        </w:rPr>
        <w:footnoteReference w:id="19"/>
      </w:r>
      <w:r w:rsidRPr="00C02F2C">
        <w:rPr>
          <w:rFonts w:ascii="Poor Richard" w:hAnsi="Poor Richard" w:cs="Times New Roman"/>
          <w:sz w:val="24"/>
          <w:szCs w:val="24"/>
          <w:lang w:val="en-US" w:eastAsia="zh-CN"/>
        </w:rPr>
        <w:t xml:space="preserve"> Albert can receive and correct both because “of an elaborate theoretical apparatus by means of which he accounts for and solves the conflict between the metaphysics of the two authors.” Characteristically, he focuses “on similarities and sweeps away differences.”</w:t>
      </w:r>
      <w:r w:rsidRPr="00C02F2C">
        <w:rPr>
          <w:rStyle w:val="FootnoteReference"/>
          <w:rFonts w:ascii="Poor Richard" w:hAnsi="Poor Richard" w:cs="Times New Roman"/>
          <w:sz w:val="24"/>
          <w:szCs w:val="24"/>
          <w:lang w:val="en-US" w:eastAsia="zh-CN"/>
        </w:rPr>
        <w:footnoteReference w:id="20"/>
      </w:r>
      <w:r w:rsidRPr="00C02F2C">
        <w:rPr>
          <w:rFonts w:ascii="Poor Richard" w:hAnsi="Poor Richard" w:cs="Times New Roman"/>
          <w:sz w:val="24"/>
          <w:szCs w:val="24"/>
          <w:lang w:val="en-US" w:eastAsia="zh-CN"/>
        </w:rPr>
        <w:t xml:space="preserve">  </w:t>
      </w:r>
      <w:r w:rsidRPr="00C02F2C">
        <w:rPr>
          <w:rFonts w:ascii="Poor Richard" w:hAnsi="Poor Richard" w:cs="Times New Roman"/>
          <w:sz w:val="24"/>
          <w:szCs w:val="24"/>
        </w:rPr>
        <w:t>Dionysian peripateticism</w:t>
      </w:r>
      <w:r w:rsidRPr="00C02F2C">
        <w:rPr>
          <w:rFonts w:ascii="Poor Richard" w:hAnsi="Poor Richard" w:cs="Times New Roman"/>
          <w:sz w:val="24"/>
          <w:szCs w:val="24"/>
          <w:lang w:val="en-US" w:eastAsia="zh-CN"/>
        </w:rPr>
        <w:t xml:space="preserve"> is a total response to the new totality Latin Christendom faced.</w:t>
      </w:r>
    </w:p>
    <w:p w:rsidR="000F23BE" w:rsidRPr="00C02F2C" w:rsidRDefault="000F23BE" w:rsidP="00E910D7">
      <w:pPr>
        <w:spacing w:after="0" w:line="280" w:lineRule="exact"/>
        <w:ind w:firstLine="720"/>
        <w:contextualSpacing/>
        <w:rPr>
          <w:rFonts w:ascii="Poor Richard" w:hAnsi="Poor Richard" w:cs="Times New Roman"/>
          <w:sz w:val="24"/>
          <w:szCs w:val="24"/>
          <w:lang w:val="en-US" w:eastAsia="zh-CN"/>
        </w:rPr>
      </w:pPr>
    </w:p>
    <w:p w:rsidR="000F23BE" w:rsidRPr="00C02F2C" w:rsidRDefault="000F23BE" w:rsidP="0082333C">
      <w:pPr>
        <w:spacing w:after="0" w:line="280" w:lineRule="exact"/>
        <w:ind w:firstLine="720"/>
        <w:contextualSpacing/>
        <w:jc w:val="center"/>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B. Albert: Augustine and Greek Negative Theology, Dionysius and Aristotle</w:t>
      </w:r>
    </w:p>
    <w:p w:rsidR="000F23BE" w:rsidRPr="00C02F2C" w:rsidRDefault="000F23BE" w:rsidP="00E70239">
      <w:pPr>
        <w:spacing w:after="0" w:line="280" w:lineRule="exact"/>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Before confronting this new philosophical world, Albert had responded, in a way presaging his appropriation of Dionysius, to a reassertion of Augustinian norms in the 1241 condemnation by the Bishop of Paris. William of Auvergne excommunicated those asserting that “the divine essence in itself will be seen neither by humans nor by angels.”</w:t>
      </w:r>
      <w:r w:rsidRPr="00C02F2C">
        <w:rPr>
          <w:rStyle w:val="FootnoteReference"/>
          <w:rFonts w:ascii="Poor Richard" w:hAnsi="Poor Richard" w:cs="Times New Roman"/>
          <w:sz w:val="24"/>
          <w:szCs w:val="24"/>
          <w:lang w:val="en-US" w:eastAsia="zh-CN"/>
        </w:rPr>
        <w:footnoteReference w:id="21"/>
      </w:r>
      <w:r w:rsidRPr="00C02F2C">
        <w:rPr>
          <w:rFonts w:ascii="Poor Richard" w:hAnsi="Poor Richard" w:cs="Times New Roman"/>
          <w:sz w:val="24"/>
          <w:szCs w:val="24"/>
          <w:lang w:val="en-US" w:eastAsia="zh-CN"/>
        </w:rPr>
        <w:t xml:space="preserve"> Bernard Blankenhorn comments: “By targeting the scholastic Greek [especially Dionysian]-Eriugenan-Avicennian syntheses, the 1241 condemnations rendered suspect the whole of Greek patristic eschatology and negative theology.”</w:t>
      </w:r>
      <w:r w:rsidRPr="00C02F2C">
        <w:rPr>
          <w:rStyle w:val="FootnoteReference"/>
          <w:rFonts w:ascii="Poor Richard" w:hAnsi="Poor Richard" w:cs="Times New Roman"/>
          <w:sz w:val="24"/>
          <w:szCs w:val="24"/>
          <w:lang w:val="en-US" w:eastAsia="zh-CN"/>
        </w:rPr>
        <w:footnoteReference w:id="22"/>
      </w:r>
      <w:r w:rsidRPr="00C02F2C">
        <w:rPr>
          <w:rFonts w:ascii="Poor Richard" w:hAnsi="Poor Richard" w:cs="Times New Roman"/>
          <w:sz w:val="24"/>
          <w:szCs w:val="24"/>
          <w:lang w:val="en-US" w:eastAsia="zh-CN"/>
        </w:rPr>
        <w:t xml:space="preserve"> Albert aims, both in his teaching on the vision of God, and, later, in his exposition of Dionysius, to save these.</w:t>
      </w:r>
    </w:p>
    <w:p w:rsidR="000F23BE" w:rsidRPr="00C02F2C" w:rsidRDefault="000F23BE" w:rsidP="00E910D7">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This involved a doctrine of created grace by which the human is strengthened to be capable of knowing the essence of God. Also required is an interpretation of Dionysius where God is named “being,” and is thus accessible to mental vision. The radically negative character of the conclusion of the </w:t>
      </w:r>
      <w:r w:rsidRPr="00C02F2C">
        <w:rPr>
          <w:rFonts w:ascii="Poor Richard" w:hAnsi="Poor Richard" w:cs="Times New Roman"/>
          <w:i/>
          <w:sz w:val="24"/>
          <w:szCs w:val="24"/>
          <w:lang w:val="en-US" w:eastAsia="zh-CN"/>
        </w:rPr>
        <w:t>Mystical Theology</w:t>
      </w:r>
      <w:r w:rsidRPr="00C02F2C">
        <w:rPr>
          <w:rFonts w:ascii="Poor Richard" w:hAnsi="Poor Richard" w:cs="Times New Roman"/>
          <w:sz w:val="24"/>
          <w:szCs w:val="24"/>
          <w:lang w:val="en-US" w:eastAsia="zh-CN"/>
        </w:rPr>
        <w:t xml:space="preserve"> (derived from Proclus’ </w:t>
      </w:r>
      <w:r w:rsidRPr="00C02F2C">
        <w:rPr>
          <w:rFonts w:ascii="Poor Richard" w:hAnsi="Poor Richard" w:cs="Times New Roman"/>
          <w:i/>
          <w:sz w:val="24"/>
          <w:szCs w:val="24"/>
          <w:lang w:val="en-US" w:eastAsia="zh-CN"/>
        </w:rPr>
        <w:t>Commentary on the Parmenides</w:t>
      </w:r>
      <w:r w:rsidRPr="00C02F2C">
        <w:rPr>
          <w:rFonts w:ascii="Poor Richard" w:hAnsi="Poor Richard" w:cs="Times New Roman"/>
          <w:sz w:val="24"/>
          <w:szCs w:val="24"/>
          <w:lang w:val="en-US" w:eastAsia="zh-CN"/>
        </w:rPr>
        <w:t>) is reduced;</w:t>
      </w:r>
      <w:r w:rsidRPr="00C02F2C">
        <w:rPr>
          <w:rStyle w:val="FootnoteReference"/>
          <w:rFonts w:ascii="Poor Richard" w:hAnsi="Poor Richard" w:cs="Times New Roman"/>
          <w:sz w:val="24"/>
          <w:szCs w:val="24"/>
          <w:lang w:val="en-US" w:eastAsia="zh-CN"/>
        </w:rPr>
        <w:t xml:space="preserve"> </w:t>
      </w:r>
      <w:r w:rsidRPr="00C02F2C">
        <w:rPr>
          <w:rStyle w:val="FootnoteReference"/>
          <w:rFonts w:ascii="Poor Richard" w:hAnsi="Poor Richard" w:cs="Times New Roman"/>
          <w:sz w:val="24"/>
          <w:szCs w:val="24"/>
          <w:lang w:val="en-US" w:eastAsia="zh-CN"/>
        </w:rPr>
        <w:footnoteReference w:id="23"/>
      </w:r>
      <w:r w:rsidRPr="00C02F2C">
        <w:rPr>
          <w:rFonts w:ascii="Poor Richard" w:hAnsi="Poor Richard" w:cs="Times New Roman"/>
          <w:sz w:val="24"/>
          <w:szCs w:val="24"/>
          <w:lang w:val="en-US" w:eastAsia="zh-CN"/>
        </w:rPr>
        <w:t xml:space="preserve"> the difference between what is known of God </w:t>
      </w:r>
      <w:r w:rsidRPr="00C02F2C">
        <w:rPr>
          <w:rFonts w:ascii="Poor Richard" w:hAnsi="Poor Richard" w:cs="Times New Roman"/>
          <w:i/>
          <w:sz w:val="24"/>
          <w:szCs w:val="24"/>
          <w:lang w:val="en-US" w:eastAsia="zh-CN"/>
        </w:rPr>
        <w:t>in via</w:t>
      </w:r>
      <w:r w:rsidRPr="00C02F2C">
        <w:rPr>
          <w:rFonts w:ascii="Poor Richard" w:hAnsi="Poor Richard" w:cs="Times New Roman"/>
          <w:sz w:val="24"/>
          <w:szCs w:val="24"/>
          <w:lang w:val="en-US" w:eastAsia="zh-CN"/>
        </w:rPr>
        <w:t xml:space="preserve"> and </w:t>
      </w:r>
      <w:r w:rsidRPr="00C02F2C">
        <w:rPr>
          <w:rFonts w:ascii="Poor Richard" w:hAnsi="Poor Richard" w:cs="Times New Roman"/>
          <w:i/>
          <w:sz w:val="24"/>
          <w:szCs w:val="24"/>
          <w:lang w:val="en-US" w:eastAsia="zh-CN"/>
        </w:rPr>
        <w:t>in patria</w:t>
      </w:r>
      <w:r w:rsidRPr="00C02F2C">
        <w:rPr>
          <w:rFonts w:ascii="Poor Richard" w:hAnsi="Poor Richard" w:cs="Times New Roman"/>
          <w:sz w:val="24"/>
          <w:szCs w:val="24"/>
          <w:lang w:val="en-US" w:eastAsia="zh-CN"/>
        </w:rPr>
        <w:t xml:space="preserve"> strengthened. For these Albert will employ, as Aquinas will also do, “the distinction between the mode of signification and the [mode of] the reality signified.” Thus, greater clarity will be brought “precisely where Dionysius wants to move beyond cognitive activity.”</w:t>
      </w:r>
      <w:r w:rsidRPr="00C02F2C">
        <w:rPr>
          <w:rStyle w:val="FootnoteReference"/>
          <w:rFonts w:ascii="Poor Richard" w:hAnsi="Poor Richard" w:cs="Times New Roman"/>
          <w:sz w:val="24"/>
          <w:szCs w:val="24"/>
          <w:lang w:val="en-US" w:eastAsia="zh-CN"/>
        </w:rPr>
        <w:footnoteReference w:id="24"/>
      </w:r>
      <w:r w:rsidRPr="00C02F2C">
        <w:rPr>
          <w:rFonts w:ascii="Poor Richard" w:hAnsi="Poor Richard" w:cs="Times New Roman"/>
          <w:sz w:val="24"/>
          <w:szCs w:val="24"/>
          <w:lang w:val="en-US" w:eastAsia="zh-CN"/>
        </w:rPr>
        <w:t xml:space="preserve"> The endeavor to keep both sides of polar oppositions is typical of Albert.</w:t>
      </w:r>
    </w:p>
    <w:p w:rsidR="000F23BE" w:rsidRPr="00C02F2C" w:rsidRDefault="000F23BE" w:rsidP="00E910D7">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Without knowing what he is doing, Albert separates Dionysius from Proclus in order to save him for the Augustinian West. Aquinas working later, in virtue of his painstaking reading of the </w:t>
      </w:r>
      <w:r w:rsidRPr="00C02F2C">
        <w:rPr>
          <w:rFonts w:ascii="Poor Richard" w:hAnsi="Poor Richard" w:cs="Times New Roman"/>
          <w:i/>
          <w:sz w:val="24"/>
          <w:szCs w:val="24"/>
          <w:lang w:val="en-US" w:eastAsia="zh-CN"/>
        </w:rPr>
        <w:t xml:space="preserve">Elements of </w:t>
      </w:r>
      <w:r w:rsidRPr="00C02F2C">
        <w:rPr>
          <w:rFonts w:ascii="Poor Richard" w:hAnsi="Poor Richard" w:cs="Times New Roman"/>
          <w:i/>
          <w:sz w:val="24"/>
          <w:szCs w:val="24"/>
          <w:lang w:val="en-US" w:eastAsia="zh-CN"/>
        </w:rPr>
        <w:lastRenderedPageBreak/>
        <w:t>Theology</w:t>
      </w:r>
      <w:r w:rsidRPr="00C02F2C">
        <w:rPr>
          <w:rFonts w:ascii="Poor Richard" w:hAnsi="Poor Richard" w:cs="Times New Roman"/>
          <w:sz w:val="24"/>
          <w:szCs w:val="24"/>
          <w:lang w:val="en-US" w:eastAsia="zh-CN"/>
        </w:rPr>
        <w:t>,</w:t>
      </w:r>
      <w:r w:rsidRPr="00C02F2C">
        <w:rPr>
          <w:rFonts w:ascii="Poor Richard" w:hAnsi="Poor Richard" w:cs="Times New Roman"/>
          <w:i/>
          <w:sz w:val="24"/>
          <w:szCs w:val="24"/>
          <w:lang w:val="en-US" w:eastAsia="zh-CN"/>
        </w:rPr>
        <w:t xml:space="preserve"> </w:t>
      </w:r>
      <w:r w:rsidRPr="00C02F2C">
        <w:rPr>
          <w:rFonts w:ascii="Poor Richard" w:hAnsi="Poor Richard" w:cs="Times New Roman"/>
          <w:sz w:val="24"/>
          <w:szCs w:val="24"/>
          <w:lang w:val="en-US" w:eastAsia="zh-CN"/>
        </w:rPr>
        <w:t>will understand what is going on. Aquinas took up Albert’s endeavor to save Dionysian apophatism within the limits set by the condemnation of 1241. He will use the same means, with more strongly kataphatic results.</w:t>
      </w:r>
    </w:p>
    <w:p w:rsidR="000F23BE" w:rsidRPr="00C02F2C" w:rsidRDefault="000F23BE" w:rsidP="00E910D7">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Albert’s mature system depended on the concord laboriously worked out, with the Dionysian commentaries, on one side, and the Aristotelian ones, on the other. The former appeared in the “traditional Parisian order for the books: the </w:t>
      </w:r>
      <w:r w:rsidRPr="00C02F2C">
        <w:rPr>
          <w:rFonts w:ascii="Poor Richard" w:hAnsi="Poor Richard" w:cs="Times New Roman"/>
          <w:i/>
          <w:sz w:val="24"/>
          <w:szCs w:val="24"/>
          <w:lang w:val="en-US" w:eastAsia="zh-CN"/>
        </w:rPr>
        <w:t xml:space="preserve">Celestial Hierarchy, </w:t>
      </w:r>
      <w:r w:rsidRPr="00C02F2C">
        <w:rPr>
          <w:rFonts w:ascii="Poor Richard" w:hAnsi="Poor Richard" w:cs="Times New Roman"/>
          <w:sz w:val="24"/>
          <w:szCs w:val="24"/>
          <w:lang w:val="en-US" w:eastAsia="zh-CN"/>
        </w:rPr>
        <w:t xml:space="preserve">the </w:t>
      </w:r>
      <w:r w:rsidRPr="00C02F2C">
        <w:rPr>
          <w:rFonts w:ascii="Poor Richard" w:hAnsi="Poor Richard" w:cs="Times New Roman"/>
          <w:i/>
          <w:sz w:val="24"/>
          <w:szCs w:val="24"/>
          <w:lang w:val="en-US" w:eastAsia="zh-CN"/>
        </w:rPr>
        <w:t xml:space="preserve">Ecclesiastical Hierarchy, </w:t>
      </w:r>
      <w:r w:rsidRPr="00C02F2C">
        <w:rPr>
          <w:rFonts w:ascii="Poor Richard" w:hAnsi="Poor Richard" w:cs="Times New Roman"/>
          <w:sz w:val="24"/>
          <w:szCs w:val="24"/>
          <w:lang w:val="en-US" w:eastAsia="zh-CN"/>
        </w:rPr>
        <w:t xml:space="preserve">the </w:t>
      </w:r>
      <w:r w:rsidRPr="00C02F2C">
        <w:rPr>
          <w:rFonts w:ascii="Poor Richard" w:hAnsi="Poor Richard" w:cs="Times New Roman"/>
          <w:i/>
          <w:sz w:val="24"/>
          <w:szCs w:val="24"/>
          <w:lang w:val="en-US" w:eastAsia="zh-CN"/>
        </w:rPr>
        <w:t>Divine Names</w:t>
      </w:r>
      <w:r w:rsidRPr="00C02F2C">
        <w:rPr>
          <w:rFonts w:ascii="Poor Richard" w:hAnsi="Poor Richard" w:cs="Times New Roman"/>
          <w:sz w:val="24"/>
          <w:szCs w:val="24"/>
          <w:lang w:val="en-US" w:eastAsia="zh-CN"/>
        </w:rPr>
        <w:t xml:space="preserve">, the </w:t>
      </w:r>
      <w:r w:rsidRPr="00C02F2C">
        <w:rPr>
          <w:rFonts w:ascii="Poor Richard" w:hAnsi="Poor Richard" w:cs="Times New Roman"/>
          <w:i/>
          <w:sz w:val="24"/>
          <w:szCs w:val="24"/>
          <w:lang w:val="en-US" w:eastAsia="zh-CN"/>
        </w:rPr>
        <w:t>Mystical Theology</w:t>
      </w:r>
      <w:r w:rsidRPr="00C02F2C">
        <w:rPr>
          <w:rFonts w:ascii="Poor Richard" w:hAnsi="Poor Richard" w:cs="Times New Roman"/>
          <w:sz w:val="24"/>
          <w:szCs w:val="24"/>
          <w:lang w:val="en-US" w:eastAsia="zh-CN"/>
        </w:rPr>
        <w:t xml:space="preserve">, and the eleven </w:t>
      </w:r>
      <w:r w:rsidRPr="00C02F2C">
        <w:rPr>
          <w:rFonts w:ascii="Poor Richard" w:hAnsi="Poor Richard" w:cs="Times New Roman"/>
          <w:i/>
          <w:sz w:val="24"/>
          <w:szCs w:val="24"/>
          <w:lang w:val="en-US" w:eastAsia="zh-CN"/>
        </w:rPr>
        <w:t>Epistles.</w:t>
      </w:r>
      <w:r w:rsidRPr="00C02F2C">
        <w:rPr>
          <w:rFonts w:ascii="Poor Richard" w:hAnsi="Poor Richard" w:cs="Times New Roman"/>
          <w:sz w:val="24"/>
          <w:szCs w:val="24"/>
          <w:lang w:val="en-US" w:eastAsia="zh-CN"/>
        </w:rPr>
        <w:t>”</w:t>
      </w:r>
      <w:r w:rsidRPr="00C02F2C">
        <w:rPr>
          <w:rStyle w:val="FootnoteReference"/>
          <w:rFonts w:ascii="Poor Richard" w:hAnsi="Poor Richard" w:cs="Times New Roman"/>
          <w:i/>
          <w:sz w:val="24"/>
          <w:szCs w:val="24"/>
          <w:lang w:val="en-US" w:eastAsia="zh-CN"/>
        </w:rPr>
        <w:footnoteReference w:id="25"/>
      </w:r>
      <w:r w:rsidRPr="00C02F2C">
        <w:rPr>
          <w:rFonts w:ascii="Poor Richard" w:hAnsi="Poor Richard" w:cs="Times New Roman"/>
          <w:i/>
          <w:sz w:val="24"/>
          <w:szCs w:val="24"/>
          <w:lang w:val="en-US" w:eastAsia="zh-CN"/>
        </w:rPr>
        <w:t xml:space="preserve"> </w:t>
      </w:r>
      <w:r w:rsidRPr="00C02F2C">
        <w:rPr>
          <w:rFonts w:ascii="Poor Richard" w:hAnsi="Poor Richard" w:cs="Times New Roman"/>
          <w:sz w:val="24"/>
          <w:szCs w:val="24"/>
          <w:lang w:val="en-US" w:eastAsia="zh-CN"/>
        </w:rPr>
        <w:t>Their form, analogous to the one Albert will adopt for his paraphrases of Aristotle, is “running commentary that integrates almost the entirety of the primary text interspersed with disputed questions on doctrinal questions.”</w:t>
      </w:r>
      <w:r w:rsidRPr="00C02F2C">
        <w:rPr>
          <w:rStyle w:val="FootnoteReference"/>
          <w:rFonts w:ascii="Poor Richard" w:hAnsi="Poor Richard" w:cs="Times New Roman"/>
          <w:sz w:val="24"/>
          <w:szCs w:val="24"/>
          <w:lang w:val="en-US" w:eastAsia="zh-CN"/>
        </w:rPr>
        <w:footnoteReference w:id="26"/>
      </w:r>
      <w:r w:rsidRPr="00C02F2C">
        <w:rPr>
          <w:rFonts w:ascii="Poor Richard" w:hAnsi="Poor Richard" w:cs="Times New Roman"/>
          <w:sz w:val="24"/>
          <w:szCs w:val="24"/>
          <w:lang w:val="en-US" w:eastAsia="zh-CN"/>
        </w:rPr>
        <w:t xml:space="preserve"> In the latter, Albert undertook to transmit “The philosopher,” Aristotle, to the Latins, to be for them what Averroes had been for him, “the </w:t>
      </w:r>
      <w:r w:rsidRPr="00C02F2C">
        <w:rPr>
          <w:rFonts w:ascii="Poor Richard" w:hAnsi="Poor Richard" w:cs="Times New Roman"/>
          <w:i/>
          <w:sz w:val="24"/>
          <w:szCs w:val="24"/>
          <w:lang w:val="en-US" w:eastAsia="zh-CN"/>
        </w:rPr>
        <w:t xml:space="preserve">Commentator </w:t>
      </w:r>
      <w:r w:rsidRPr="00C02F2C">
        <w:rPr>
          <w:rFonts w:ascii="Poor Richard" w:hAnsi="Poor Richard" w:cs="Times New Roman"/>
          <w:sz w:val="24"/>
          <w:szCs w:val="24"/>
          <w:lang w:val="en-US" w:eastAsia="zh-CN"/>
        </w:rPr>
        <w:t xml:space="preserve"> par excellence.”</w:t>
      </w:r>
      <w:r w:rsidRPr="00C02F2C">
        <w:rPr>
          <w:rStyle w:val="FootnoteReference"/>
          <w:rFonts w:ascii="Poor Richard" w:hAnsi="Poor Richard" w:cs="Times New Roman"/>
          <w:sz w:val="24"/>
          <w:szCs w:val="24"/>
          <w:lang w:val="en-US" w:eastAsia="zh-CN"/>
        </w:rPr>
        <w:footnoteReference w:id="27"/>
      </w:r>
      <w:r w:rsidRPr="00C02F2C">
        <w:rPr>
          <w:rFonts w:ascii="Poor Richard" w:hAnsi="Poor Richard" w:cs="Times New Roman"/>
          <w:sz w:val="24"/>
          <w:szCs w:val="24"/>
          <w:lang w:val="en-US" w:eastAsia="zh-CN"/>
        </w:rPr>
        <w:t xml:space="preserve"> When, about fifteen years after Aquinas left him, he completed his Aristotelian “paraphrases with digressions” </w:t>
      </w:r>
      <w:r w:rsidRPr="00C02F2C">
        <w:rPr>
          <w:rStyle w:val="FootnoteReference"/>
          <w:rFonts w:ascii="Poor Richard" w:hAnsi="Poor Richard" w:cs="Times New Roman"/>
          <w:sz w:val="24"/>
          <w:szCs w:val="24"/>
          <w:lang w:val="en-US" w:eastAsia="zh-CN"/>
        </w:rPr>
        <w:footnoteReference w:id="28"/>
      </w:r>
      <w:r w:rsidRPr="00C02F2C">
        <w:rPr>
          <w:rFonts w:ascii="Poor Richard" w:hAnsi="Poor Richard" w:cs="Times New Roman"/>
          <w:sz w:val="24"/>
          <w:szCs w:val="24"/>
          <w:lang w:val="en-US" w:eastAsia="zh-CN"/>
        </w:rPr>
        <w:t xml:space="preserve"> by his </w:t>
      </w:r>
      <w:r w:rsidRPr="00C02F2C">
        <w:rPr>
          <w:rFonts w:ascii="Poor Richard" w:hAnsi="Poor Richard" w:cs="Times New Roman"/>
          <w:i/>
          <w:sz w:val="24"/>
          <w:szCs w:val="24"/>
        </w:rPr>
        <w:t>De Causis et Processu Universitatis a Prima Causa</w:t>
      </w:r>
      <w:r w:rsidRPr="00C02F2C">
        <w:rPr>
          <w:rFonts w:ascii="Poor Richard" w:hAnsi="Poor Richard" w:cs="Times New Roman"/>
          <w:sz w:val="24"/>
          <w:szCs w:val="24"/>
        </w:rPr>
        <w:t>, “composed between 1264 and 1271,”</w:t>
      </w:r>
      <w:r w:rsidRPr="00C02F2C">
        <w:rPr>
          <w:rStyle w:val="FootnoteReference"/>
          <w:rFonts w:ascii="Poor Richard" w:hAnsi="Poor Richard" w:cs="Times New Roman"/>
          <w:sz w:val="24"/>
          <w:szCs w:val="24"/>
        </w:rPr>
        <w:footnoteReference w:id="29"/>
      </w:r>
      <w:r w:rsidRPr="00C02F2C">
        <w:rPr>
          <w:rFonts w:ascii="Poor Richard" w:hAnsi="Poor Richard" w:cs="Times New Roman"/>
          <w:sz w:val="24"/>
          <w:szCs w:val="24"/>
        </w:rPr>
        <w:t xml:space="preserve"> </w:t>
      </w:r>
      <w:r w:rsidRPr="00C02F2C">
        <w:rPr>
          <w:rFonts w:ascii="Poor Richard" w:hAnsi="Poor Richard" w:cs="Times New Roman"/>
          <w:sz w:val="24"/>
          <w:szCs w:val="24"/>
          <w:lang w:val="en-US" w:eastAsia="zh-CN"/>
        </w:rPr>
        <w:t>Albert had not fundamentally modified his position: “His Peripatetic profession of faith is constantly reaffirmed.”</w:t>
      </w:r>
      <w:r w:rsidRPr="00C02F2C">
        <w:rPr>
          <w:rStyle w:val="FootnoteReference"/>
          <w:rFonts w:ascii="Poor Richard" w:hAnsi="Poor Richard" w:cs="Times New Roman"/>
          <w:sz w:val="24"/>
          <w:szCs w:val="24"/>
          <w:lang w:val="en-US" w:eastAsia="zh-CN"/>
        </w:rPr>
        <w:footnoteReference w:id="30"/>
      </w:r>
      <w:r w:rsidRPr="00C02F2C">
        <w:rPr>
          <w:rFonts w:ascii="Poor Richard" w:hAnsi="Poor Richard" w:cs="Times New Roman"/>
          <w:sz w:val="24"/>
          <w:szCs w:val="24"/>
          <w:lang w:val="en-US" w:eastAsia="zh-CN"/>
        </w:rPr>
        <w:t xml:space="preserve"> The Peripatetic-Dionysian concord is the adequate response to the Aristotelian totality. It includes Plato, as he believed it must</w:t>
      </w:r>
      <w:r w:rsidRPr="00C02F2C">
        <w:rPr>
          <w:rFonts w:ascii="Poor Richard" w:hAnsi="Poor Richard" w:cs="Times New Roman"/>
          <w:sz w:val="24"/>
          <w:szCs w:val="24"/>
        </w:rPr>
        <w:t xml:space="preserve">: “If Albert is not concerned to attach the </w:t>
      </w:r>
      <w:r w:rsidRPr="00C02F2C">
        <w:rPr>
          <w:rFonts w:ascii="Poor Richard" w:hAnsi="Poor Richard" w:cs="Times New Roman"/>
          <w:i/>
          <w:sz w:val="24"/>
          <w:szCs w:val="24"/>
        </w:rPr>
        <w:t>Liber</w:t>
      </w:r>
      <w:r w:rsidRPr="00C02F2C">
        <w:rPr>
          <w:rFonts w:ascii="Poor Richard" w:hAnsi="Poor Richard" w:cs="Times New Roman"/>
          <w:sz w:val="24"/>
          <w:szCs w:val="24"/>
        </w:rPr>
        <w:t xml:space="preserve"> to the Platonism of Proclus, it is because he has already attached Plato to the Peripateticism of the </w:t>
      </w:r>
      <w:r w:rsidRPr="00C02F2C">
        <w:rPr>
          <w:rFonts w:ascii="Poor Richard" w:hAnsi="Poor Richard" w:cs="Times New Roman"/>
          <w:i/>
          <w:sz w:val="24"/>
          <w:szCs w:val="24"/>
        </w:rPr>
        <w:t>Liber</w:t>
      </w:r>
      <w:r w:rsidRPr="00C02F2C">
        <w:rPr>
          <w:rFonts w:ascii="Poor Richard" w:hAnsi="Poor Richard" w:cs="Times New Roman"/>
          <w:sz w:val="24"/>
          <w:szCs w:val="24"/>
        </w:rPr>
        <w:t>.”</w:t>
      </w:r>
      <w:r w:rsidRPr="00C02F2C">
        <w:rPr>
          <w:rStyle w:val="FootnoteReference"/>
          <w:rFonts w:ascii="Poor Richard" w:hAnsi="Poor Richard" w:cs="Times New Roman"/>
          <w:sz w:val="24"/>
          <w:szCs w:val="24"/>
        </w:rPr>
        <w:footnoteReference w:id="31"/>
      </w:r>
    </w:p>
    <w:p w:rsidR="000F23BE" w:rsidRPr="00C02F2C" w:rsidRDefault="000F23BE" w:rsidP="00E910D7">
      <w:pPr>
        <w:spacing w:after="0" w:line="280" w:lineRule="exact"/>
        <w:ind w:firstLine="720"/>
        <w:contextualSpacing/>
        <w:rPr>
          <w:rFonts w:ascii="Poor Richard" w:hAnsi="Poor Richard" w:cs="Times New Roman"/>
          <w:sz w:val="24"/>
          <w:szCs w:val="24"/>
          <w:lang w:val="en-US" w:eastAsia="zh-CN"/>
        </w:rPr>
      </w:pPr>
    </w:p>
    <w:p w:rsidR="000F23BE" w:rsidRPr="00C02F2C" w:rsidRDefault="000F23BE" w:rsidP="00E910D7">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C. The Student differs: Dionysius, Platonism, and the History of Philosophy </w:t>
      </w:r>
    </w:p>
    <w:p w:rsidR="000F23BE" w:rsidRPr="00C02F2C" w:rsidRDefault="000F23BE" w:rsidP="00E70239">
      <w:pPr>
        <w:rPr>
          <w:rFonts w:ascii="Poor Richard" w:hAnsi="Poor Richard" w:cs="Times New Roman"/>
          <w:i/>
          <w:iCs/>
          <w:sz w:val="24"/>
          <w:szCs w:val="24"/>
        </w:rPr>
      </w:pPr>
      <w:r w:rsidRPr="00C02F2C">
        <w:rPr>
          <w:rFonts w:ascii="Poor Richard" w:hAnsi="Poor Richard" w:cs="Times New Roman"/>
          <w:sz w:val="24"/>
          <w:szCs w:val="24"/>
          <w:lang w:val="en-US" w:eastAsia="zh-CN"/>
        </w:rPr>
        <w:t xml:space="preserve">In contrast, Aquinas’ expositions of the </w:t>
      </w:r>
      <w:r w:rsidRPr="00C02F2C">
        <w:rPr>
          <w:rFonts w:ascii="Poor Richard" w:hAnsi="Poor Richard" w:cs="Times New Roman"/>
          <w:i/>
          <w:sz w:val="24"/>
          <w:szCs w:val="24"/>
          <w:lang w:val="en-US" w:eastAsia="zh-CN"/>
        </w:rPr>
        <w:t xml:space="preserve">De Divinis Nominibus </w:t>
      </w:r>
      <w:r w:rsidRPr="00C02F2C">
        <w:rPr>
          <w:rFonts w:ascii="Poor Richard" w:hAnsi="Poor Richard" w:cs="Times New Roman"/>
          <w:sz w:val="24"/>
          <w:szCs w:val="24"/>
          <w:lang w:val="en-US" w:eastAsia="zh-CN"/>
        </w:rPr>
        <w:t xml:space="preserve">of Dionysius and of the </w:t>
      </w:r>
      <w:r w:rsidRPr="00C02F2C">
        <w:rPr>
          <w:rFonts w:ascii="Poor Richard" w:hAnsi="Poor Richard" w:cs="Times New Roman"/>
          <w:i/>
          <w:sz w:val="24"/>
          <w:szCs w:val="24"/>
          <w:lang w:val="en-US" w:eastAsia="zh-CN"/>
        </w:rPr>
        <w:t>Liber de causis</w:t>
      </w:r>
      <w:r w:rsidRPr="00C02F2C">
        <w:rPr>
          <w:rFonts w:ascii="Poor Richard" w:hAnsi="Poor Richard" w:cs="Times New Roman"/>
          <w:sz w:val="24"/>
          <w:szCs w:val="24"/>
          <w:lang w:val="en-US" w:eastAsia="zh-CN"/>
        </w:rPr>
        <w:t xml:space="preserve">, and his treatise </w:t>
      </w:r>
      <w:r w:rsidRPr="00C02F2C">
        <w:rPr>
          <w:rFonts w:ascii="Poor Richard" w:hAnsi="Poor Richard" w:cs="Times New Roman"/>
          <w:i/>
          <w:sz w:val="24"/>
          <w:szCs w:val="24"/>
          <w:lang w:val="en-US" w:eastAsia="zh-CN"/>
        </w:rPr>
        <w:t>De Substantiis Separatis</w:t>
      </w:r>
      <w:r w:rsidRPr="00C02F2C">
        <w:rPr>
          <w:rFonts w:ascii="Poor Richard" w:hAnsi="Poor Richard" w:cs="Times New Roman"/>
          <w:sz w:val="24"/>
          <w:szCs w:val="24"/>
          <w:lang w:val="en-US" w:eastAsia="zh-CN"/>
        </w:rPr>
        <w:t xml:space="preserve">, written in that order between 1267/68 and 1272, </w:t>
      </w:r>
      <w:r w:rsidRPr="00C02F2C">
        <w:rPr>
          <w:rFonts w:ascii="Poor Richard" w:hAnsi="Poor Richard" w:cs="Times New Roman"/>
          <w:sz w:val="24"/>
          <w:szCs w:val="24"/>
        </w:rPr>
        <w:t xml:space="preserve">reveal an important reversal in Thomas’ understanding. William of Moerbeke’s translations of the Greek commentators and Proclus forced and enabled him to separate from Albert by recognising the Platonism of the </w:t>
      </w:r>
      <w:r w:rsidRPr="00C02F2C">
        <w:rPr>
          <w:rFonts w:ascii="Poor Richard" w:hAnsi="Poor Richard" w:cs="Times New Roman"/>
          <w:i/>
          <w:sz w:val="24"/>
          <w:szCs w:val="24"/>
        </w:rPr>
        <w:t>De Divinis Nominibus</w:t>
      </w:r>
      <w:r w:rsidRPr="00C02F2C">
        <w:rPr>
          <w:rFonts w:ascii="Poor Richard" w:hAnsi="Poor Richard" w:cs="Times New Roman"/>
          <w:sz w:val="24"/>
          <w:szCs w:val="24"/>
        </w:rPr>
        <w:t>, “a possible first in medieval Latin Christendom,”</w:t>
      </w:r>
      <w:r w:rsidRPr="00C02F2C">
        <w:rPr>
          <w:rStyle w:val="FootnoteReference"/>
          <w:rFonts w:ascii="Poor Richard" w:hAnsi="Poor Richard" w:cs="Times New Roman"/>
          <w:sz w:val="24"/>
          <w:szCs w:val="24"/>
        </w:rPr>
        <w:footnoteReference w:id="32"/>
      </w:r>
      <w:r w:rsidRPr="00C02F2C">
        <w:rPr>
          <w:rFonts w:ascii="Poor Richard" w:hAnsi="Poor Richard" w:cs="Times New Roman"/>
          <w:sz w:val="24"/>
          <w:szCs w:val="24"/>
        </w:rPr>
        <w:t xml:space="preserve"> as well as of the </w:t>
      </w:r>
      <w:r w:rsidRPr="00C02F2C">
        <w:rPr>
          <w:rFonts w:ascii="Poor Richard" w:hAnsi="Poor Richard" w:cs="Times New Roman"/>
          <w:i/>
          <w:sz w:val="24"/>
          <w:szCs w:val="24"/>
        </w:rPr>
        <w:t>Liber</w:t>
      </w:r>
      <w:r w:rsidRPr="00C02F2C">
        <w:rPr>
          <w:rFonts w:ascii="Poor Richard" w:hAnsi="Poor Richard" w:cs="Times New Roman"/>
          <w:sz w:val="24"/>
          <w:szCs w:val="24"/>
        </w:rPr>
        <w:t xml:space="preserve">. Writing about how they explain similarities between the </w:t>
      </w:r>
      <w:r w:rsidRPr="00C02F2C">
        <w:rPr>
          <w:rFonts w:ascii="Poor Richard" w:hAnsi="Poor Richard" w:cs="Times New Roman"/>
          <w:i/>
          <w:iCs/>
          <w:sz w:val="24"/>
          <w:szCs w:val="24"/>
        </w:rPr>
        <w:t>Liber</w:t>
      </w:r>
      <w:r w:rsidRPr="00C02F2C">
        <w:rPr>
          <w:rFonts w:ascii="Poor Richard" w:hAnsi="Poor Richard" w:cs="Times New Roman"/>
          <w:sz w:val="24"/>
          <w:szCs w:val="24"/>
        </w:rPr>
        <w:t xml:space="preserve"> and the </w:t>
      </w:r>
      <w:r w:rsidRPr="00C02F2C">
        <w:rPr>
          <w:rFonts w:ascii="Poor Richard" w:hAnsi="Poor Richard" w:cs="Times New Roman"/>
          <w:i/>
          <w:iCs/>
          <w:sz w:val="24"/>
          <w:szCs w:val="24"/>
        </w:rPr>
        <w:t>Divine Names</w:t>
      </w:r>
      <w:r w:rsidRPr="00C02F2C">
        <w:rPr>
          <w:rFonts w:ascii="Poor Richard" w:hAnsi="Poor Richard" w:cs="Times New Roman"/>
          <w:iCs/>
          <w:sz w:val="24"/>
          <w:szCs w:val="24"/>
        </w:rPr>
        <w:t>,</w:t>
      </w:r>
      <w:r w:rsidRPr="00C02F2C">
        <w:rPr>
          <w:rFonts w:ascii="Poor Richard" w:hAnsi="Poor Richard" w:cs="Times New Roman"/>
          <w:sz w:val="24"/>
          <w:szCs w:val="24"/>
        </w:rPr>
        <w:t xml:space="preserve"> Thérèse Bonin articulates the difference between Aquinas and his teacher:</w:t>
      </w:r>
    </w:p>
    <w:p w:rsidR="000F23BE" w:rsidRPr="00C02F2C" w:rsidRDefault="000F23BE" w:rsidP="005679FD">
      <w:pPr>
        <w:ind w:left="720"/>
        <w:rPr>
          <w:rFonts w:ascii="Poor Richard" w:hAnsi="Poor Richard" w:cs="Times New Roman"/>
          <w:sz w:val="24"/>
          <w:szCs w:val="24"/>
        </w:rPr>
      </w:pPr>
      <w:r w:rsidRPr="00C02F2C">
        <w:rPr>
          <w:rFonts w:ascii="Poor Richard" w:hAnsi="Poor Richard" w:cs="Times New Roman"/>
          <w:sz w:val="24"/>
          <w:szCs w:val="24"/>
        </w:rPr>
        <w:t>Thomas rightly attributes the similarities to the Platonism of both texts, whereas Albert believes that Peripatetic and Dionysian theology converge …. Not that Albert failed to recognise Platonic traits in Dionysius, but such thinkers as Ibn Sina shared them while remaining basically Peripatetic.</w:t>
      </w:r>
      <w:r w:rsidRPr="00C02F2C">
        <w:rPr>
          <w:rStyle w:val="FootnoteReference"/>
          <w:rFonts w:ascii="Poor Richard" w:hAnsi="Poor Richard" w:cs="Times New Roman"/>
          <w:sz w:val="24"/>
          <w:szCs w:val="24"/>
        </w:rPr>
        <w:footnoteReference w:id="33"/>
      </w:r>
    </w:p>
    <w:p w:rsidR="000F23BE" w:rsidRPr="00C02F2C" w:rsidRDefault="000F23BE" w:rsidP="00E910D7">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Thomas’ last works, beginning with his </w:t>
      </w:r>
      <w:r w:rsidRPr="00C02F2C">
        <w:rPr>
          <w:rFonts w:ascii="Poor Richard" w:hAnsi="Poor Richard" w:cs="Times New Roman"/>
          <w:i/>
          <w:sz w:val="24"/>
          <w:szCs w:val="24"/>
        </w:rPr>
        <w:t>In De divinis nominibus</w:t>
      </w:r>
      <w:r w:rsidRPr="00C02F2C">
        <w:rPr>
          <w:rFonts w:ascii="Poor Richard" w:hAnsi="Poor Richard" w:cs="Times New Roman"/>
          <w:sz w:val="24"/>
          <w:szCs w:val="24"/>
        </w:rPr>
        <w:t xml:space="preserve">, manifest a deep, extensive, and sympathetic knowledge of Platonism with Proclus as its acme. He discerned the difference between Platonic and Aristotelian interpretive approaches and styles of discourse. A pinnacle of his </w:t>
      </w:r>
      <w:r w:rsidRPr="00C02F2C">
        <w:rPr>
          <w:rFonts w:ascii="Poor Richard" w:hAnsi="Poor Richard" w:cs="Times New Roman"/>
          <w:sz w:val="24"/>
          <w:szCs w:val="24"/>
        </w:rPr>
        <w:lastRenderedPageBreak/>
        <w:t>accomplishments as philologist, philosopher, and theologian is his reconciling progressive histories. In them Aquinas brings out differences in order to describe, as Aristotle had, how philosophy moves step by step, compelled by the truth of things.</w:t>
      </w:r>
      <w:r w:rsidRPr="00C02F2C">
        <w:rPr>
          <w:rStyle w:val="FootnoteReference"/>
          <w:rFonts w:ascii="Poor Richard" w:hAnsi="Poor Richard" w:cs="Times New Roman"/>
          <w:sz w:val="24"/>
          <w:szCs w:val="24"/>
        </w:rPr>
        <w:footnoteReference w:id="34"/>
      </w:r>
      <w:r w:rsidRPr="00C02F2C">
        <w:rPr>
          <w:rFonts w:ascii="Poor Richard" w:hAnsi="Poor Richard" w:cs="Times New Roman"/>
          <w:sz w:val="24"/>
          <w:szCs w:val="24"/>
        </w:rPr>
        <w:t xml:space="preserve"> From this same time, starting </w:t>
      </w:r>
      <w:r w:rsidRPr="00C02F2C">
        <w:rPr>
          <w:rFonts w:ascii="Poor Richard" w:hAnsi="Poor Richard" w:cs="Times New Roman"/>
          <w:sz w:val="24"/>
          <w:szCs w:val="24"/>
          <w:lang w:val="it-IT"/>
        </w:rPr>
        <w:t xml:space="preserve">in the </w:t>
      </w:r>
      <w:r w:rsidRPr="00C02F2C">
        <w:rPr>
          <w:rFonts w:ascii="Poor Richard" w:hAnsi="Poor Richard" w:cs="Times New Roman"/>
          <w:i/>
          <w:sz w:val="24"/>
          <w:szCs w:val="24"/>
          <w:lang w:val="it-IT"/>
        </w:rPr>
        <w:t>Summa theologiae</w:t>
      </w:r>
      <w:r w:rsidRPr="00C02F2C">
        <w:rPr>
          <w:rFonts w:ascii="Poor Richard" w:hAnsi="Poor Richard" w:cs="Times New Roman"/>
          <w:sz w:val="24"/>
          <w:szCs w:val="24"/>
          <w:lang w:val="it-IT"/>
        </w:rPr>
        <w:t>, Aquinas uses these progressive histories as philosophical arguments.</w:t>
      </w:r>
      <w:r w:rsidRPr="00C02F2C">
        <w:rPr>
          <w:rStyle w:val="FootnoteReference"/>
          <w:rFonts w:ascii="Poor Richard" w:hAnsi="Poor Richard" w:cs="Times New Roman"/>
          <w:sz w:val="24"/>
          <w:szCs w:val="24"/>
          <w:lang w:val="it-IT"/>
        </w:rPr>
        <w:footnoteReference w:id="35"/>
      </w:r>
      <w:r w:rsidRPr="00C02F2C">
        <w:rPr>
          <w:rFonts w:ascii="Poor Richard" w:hAnsi="Poor Richard" w:cs="Times New Roman"/>
          <w:sz w:val="24"/>
          <w:szCs w:val="24"/>
          <w:lang w:val="it-IT"/>
        </w:rPr>
        <w:t xml:space="preserve"> In them, Platonism now plays an essential positive role in arriving at the truth. His last, the</w:t>
      </w:r>
      <w:r w:rsidRPr="00C02F2C">
        <w:rPr>
          <w:rFonts w:ascii="Poor Richard" w:hAnsi="Poor Richard" w:cs="Times New Roman"/>
          <w:sz w:val="24"/>
          <w:szCs w:val="24"/>
        </w:rPr>
        <w:t xml:space="preserve"> </w:t>
      </w:r>
      <w:r w:rsidRPr="00C02F2C">
        <w:rPr>
          <w:rFonts w:ascii="Poor Richard" w:hAnsi="Poor Richard" w:cs="Times New Roman"/>
          <w:i/>
          <w:sz w:val="24"/>
          <w:szCs w:val="24"/>
        </w:rPr>
        <w:t>De Substantiis Separatis</w:t>
      </w:r>
      <w:r w:rsidRPr="00C02F2C">
        <w:rPr>
          <w:rFonts w:ascii="Poor Richard" w:hAnsi="Poor Richard" w:cs="Times New Roman"/>
          <w:sz w:val="24"/>
          <w:szCs w:val="24"/>
        </w:rPr>
        <w:t>, makes this clear. Here, and elsewhere in these histories, Aristotle resembles Proclus more and more, despite sharp differences.</w:t>
      </w:r>
      <w:r w:rsidRPr="00C02F2C">
        <w:rPr>
          <w:rStyle w:val="FootnoteReference"/>
          <w:rFonts w:ascii="Poor Richard" w:hAnsi="Poor Richard" w:cs="Times New Roman"/>
          <w:sz w:val="24"/>
          <w:szCs w:val="24"/>
        </w:rPr>
        <w:footnoteReference w:id="36"/>
      </w:r>
    </w:p>
    <w:p w:rsidR="000F23BE" w:rsidRPr="00C02F2C" w:rsidRDefault="000F23BE" w:rsidP="00E910D7">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After setting out, in Chapters 1 and 2, both the “opinions” and the necessary movements from Ancient Physicists to Plato and from Plato to Aristotle, Aquinas gives us their agreements (Chapter 3), and their differences (Chapter 4). In the latter, Aristotle is usually, but not always, right. Crucially, truth lies with that on which Plato and Aristotle agree. After this is established, Dionysius comes in at Chapter 18 to confirm these positions:</w:t>
      </w:r>
    </w:p>
    <w:p w:rsidR="000F23BE" w:rsidRPr="00C02F2C" w:rsidRDefault="000F23BE" w:rsidP="00382C24">
      <w:pPr>
        <w:spacing w:after="0" w:line="280" w:lineRule="exact"/>
        <w:ind w:left="720"/>
        <w:contextualSpacing/>
        <w:rPr>
          <w:rFonts w:ascii="Poor Richard" w:hAnsi="Poor Richard" w:cs="Times New Roman"/>
          <w:sz w:val="24"/>
          <w:szCs w:val="24"/>
        </w:rPr>
      </w:pPr>
    </w:p>
    <w:p w:rsidR="000F23BE" w:rsidRPr="00C02F2C" w:rsidRDefault="000F23BE" w:rsidP="00382C24">
      <w:pPr>
        <w:spacing w:after="0" w:line="280" w:lineRule="exact"/>
        <w:ind w:left="720"/>
        <w:contextualSpacing/>
        <w:rPr>
          <w:rFonts w:ascii="Poor Richard" w:hAnsi="Poor Richard" w:cs="Times New Roman"/>
          <w:sz w:val="24"/>
          <w:szCs w:val="24"/>
        </w:rPr>
      </w:pPr>
      <w:r w:rsidRPr="00C02F2C">
        <w:rPr>
          <w:rFonts w:ascii="Poor Richard" w:hAnsi="Poor Richard" w:cs="Times New Roman"/>
          <w:sz w:val="24"/>
          <w:szCs w:val="24"/>
        </w:rPr>
        <w:t>Since therefore it has been shown what the foremost philosophers, Plato and Aristotle, believed about the spiritual substances as to their origin, the condition of their nature, their distinction and order of government, and in what respect others disagreed with them, through error, it remains to show what the teaching of the Christian religion holds about each individual point. For this purpose, we shall use especially the writings of Dionysius who excelled all others in teaching what pertains to spiritual substances.</w:t>
      </w:r>
      <w:r w:rsidRPr="00C02F2C">
        <w:rPr>
          <w:rStyle w:val="FootnoteReference"/>
          <w:rFonts w:ascii="Poor Richard" w:hAnsi="Poor Richard" w:cs="Times New Roman"/>
          <w:sz w:val="24"/>
          <w:szCs w:val="24"/>
        </w:rPr>
        <w:footnoteReference w:id="37"/>
      </w:r>
    </w:p>
    <w:p w:rsidR="000F23BE" w:rsidRPr="00C02F2C" w:rsidRDefault="000F23BE" w:rsidP="00382C24">
      <w:pPr>
        <w:spacing w:after="0" w:line="280" w:lineRule="exact"/>
        <w:ind w:left="720"/>
        <w:contextualSpacing/>
        <w:rPr>
          <w:rFonts w:ascii="Poor Richard" w:hAnsi="Poor Richard" w:cs="Times New Roman"/>
          <w:sz w:val="24"/>
          <w:szCs w:val="24"/>
        </w:rPr>
      </w:pPr>
    </w:p>
    <w:p w:rsidR="000F23BE" w:rsidRPr="00C02F2C" w:rsidRDefault="000F23BE" w:rsidP="005679FD">
      <w:pPr>
        <w:spacing w:after="0" w:line="280" w:lineRule="exact"/>
        <w:contextualSpacing/>
        <w:rPr>
          <w:rFonts w:ascii="Poor Richard" w:hAnsi="Poor Richard" w:cs="Times New Roman"/>
          <w:iCs/>
          <w:sz w:val="24"/>
          <w:szCs w:val="24"/>
        </w:rPr>
      </w:pPr>
      <w:r w:rsidRPr="00C02F2C">
        <w:rPr>
          <w:rFonts w:ascii="Poor Richard" w:hAnsi="Poor Richard" w:cs="Times New Roman"/>
          <w:sz w:val="24"/>
          <w:szCs w:val="24"/>
        </w:rPr>
        <w:t>What the greatest philosophical authorities, at scientific reason’s roots agree, is confirmed as Christian doctrine by the unexcelled authority of Dionysius.  This is Thomas’ final judgement, probably made at the same time as</w:t>
      </w:r>
      <w:r w:rsidRPr="00C02F2C">
        <w:rPr>
          <w:rFonts w:ascii="Poor Richard" w:hAnsi="Poor Richard" w:cs="Times New Roman"/>
          <w:iCs/>
          <w:sz w:val="24"/>
          <w:szCs w:val="24"/>
        </w:rPr>
        <w:t>: “Dionysius was in most things a follower of the opinions of the Platonists.”</w:t>
      </w:r>
      <w:r w:rsidRPr="00C02F2C">
        <w:rPr>
          <w:rFonts w:ascii="Poor Richard" w:hAnsi="Poor Richard" w:cs="Times New Roman"/>
          <w:iCs/>
          <w:sz w:val="24"/>
          <w:szCs w:val="24"/>
          <w:vertAlign w:val="superscript"/>
        </w:rPr>
        <w:footnoteReference w:id="38"/>
      </w:r>
    </w:p>
    <w:p w:rsidR="000F23BE" w:rsidRPr="00C02F2C" w:rsidRDefault="000F23BE" w:rsidP="005679FD">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Despite these developments, for Aquinas what he had learned about the similarities of Aristotle and Dionysius remains determinative for him. His conviction about the agreement of the Philosopher, of the author of the Propositions of the </w:t>
      </w:r>
      <w:r w:rsidRPr="00C02F2C">
        <w:rPr>
          <w:rFonts w:ascii="Poor Richard" w:hAnsi="Poor Richard" w:cs="Times New Roman"/>
          <w:i/>
          <w:sz w:val="24"/>
          <w:szCs w:val="24"/>
        </w:rPr>
        <w:t xml:space="preserve">Liber </w:t>
      </w:r>
      <w:r w:rsidRPr="00C02F2C">
        <w:rPr>
          <w:rFonts w:ascii="Poor Richard" w:hAnsi="Poor Richard" w:cs="Times New Roman"/>
          <w:sz w:val="24"/>
          <w:szCs w:val="24"/>
        </w:rPr>
        <w:t xml:space="preserve">, of Dionysius, and of Catholic truth survives from his discipleship to his most historically and philosophically sophisticated writings. Indeed, it is set out most clearly in his </w:t>
      </w:r>
      <w:r w:rsidRPr="00C02F2C">
        <w:rPr>
          <w:rFonts w:ascii="Poor Richard" w:hAnsi="Poor Richard" w:cs="Times New Roman"/>
          <w:i/>
          <w:sz w:val="24"/>
          <w:szCs w:val="24"/>
        </w:rPr>
        <w:t>Super de Causis</w:t>
      </w:r>
      <w:r w:rsidRPr="00C02F2C">
        <w:rPr>
          <w:rFonts w:ascii="Poor Richard" w:hAnsi="Poor Richard" w:cs="Times New Roman"/>
          <w:sz w:val="24"/>
          <w:szCs w:val="24"/>
        </w:rPr>
        <w:t xml:space="preserve">, detailing the derivation of the </w:t>
      </w:r>
      <w:r w:rsidRPr="00C02F2C">
        <w:rPr>
          <w:rFonts w:ascii="Poor Richard" w:hAnsi="Poor Richard" w:cs="Times New Roman"/>
          <w:i/>
          <w:sz w:val="24"/>
          <w:szCs w:val="24"/>
        </w:rPr>
        <w:t>Liber</w:t>
      </w:r>
      <w:r w:rsidRPr="00C02F2C">
        <w:rPr>
          <w:rFonts w:ascii="Poor Richard" w:hAnsi="Poor Richard" w:cs="Times New Roman"/>
          <w:sz w:val="24"/>
          <w:szCs w:val="24"/>
        </w:rPr>
        <w:t xml:space="preserve"> from the </w:t>
      </w:r>
      <w:r w:rsidRPr="00C02F2C">
        <w:rPr>
          <w:rFonts w:ascii="Poor Richard" w:hAnsi="Poor Richard" w:cs="Times New Roman"/>
          <w:i/>
          <w:sz w:val="24"/>
          <w:szCs w:val="24"/>
        </w:rPr>
        <w:t>Elements</w:t>
      </w:r>
      <w:r w:rsidRPr="00C02F2C">
        <w:rPr>
          <w:rFonts w:ascii="Poor Richard" w:hAnsi="Poor Richard" w:cs="Times New Roman"/>
          <w:sz w:val="24"/>
          <w:szCs w:val="24"/>
        </w:rPr>
        <w:t xml:space="preserve"> of Proclus, a recognition which made no discernable difference to his positions. So close are Dionysius and the </w:t>
      </w:r>
      <w:r w:rsidRPr="00C02F2C">
        <w:rPr>
          <w:rFonts w:ascii="Poor Richard" w:hAnsi="Poor Richard" w:cs="Times New Roman"/>
          <w:i/>
          <w:sz w:val="24"/>
          <w:szCs w:val="24"/>
        </w:rPr>
        <w:t>Liber de causis</w:t>
      </w:r>
      <w:r w:rsidRPr="00C02F2C">
        <w:rPr>
          <w:rFonts w:ascii="Poor Richard" w:hAnsi="Poor Richard" w:cs="Times New Roman"/>
          <w:sz w:val="24"/>
          <w:szCs w:val="24"/>
        </w:rPr>
        <w:t xml:space="preserve"> in the eyes of Aquinas that he even suggests that the author of the </w:t>
      </w:r>
      <w:r w:rsidRPr="00C02F2C">
        <w:rPr>
          <w:rFonts w:ascii="Poor Richard" w:hAnsi="Poor Richard" w:cs="Times New Roman"/>
          <w:i/>
          <w:sz w:val="24"/>
          <w:szCs w:val="24"/>
        </w:rPr>
        <w:t>Liber</w:t>
      </w:r>
      <w:r w:rsidRPr="00C02F2C">
        <w:rPr>
          <w:rFonts w:ascii="Poor Richard" w:hAnsi="Poor Richard" w:cs="Times New Roman"/>
          <w:sz w:val="24"/>
          <w:szCs w:val="24"/>
        </w:rPr>
        <w:t xml:space="preserve"> is dependent on Dionysius.</w:t>
      </w:r>
      <w:r w:rsidRPr="00C02F2C">
        <w:rPr>
          <w:rFonts w:ascii="Poor Richard" w:hAnsi="Poor Richard" w:cs="Times New Roman"/>
          <w:sz w:val="24"/>
          <w:szCs w:val="24"/>
          <w:vertAlign w:val="superscript"/>
        </w:rPr>
        <w:footnoteReference w:id="39"/>
      </w:r>
    </w:p>
    <w:p w:rsidR="000F23BE" w:rsidRPr="00C02F2C" w:rsidRDefault="000F23BE" w:rsidP="00E910D7">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Recent changes in the scholarly understanding of the history and character of the Platonic and Aristotelian philosophies help us to understand the puzzling judgements of Albert and Aquinas. Crucial is new thinking about Proclus, and thus also about the “Cryptoproclean”</w:t>
      </w:r>
      <w:r w:rsidRPr="00C02F2C">
        <w:rPr>
          <w:rStyle w:val="FootnoteReference"/>
          <w:rFonts w:ascii="Poor Richard" w:hAnsi="Poor Richard" w:cs="Times New Roman"/>
          <w:sz w:val="24"/>
          <w:szCs w:val="24"/>
        </w:rPr>
        <w:footnoteReference w:id="40"/>
      </w:r>
      <w:r w:rsidRPr="00C02F2C">
        <w:rPr>
          <w:rFonts w:ascii="Poor Richard" w:hAnsi="Poor Richard" w:cs="Times New Roman"/>
          <w:sz w:val="24"/>
          <w:szCs w:val="24"/>
        </w:rPr>
        <w:t xml:space="preserve"> works, showing how Aristotle is drawn into, and conveyed by, Late Ancient Platonism. In consequence, Aquinas became authentically Aristotelian in virtue of what he took from Proclean Neoplatonism and Dionysius. We shall look at these developments later.</w:t>
      </w:r>
    </w:p>
    <w:p w:rsidR="000F23BE" w:rsidRPr="00C02F2C" w:rsidRDefault="000F23BE" w:rsidP="00E910D7">
      <w:pPr>
        <w:spacing w:after="0" w:line="280" w:lineRule="exact"/>
        <w:ind w:firstLine="720"/>
        <w:contextualSpacing/>
        <w:rPr>
          <w:rFonts w:ascii="Poor Richard" w:hAnsi="Poor Richard" w:cs="Times New Roman"/>
          <w:sz w:val="24"/>
          <w:szCs w:val="24"/>
        </w:rPr>
      </w:pPr>
    </w:p>
    <w:p w:rsidR="000F23BE" w:rsidRPr="00C02F2C" w:rsidRDefault="000F23BE" w:rsidP="00061F03">
      <w:pPr>
        <w:spacing w:after="0" w:line="280" w:lineRule="exact"/>
        <w:ind w:firstLine="720"/>
        <w:contextualSpacing/>
        <w:jc w:val="center"/>
        <w:rPr>
          <w:rFonts w:ascii="Poor Richard" w:hAnsi="Poor Richard" w:cs="Times New Roman"/>
          <w:sz w:val="24"/>
          <w:szCs w:val="24"/>
        </w:rPr>
      </w:pPr>
      <w:r w:rsidRPr="00C02F2C">
        <w:rPr>
          <w:rFonts w:ascii="Poor Richard" w:hAnsi="Poor Richard" w:cs="Times New Roman"/>
          <w:sz w:val="24"/>
          <w:szCs w:val="24"/>
        </w:rPr>
        <w:lastRenderedPageBreak/>
        <w:t xml:space="preserve">D. Matching quasi-Biblical Dionysius with a complete philosophical </w:t>
      </w:r>
      <w:r w:rsidRPr="00C02F2C">
        <w:rPr>
          <w:rFonts w:ascii="Poor Richard" w:hAnsi="Poor Richard" w:cs="Times New Roman"/>
          <w:i/>
          <w:sz w:val="24"/>
          <w:szCs w:val="24"/>
        </w:rPr>
        <w:t>Corpus</w:t>
      </w:r>
    </w:p>
    <w:p w:rsidR="000F23BE" w:rsidRPr="00C02F2C" w:rsidRDefault="000F23BE" w:rsidP="00E70239">
      <w:pPr>
        <w:spacing w:after="0" w:line="280" w:lineRule="exact"/>
        <w:contextualSpacing/>
        <w:rPr>
          <w:rFonts w:ascii="Poor Richard" w:hAnsi="Poor Richard" w:cs="Times New Roman"/>
          <w:sz w:val="24"/>
          <w:szCs w:val="24"/>
        </w:rPr>
      </w:pPr>
      <w:r w:rsidRPr="00C02F2C">
        <w:rPr>
          <w:rFonts w:ascii="Poor Richard" w:hAnsi="Poor Richard" w:cs="Times New Roman"/>
          <w:sz w:val="24"/>
          <w:szCs w:val="24"/>
        </w:rPr>
        <w:t xml:space="preserve">Albert begins his </w:t>
      </w:r>
      <w:r w:rsidRPr="00C02F2C">
        <w:rPr>
          <w:rFonts w:ascii="Poor Richard" w:hAnsi="Poor Richard" w:cs="Times New Roman"/>
          <w:i/>
          <w:sz w:val="24"/>
          <w:szCs w:val="24"/>
        </w:rPr>
        <w:t>Super Mysticam</w:t>
      </w:r>
      <w:r w:rsidRPr="00C02F2C">
        <w:rPr>
          <w:rFonts w:ascii="Poor Richard" w:hAnsi="Poor Richard" w:cs="Times New Roman"/>
          <w:sz w:val="24"/>
          <w:szCs w:val="24"/>
        </w:rPr>
        <w:t xml:space="preserve"> by ascribing to the treatise the mode of “Scripture, which is attained by divine inspiration and cannot be subject to error.” Thus, Dionysius becomes “a quasi-biblical author.”</w:t>
      </w:r>
      <w:r w:rsidRPr="00C02F2C">
        <w:rPr>
          <w:rStyle w:val="FootnoteReference"/>
          <w:rFonts w:ascii="Poor Richard" w:hAnsi="Poor Richard" w:cs="Times New Roman"/>
          <w:sz w:val="24"/>
          <w:szCs w:val="24"/>
        </w:rPr>
        <w:footnoteReference w:id="41"/>
      </w:r>
      <w:r w:rsidRPr="00C02F2C">
        <w:rPr>
          <w:rFonts w:ascii="Poor Richard" w:hAnsi="Poor Richard" w:cs="Times New Roman"/>
          <w:sz w:val="24"/>
          <w:szCs w:val="24"/>
        </w:rPr>
        <w:t xml:space="preserve"> </w:t>
      </w:r>
      <w:r w:rsidRPr="00C02F2C">
        <w:rPr>
          <w:rFonts w:ascii="Poor Richard" w:hAnsi="Poor Richard" w:cs="Times New Roman"/>
          <w:sz w:val="24"/>
          <w:szCs w:val="24"/>
          <w:lang w:eastAsia="zh-CN"/>
        </w:rPr>
        <w:t xml:space="preserve">All of Albert’s Dionysian commentaries date from the Cologne </w:t>
      </w:r>
      <w:r w:rsidRPr="00C02F2C">
        <w:rPr>
          <w:rFonts w:ascii="Poor Richard" w:hAnsi="Poor Richard" w:cs="Times New Roman"/>
          <w:i/>
          <w:sz w:val="24"/>
          <w:szCs w:val="24"/>
          <w:lang w:eastAsia="zh-CN"/>
        </w:rPr>
        <w:t>studium</w:t>
      </w:r>
      <w:r w:rsidRPr="00C02F2C">
        <w:rPr>
          <w:rFonts w:ascii="Poor Richard" w:hAnsi="Poor Richard" w:cs="Times New Roman"/>
          <w:sz w:val="24"/>
          <w:szCs w:val="24"/>
          <w:lang w:eastAsia="zh-CN"/>
        </w:rPr>
        <w:t xml:space="preserve">, where he “deliberately chose to place </w:t>
      </w:r>
      <w:r w:rsidRPr="00C02F2C">
        <w:rPr>
          <w:rFonts w:ascii="Poor Richard" w:hAnsi="Poor Richard" w:cs="Times New Roman"/>
          <w:sz w:val="24"/>
          <w:szCs w:val="24"/>
          <w:lang w:val="en-US" w:eastAsia="zh-CN"/>
        </w:rPr>
        <w:t xml:space="preserve">the Greek father’s entire </w:t>
      </w:r>
      <w:r w:rsidRPr="00C02F2C">
        <w:rPr>
          <w:rFonts w:ascii="Poor Richard" w:hAnsi="Poor Richard" w:cs="Times New Roman"/>
          <w:i/>
          <w:sz w:val="24"/>
          <w:szCs w:val="24"/>
          <w:lang w:val="en-US" w:eastAsia="zh-CN"/>
        </w:rPr>
        <w:t>corpus</w:t>
      </w:r>
      <w:r w:rsidRPr="00C02F2C">
        <w:rPr>
          <w:rFonts w:ascii="Poor Richard" w:hAnsi="Poor Richard" w:cs="Times New Roman"/>
          <w:sz w:val="24"/>
          <w:szCs w:val="24"/>
          <w:lang w:val="en-US" w:eastAsia="zh-CN"/>
        </w:rPr>
        <w:t xml:space="preserve"> at the heart of the formation program.”</w:t>
      </w:r>
      <w:r w:rsidRPr="00C02F2C">
        <w:rPr>
          <w:rStyle w:val="FootnoteReference"/>
          <w:rFonts w:ascii="Poor Richard" w:hAnsi="Poor Richard" w:cs="Times New Roman"/>
          <w:sz w:val="24"/>
          <w:szCs w:val="24"/>
          <w:lang w:val="en-US" w:eastAsia="zh-CN"/>
        </w:rPr>
        <w:footnoteReference w:id="42"/>
      </w:r>
      <w:r w:rsidRPr="00C02F2C">
        <w:rPr>
          <w:rFonts w:ascii="Poor Richard" w:hAnsi="Poor Richard" w:cs="Times New Roman"/>
          <w:sz w:val="24"/>
          <w:szCs w:val="24"/>
          <w:lang w:val="en-US" w:eastAsia="zh-CN"/>
        </w:rPr>
        <w:t xml:space="preserve"> </w:t>
      </w:r>
      <w:r w:rsidRPr="00C02F2C">
        <w:rPr>
          <w:rFonts w:ascii="Poor Richard" w:hAnsi="Poor Richard" w:cs="Times New Roman"/>
          <w:sz w:val="24"/>
          <w:szCs w:val="24"/>
        </w:rPr>
        <w:t>De Libera judges:</w:t>
      </w:r>
    </w:p>
    <w:p w:rsidR="000F23BE" w:rsidRPr="00C02F2C" w:rsidRDefault="000F23BE" w:rsidP="00225D95">
      <w:pPr>
        <w:spacing w:after="0" w:line="280" w:lineRule="exact"/>
        <w:ind w:firstLine="720"/>
        <w:contextualSpacing/>
        <w:rPr>
          <w:rFonts w:ascii="Poor Richard" w:hAnsi="Poor Richard" w:cs="Times New Roman"/>
          <w:sz w:val="24"/>
          <w:szCs w:val="24"/>
        </w:rPr>
      </w:pPr>
    </w:p>
    <w:p w:rsidR="000F23BE" w:rsidRPr="00C02F2C" w:rsidRDefault="000F23BE" w:rsidP="00A973E8">
      <w:pPr>
        <w:spacing w:after="0" w:line="280" w:lineRule="exact"/>
        <w:ind w:left="720"/>
        <w:contextualSpacing/>
        <w:rPr>
          <w:rFonts w:ascii="Poor Richard" w:hAnsi="Poor Richard" w:cs="Times New Roman"/>
          <w:sz w:val="24"/>
          <w:szCs w:val="24"/>
        </w:rPr>
      </w:pPr>
      <w:r w:rsidRPr="00C02F2C">
        <w:rPr>
          <w:rFonts w:ascii="Poor Richard" w:hAnsi="Poor Richard" w:cs="Times New Roman"/>
          <w:sz w:val="24"/>
          <w:szCs w:val="24"/>
        </w:rPr>
        <w:t xml:space="preserve">[Albert] made from the </w:t>
      </w:r>
      <w:r w:rsidRPr="00C02F2C">
        <w:rPr>
          <w:rFonts w:ascii="Poor Richard" w:hAnsi="Poor Richard" w:cs="Times New Roman"/>
          <w:i/>
          <w:sz w:val="24"/>
          <w:szCs w:val="24"/>
        </w:rPr>
        <w:t>corpus</w:t>
      </w:r>
      <w:r w:rsidRPr="00C02F2C">
        <w:rPr>
          <w:rFonts w:ascii="Poor Richard" w:hAnsi="Poor Richard" w:cs="Times New Roman"/>
          <w:sz w:val="24"/>
          <w:szCs w:val="24"/>
        </w:rPr>
        <w:t xml:space="preserve"> of Denys an alternative, on the whole, to the scholastic </w:t>
      </w:r>
      <w:r w:rsidRPr="00C02F2C">
        <w:rPr>
          <w:rFonts w:ascii="Poor Richard" w:hAnsi="Poor Richard" w:cs="Times New Roman"/>
          <w:i/>
          <w:sz w:val="24"/>
          <w:szCs w:val="24"/>
        </w:rPr>
        <w:t xml:space="preserve">corpus </w:t>
      </w:r>
      <w:r w:rsidRPr="00C02F2C">
        <w:rPr>
          <w:rFonts w:ascii="Poor Richard" w:hAnsi="Poor Richard" w:cs="Times New Roman"/>
          <w:sz w:val="24"/>
          <w:szCs w:val="24"/>
        </w:rPr>
        <w:t xml:space="preserve">of magisterial and university theology. This is the most important innovation of Albert: to have answered ‘Yes’ to the question of knowing if the works of Dionysius ‘suffice’ to fulfill the obligations of the theologian’s </w:t>
      </w:r>
      <w:r w:rsidRPr="00C02F2C">
        <w:rPr>
          <w:rFonts w:ascii="Poor Richard" w:hAnsi="Poor Richard" w:cs="Times New Roman"/>
          <w:i/>
          <w:sz w:val="24"/>
          <w:szCs w:val="24"/>
        </w:rPr>
        <w:t>métier</w:t>
      </w:r>
      <w:r w:rsidRPr="00C02F2C">
        <w:rPr>
          <w:rFonts w:ascii="Poor Richard" w:hAnsi="Poor Richard" w:cs="Times New Roman"/>
          <w:sz w:val="24"/>
          <w:szCs w:val="24"/>
        </w:rPr>
        <w:t>, if they cover, in summary, the entirety of “the theological task.”</w:t>
      </w:r>
      <w:r w:rsidRPr="00C02F2C">
        <w:rPr>
          <w:rStyle w:val="FootnoteReference"/>
          <w:rFonts w:ascii="Poor Richard" w:hAnsi="Poor Richard" w:cs="Times New Roman"/>
          <w:sz w:val="24"/>
          <w:szCs w:val="24"/>
        </w:rPr>
        <w:footnoteReference w:id="43"/>
      </w:r>
    </w:p>
    <w:p w:rsidR="000F23BE" w:rsidRPr="00C02F2C" w:rsidRDefault="000F23BE" w:rsidP="00A973E8">
      <w:pPr>
        <w:spacing w:after="0" w:line="280" w:lineRule="exact"/>
        <w:ind w:left="720"/>
        <w:contextualSpacing/>
        <w:rPr>
          <w:rFonts w:ascii="Poor Richard" w:hAnsi="Poor Richard" w:cs="Times New Roman"/>
          <w:sz w:val="24"/>
          <w:szCs w:val="24"/>
        </w:rPr>
      </w:pPr>
    </w:p>
    <w:p w:rsidR="000F23BE" w:rsidRPr="00C02F2C" w:rsidRDefault="000F23BE" w:rsidP="00A973E8">
      <w:pPr>
        <w:spacing w:after="0" w:line="280" w:lineRule="exact"/>
        <w:contextualSpacing/>
        <w:rPr>
          <w:rFonts w:ascii="Poor Richard" w:hAnsi="Poor Richard" w:cs="Times New Roman"/>
          <w:sz w:val="24"/>
          <w:szCs w:val="24"/>
        </w:rPr>
      </w:pPr>
      <w:r w:rsidRPr="00C02F2C">
        <w:rPr>
          <w:rFonts w:ascii="Poor Richard" w:hAnsi="Poor Richard" w:cs="Times New Roman"/>
          <w:sz w:val="24"/>
          <w:szCs w:val="24"/>
        </w:rPr>
        <w:t xml:space="preserve">The Peripatetic philosophy to which Albert matched Dionysius was so complete that Aquinas began his </w:t>
      </w:r>
      <w:r w:rsidRPr="00C02F2C">
        <w:rPr>
          <w:rFonts w:ascii="Poor Richard" w:hAnsi="Poor Richard" w:cs="Times New Roman"/>
          <w:i/>
          <w:sz w:val="24"/>
          <w:szCs w:val="24"/>
        </w:rPr>
        <w:t>Summa theologiae</w:t>
      </w:r>
      <w:r w:rsidRPr="00C02F2C">
        <w:rPr>
          <w:rFonts w:ascii="Poor Richard" w:hAnsi="Poor Richard" w:cs="Times New Roman"/>
          <w:sz w:val="24"/>
          <w:szCs w:val="24"/>
        </w:rPr>
        <w:t xml:space="preserve"> by asking whether any other knowledge is needed.</w:t>
      </w:r>
      <w:r w:rsidRPr="00C02F2C">
        <w:rPr>
          <w:rStyle w:val="FootnoteReference"/>
          <w:rFonts w:ascii="Poor Richard" w:hAnsi="Poor Richard" w:cs="Times New Roman"/>
          <w:sz w:val="24"/>
          <w:szCs w:val="24"/>
        </w:rPr>
        <w:footnoteReference w:id="44"/>
      </w:r>
    </w:p>
    <w:p w:rsidR="000F23BE" w:rsidRPr="00C02F2C" w:rsidRDefault="000F23BE" w:rsidP="0074414F">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It is significant that Albert delivers one of his strongest eulogies of philosophy when commenting on Dionysius’ </w:t>
      </w:r>
      <w:r w:rsidRPr="00C02F2C">
        <w:rPr>
          <w:rFonts w:ascii="Poor Richard" w:hAnsi="Poor Richard" w:cs="Times New Roman"/>
          <w:i/>
          <w:sz w:val="24"/>
          <w:szCs w:val="24"/>
        </w:rPr>
        <w:t>Seventh Letter</w:t>
      </w:r>
      <w:r w:rsidRPr="00C02F2C">
        <w:rPr>
          <w:rFonts w:ascii="Poor Richard" w:hAnsi="Poor Richard" w:cs="Times New Roman"/>
          <w:sz w:val="24"/>
          <w:szCs w:val="24"/>
        </w:rPr>
        <w:t xml:space="preserve">. Aquinas, moved by much the same exigence, labours at his expositions of the </w:t>
      </w:r>
      <w:r w:rsidRPr="00C02F2C">
        <w:rPr>
          <w:rFonts w:ascii="Poor Richard" w:hAnsi="Poor Richard" w:cs="Times New Roman"/>
          <w:i/>
          <w:sz w:val="24"/>
          <w:szCs w:val="24"/>
        </w:rPr>
        <w:t>Aristotelica</w:t>
      </w:r>
      <w:r w:rsidRPr="00C02F2C">
        <w:rPr>
          <w:rFonts w:ascii="Poor Richard" w:hAnsi="Poor Richard" w:cs="Times New Roman"/>
          <w:sz w:val="24"/>
          <w:szCs w:val="24"/>
        </w:rPr>
        <w:t xml:space="preserve"> up to the end.</w:t>
      </w:r>
      <w:r w:rsidRPr="00C02F2C">
        <w:rPr>
          <w:rStyle w:val="FootnoteReference"/>
          <w:rFonts w:ascii="Poor Richard" w:hAnsi="Poor Richard" w:cs="Times New Roman"/>
          <w:sz w:val="24"/>
          <w:szCs w:val="24"/>
        </w:rPr>
        <w:footnoteReference w:id="45"/>
      </w:r>
      <w:r w:rsidRPr="00C02F2C">
        <w:rPr>
          <w:rFonts w:ascii="Poor Richard" w:hAnsi="Poor Richard" w:cs="Times New Roman"/>
          <w:sz w:val="24"/>
          <w:szCs w:val="24"/>
        </w:rPr>
        <w:t xml:space="preserve"> </w:t>
      </w:r>
      <w:r w:rsidRPr="00C02F2C">
        <w:rPr>
          <w:rFonts w:ascii="Poor Richard" w:hAnsi="Poor Richard" w:cs="Times New Roman"/>
          <w:i/>
          <w:sz w:val="24"/>
          <w:szCs w:val="24"/>
        </w:rPr>
        <w:t>In De divinis nominibus</w:t>
      </w:r>
      <w:r w:rsidRPr="00C02F2C">
        <w:rPr>
          <w:rFonts w:ascii="Poor Richard" w:hAnsi="Poor Richard" w:cs="Times New Roman"/>
          <w:sz w:val="24"/>
          <w:szCs w:val="24"/>
        </w:rPr>
        <w:t xml:space="preserve"> stands at the beginning of a renewal of this work, his principal way of doing philosophy apart from Sacred Doctrine. Thomas’ death left several Aristotelian commentaries in the state of his </w:t>
      </w:r>
      <w:r w:rsidRPr="00C02F2C">
        <w:rPr>
          <w:rFonts w:ascii="Poor Richard" w:hAnsi="Poor Richard" w:cs="Times New Roman"/>
          <w:i/>
          <w:sz w:val="24"/>
          <w:szCs w:val="24"/>
        </w:rPr>
        <w:t xml:space="preserve">Summa theologiae, </w:t>
      </w:r>
      <w:r w:rsidRPr="00C02F2C">
        <w:rPr>
          <w:rFonts w:ascii="Poor Richard" w:hAnsi="Poor Richard" w:cs="Times New Roman"/>
          <w:sz w:val="24"/>
          <w:szCs w:val="24"/>
        </w:rPr>
        <w:t>unfinished.</w:t>
      </w:r>
    </w:p>
    <w:p w:rsidR="000F23BE" w:rsidRPr="00C02F2C" w:rsidRDefault="000F23BE" w:rsidP="00D96F55">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Albert, on the </w:t>
      </w:r>
      <w:r w:rsidRPr="00C02F2C">
        <w:rPr>
          <w:rFonts w:ascii="Poor Richard" w:hAnsi="Poor Richard" w:cs="Times New Roman"/>
          <w:i/>
          <w:sz w:val="24"/>
          <w:szCs w:val="24"/>
        </w:rPr>
        <w:t>Seventh Letter</w:t>
      </w:r>
      <w:r w:rsidRPr="00C02F2C">
        <w:rPr>
          <w:rFonts w:ascii="Poor Richard" w:hAnsi="Poor Richard" w:cs="Times New Roman"/>
          <w:sz w:val="24"/>
          <w:szCs w:val="24"/>
        </w:rPr>
        <w:t>,</w:t>
      </w:r>
      <w:r w:rsidRPr="00C02F2C">
        <w:rPr>
          <w:rFonts w:ascii="Poor Richard" w:hAnsi="Poor Richard" w:cs="Times New Roman"/>
          <w:i/>
          <w:sz w:val="24"/>
          <w:szCs w:val="24"/>
        </w:rPr>
        <w:t xml:space="preserve"> </w:t>
      </w:r>
      <w:r w:rsidRPr="00C02F2C">
        <w:rPr>
          <w:rFonts w:ascii="Poor Richard" w:hAnsi="Poor Richard" w:cs="Times New Roman"/>
          <w:sz w:val="24"/>
          <w:szCs w:val="24"/>
        </w:rPr>
        <w:t>teaches that philosophical reasons are not principles in asserting the truth of the faith; they are brought in as secondary and useful, especially against philosophers who must be addressed with the reasoning proper to them. Albert denounced “the ignoramuses who wish, by every means, to combat the use of philosophy … like brute animals who blaspheme what they do not understand.” He goes on to cite Romans 1.19 on the divine wisdom given by God to philosophers.</w:t>
      </w:r>
      <w:r w:rsidRPr="00C02F2C">
        <w:rPr>
          <w:rStyle w:val="FootnoteReference"/>
          <w:rFonts w:ascii="Poor Richard" w:hAnsi="Poor Richard" w:cs="Times New Roman"/>
          <w:sz w:val="24"/>
          <w:szCs w:val="24"/>
        </w:rPr>
        <w:t xml:space="preserve"> </w:t>
      </w:r>
      <w:r w:rsidRPr="00C02F2C">
        <w:rPr>
          <w:rStyle w:val="FootnoteReference"/>
          <w:rFonts w:ascii="Poor Richard" w:hAnsi="Poor Richard" w:cs="Times New Roman"/>
          <w:sz w:val="24"/>
          <w:szCs w:val="24"/>
        </w:rPr>
        <w:footnoteReference w:id="46"/>
      </w:r>
      <w:r w:rsidRPr="00C02F2C">
        <w:rPr>
          <w:rFonts w:ascii="Poor Richard" w:hAnsi="Poor Richard" w:cs="Times New Roman"/>
          <w:sz w:val="24"/>
          <w:szCs w:val="24"/>
        </w:rPr>
        <w:t xml:space="preserve"> Elsewhere, he has theological principles founded on revelation and inspiration and not on reason, so philosophy does not dispute them.</w:t>
      </w:r>
      <w:r w:rsidRPr="00C02F2C">
        <w:rPr>
          <w:rStyle w:val="FootnoteReference"/>
          <w:rFonts w:ascii="Poor Richard" w:hAnsi="Poor Richard" w:cs="Times New Roman"/>
          <w:sz w:val="24"/>
          <w:szCs w:val="24"/>
        </w:rPr>
        <w:footnoteReference w:id="47"/>
      </w:r>
      <w:r w:rsidRPr="00C02F2C">
        <w:rPr>
          <w:rFonts w:ascii="Poor Richard" w:hAnsi="Poor Richard" w:cs="Times New Roman"/>
          <w:sz w:val="24"/>
          <w:szCs w:val="24"/>
        </w:rPr>
        <w:t xml:space="preserve"> </w:t>
      </w:r>
    </w:p>
    <w:p w:rsidR="000F23BE" w:rsidRPr="00C02F2C" w:rsidRDefault="000F23BE" w:rsidP="00D96F55">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Examining the use of “philosophy the handmaid of theology”</w:t>
      </w:r>
      <w:r w:rsidRPr="00C02F2C">
        <w:rPr>
          <w:rStyle w:val="FootnoteReference"/>
          <w:rFonts w:ascii="Poor Richard" w:hAnsi="Poor Richard" w:cs="Times New Roman"/>
          <w:sz w:val="24"/>
          <w:szCs w:val="24"/>
          <w:lang w:val="en-US" w:eastAsia="zh-CN"/>
        </w:rPr>
        <w:t xml:space="preserve"> </w:t>
      </w:r>
      <w:r w:rsidRPr="00C02F2C">
        <w:rPr>
          <w:rFonts w:ascii="Poor Richard" w:hAnsi="Poor Richard" w:cs="Times New Roman"/>
          <w:sz w:val="24"/>
          <w:szCs w:val="24"/>
          <w:lang w:val="en-US" w:eastAsia="zh-CN"/>
        </w:rPr>
        <w:t xml:space="preserve">in Albert and Aquinas, Robert Crouse shows that for them the formula is not primarily about a subordination of philosophical to revealed theology, but about their equality, which is why I have written of ‘matching.’ The phrase, derived from Aristotle, refers: </w:t>
      </w:r>
    </w:p>
    <w:p w:rsidR="000F23BE" w:rsidRPr="00C02F2C" w:rsidRDefault="000F23BE" w:rsidP="00D96F55">
      <w:pPr>
        <w:spacing w:after="0" w:line="280" w:lineRule="exact"/>
        <w:ind w:firstLine="720"/>
        <w:contextualSpacing/>
        <w:rPr>
          <w:rFonts w:ascii="Poor Richard" w:hAnsi="Poor Richard" w:cs="Times New Roman"/>
          <w:sz w:val="24"/>
          <w:szCs w:val="24"/>
          <w:lang w:val="en-US" w:eastAsia="zh-CN"/>
        </w:rPr>
      </w:pPr>
    </w:p>
    <w:p w:rsidR="000F23BE" w:rsidRPr="00C02F2C" w:rsidRDefault="000F23BE" w:rsidP="00991752">
      <w:pPr>
        <w:spacing w:after="0" w:line="280" w:lineRule="exact"/>
        <w:ind w:left="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to the relationship which obtains between the particular philosophical sciences and theology, whether theology takes the form of metaphysics, or the form which it has in sacred doctrine, deriving its principles from revelation. </w:t>
      </w:r>
      <w:r w:rsidRPr="00C02F2C">
        <w:rPr>
          <w:rFonts w:ascii="Poor Richard" w:hAnsi="Poor Richard" w:cs="Times New Roman"/>
          <w:i/>
          <w:sz w:val="24"/>
          <w:szCs w:val="24"/>
          <w:lang w:val="en-US" w:eastAsia="zh-CN"/>
        </w:rPr>
        <w:t>Theologia</w:t>
      </w:r>
      <w:r w:rsidRPr="00C02F2C">
        <w:rPr>
          <w:rFonts w:ascii="Poor Richard" w:hAnsi="Poor Richard" w:cs="Times New Roman"/>
          <w:sz w:val="24"/>
          <w:szCs w:val="24"/>
          <w:lang w:val="en-US" w:eastAsia="zh-CN"/>
        </w:rPr>
        <w:t xml:space="preserve">, for these doctors, though double in form, is </w:t>
      </w:r>
      <w:r w:rsidRPr="00C02F2C">
        <w:rPr>
          <w:rFonts w:ascii="Poor Richard" w:hAnsi="Poor Richard" w:cs="Times New Roman"/>
          <w:sz w:val="24"/>
          <w:szCs w:val="24"/>
          <w:lang w:val="en-US" w:eastAsia="zh-CN"/>
        </w:rPr>
        <w:lastRenderedPageBreak/>
        <w:t>radically one. … [B]</w:t>
      </w:r>
      <w:proofErr w:type="spellStart"/>
      <w:r w:rsidRPr="00C02F2C">
        <w:rPr>
          <w:rFonts w:ascii="Poor Richard" w:hAnsi="Poor Richard" w:cs="Times New Roman"/>
          <w:sz w:val="24"/>
          <w:szCs w:val="24"/>
          <w:lang w:val="en-US" w:eastAsia="zh-CN"/>
        </w:rPr>
        <w:t>oth</w:t>
      </w:r>
      <w:proofErr w:type="spellEnd"/>
      <w:r w:rsidRPr="00C02F2C">
        <w:rPr>
          <w:rFonts w:ascii="Poor Richard" w:hAnsi="Poor Richard" w:cs="Times New Roman"/>
          <w:sz w:val="24"/>
          <w:szCs w:val="24"/>
          <w:lang w:val="en-US" w:eastAsia="zh-CN"/>
        </w:rPr>
        <w:t xml:space="preserve"> forms … are divinely given modes of sharing in the one divine science. [T]hey cannot, when rightly apprehended, be contradictory.</w:t>
      </w:r>
      <w:r w:rsidRPr="00C02F2C">
        <w:rPr>
          <w:rStyle w:val="FootnoteReference"/>
          <w:rFonts w:ascii="Poor Richard" w:hAnsi="Poor Richard" w:cs="Times New Roman"/>
          <w:sz w:val="24"/>
          <w:szCs w:val="24"/>
          <w:lang w:val="en-US" w:eastAsia="zh-CN"/>
        </w:rPr>
        <w:t xml:space="preserve"> </w:t>
      </w:r>
      <w:r w:rsidRPr="00C02F2C">
        <w:rPr>
          <w:rStyle w:val="FootnoteReference"/>
          <w:rFonts w:ascii="Poor Richard" w:hAnsi="Poor Richard" w:cs="Times New Roman"/>
          <w:sz w:val="24"/>
          <w:szCs w:val="24"/>
          <w:lang w:val="en-US" w:eastAsia="zh-CN"/>
        </w:rPr>
        <w:footnoteReference w:id="48"/>
      </w:r>
    </w:p>
    <w:p w:rsidR="000F23BE" w:rsidRPr="00C02F2C" w:rsidRDefault="000F23BE" w:rsidP="006A3498">
      <w:pPr>
        <w:spacing w:after="0" w:line="280" w:lineRule="exact"/>
        <w:contextualSpacing/>
        <w:rPr>
          <w:rFonts w:ascii="Poor Richard" w:hAnsi="Poor Richard" w:cs="Times New Roman"/>
          <w:sz w:val="24"/>
          <w:szCs w:val="24"/>
          <w:lang w:val="en-US" w:eastAsia="zh-CN"/>
        </w:rPr>
      </w:pPr>
    </w:p>
    <w:p w:rsidR="000F23BE" w:rsidRPr="00C02F2C" w:rsidRDefault="000F23BE" w:rsidP="006A3498">
      <w:pPr>
        <w:spacing w:after="0" w:line="280" w:lineRule="exact"/>
        <w:contextualSpacing/>
        <w:rPr>
          <w:rFonts w:ascii="Poor Richard" w:hAnsi="Poor Richard" w:cs="Times New Roman"/>
          <w:sz w:val="24"/>
          <w:szCs w:val="24"/>
        </w:rPr>
      </w:pPr>
      <w:r w:rsidRPr="00C02F2C">
        <w:rPr>
          <w:rFonts w:ascii="Poor Richard" w:hAnsi="Poor Richard" w:cs="Times New Roman"/>
          <w:sz w:val="24"/>
          <w:szCs w:val="24"/>
          <w:lang w:val="en-US" w:eastAsia="zh-CN"/>
        </w:rPr>
        <w:t xml:space="preserve">The problem of a relation between two theologies “lies in the recognition, by Christian doctors, of a genuine and coherent expression of divine science in the </w:t>
      </w:r>
      <w:r w:rsidRPr="00C02F2C">
        <w:rPr>
          <w:rFonts w:ascii="Poor Richard" w:hAnsi="Poor Richard" w:cs="Times New Roman"/>
          <w:i/>
          <w:sz w:val="24"/>
          <w:szCs w:val="24"/>
          <w:lang w:val="en-US" w:eastAsia="zh-CN"/>
        </w:rPr>
        <w:t>Metaphysics</w:t>
      </w:r>
      <w:r w:rsidRPr="00C02F2C">
        <w:rPr>
          <w:rFonts w:ascii="Poor Richard" w:hAnsi="Poor Richard" w:cs="Times New Roman"/>
          <w:sz w:val="24"/>
          <w:szCs w:val="24"/>
          <w:lang w:val="en-US" w:eastAsia="zh-CN"/>
        </w:rPr>
        <w:t xml:space="preserve"> of Aristotle.”</w:t>
      </w:r>
      <w:r w:rsidRPr="00C02F2C">
        <w:rPr>
          <w:rStyle w:val="FootnoteReference"/>
          <w:rFonts w:ascii="Poor Richard" w:hAnsi="Poor Richard" w:cs="Times New Roman"/>
          <w:sz w:val="24"/>
          <w:szCs w:val="24"/>
          <w:lang w:val="en-US" w:eastAsia="zh-CN"/>
        </w:rPr>
        <w:footnoteReference w:id="49"/>
      </w:r>
      <w:r w:rsidRPr="00C02F2C">
        <w:rPr>
          <w:rFonts w:ascii="Poor Richard" w:hAnsi="Poor Richard" w:cs="Times New Roman"/>
          <w:sz w:val="24"/>
          <w:szCs w:val="24"/>
          <w:lang w:val="en-US" w:eastAsia="zh-CN"/>
        </w:rPr>
        <w:t xml:space="preserve"> Although Aquinas makes the relation hierarchical, Albert does not.</w:t>
      </w:r>
      <w:r w:rsidRPr="00C02F2C">
        <w:rPr>
          <w:rStyle w:val="FootnoteReference"/>
          <w:rFonts w:ascii="Poor Richard" w:hAnsi="Poor Richard" w:cs="Times New Roman"/>
          <w:sz w:val="24"/>
          <w:szCs w:val="24"/>
          <w:lang w:val="en-US" w:eastAsia="zh-CN"/>
        </w:rPr>
        <w:footnoteReference w:id="50"/>
      </w:r>
    </w:p>
    <w:p w:rsidR="000F23BE" w:rsidRPr="00C02F2C" w:rsidRDefault="000F23BE" w:rsidP="006A3498">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rPr>
        <w:t xml:space="preserve">Because both are autonomous, their existence alongside one another requires that each be self-limiting. </w:t>
      </w:r>
      <w:r w:rsidRPr="00C02F2C">
        <w:rPr>
          <w:rStyle w:val="FootnoteReference"/>
          <w:rFonts w:ascii="Poor Richard" w:hAnsi="Poor Richard" w:cs="Times New Roman"/>
          <w:sz w:val="24"/>
          <w:szCs w:val="24"/>
        </w:rPr>
        <w:footnoteReference w:id="51"/>
      </w:r>
      <w:r w:rsidRPr="00C02F2C">
        <w:rPr>
          <w:rFonts w:ascii="Poor Richard" w:hAnsi="Poor Richard" w:cs="Times New Roman"/>
          <w:sz w:val="24"/>
          <w:szCs w:val="24"/>
        </w:rPr>
        <w:t xml:space="preserve"> </w:t>
      </w:r>
      <w:r w:rsidRPr="00C02F2C">
        <w:rPr>
          <w:rFonts w:ascii="Poor Richard" w:hAnsi="Poor Richard" w:cs="Times New Roman"/>
          <w:sz w:val="24"/>
          <w:szCs w:val="24"/>
          <w:lang w:val="en-US" w:eastAsia="zh-CN"/>
        </w:rPr>
        <w:t>Henryk Anzulewicz judges “Albert the Great was the first to recognize this necessity.” “[T]he self-limitation of theology, a scientifically valid demarcation of philosophy, as well as a redefinition of the relationship between theology and philosophy” was required.</w:t>
      </w:r>
      <w:r w:rsidRPr="00C02F2C">
        <w:rPr>
          <w:rStyle w:val="FootnoteReference"/>
          <w:rFonts w:ascii="Poor Richard" w:hAnsi="Poor Richard" w:cs="Times New Roman"/>
          <w:sz w:val="24"/>
          <w:szCs w:val="24"/>
          <w:lang w:val="en-US" w:eastAsia="zh-CN"/>
        </w:rPr>
        <w:footnoteReference w:id="52"/>
      </w:r>
    </w:p>
    <w:p w:rsidR="000F23BE" w:rsidRPr="00C02F2C" w:rsidRDefault="000F23BE" w:rsidP="006A3498">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For Albert, theology is affective science, practical in a way Aquinas will not concede.  Both theologies are “concerned with the ultimate cause of all things in the divine intellect, but with different perspective.”</w:t>
      </w:r>
      <w:r w:rsidRPr="00C02F2C">
        <w:rPr>
          <w:rStyle w:val="FootnoteReference"/>
          <w:rFonts w:ascii="Poor Richard" w:hAnsi="Poor Richard" w:cs="Times New Roman"/>
          <w:sz w:val="24"/>
          <w:szCs w:val="24"/>
          <w:lang w:val="en-US" w:eastAsia="zh-CN"/>
        </w:rPr>
        <w:footnoteReference w:id="53"/>
      </w:r>
      <w:r w:rsidRPr="00C02F2C">
        <w:rPr>
          <w:rFonts w:ascii="Poor Richard" w:hAnsi="Poor Richard" w:cs="Times New Roman"/>
          <w:sz w:val="24"/>
          <w:szCs w:val="24"/>
          <w:lang w:val="en-US" w:eastAsia="zh-CN"/>
        </w:rPr>
        <w:t xml:space="preserve"> Scriptural theology:</w:t>
      </w:r>
    </w:p>
    <w:p w:rsidR="000F23BE" w:rsidRPr="00C02F2C" w:rsidRDefault="000F23BE" w:rsidP="006A3498">
      <w:pPr>
        <w:spacing w:after="0" w:line="280" w:lineRule="exact"/>
        <w:ind w:firstLine="720"/>
        <w:contextualSpacing/>
        <w:rPr>
          <w:rFonts w:ascii="Poor Richard" w:hAnsi="Poor Richard" w:cs="Times New Roman"/>
          <w:sz w:val="24"/>
          <w:szCs w:val="24"/>
          <w:lang w:val="en-US" w:eastAsia="zh-CN"/>
        </w:rPr>
      </w:pPr>
    </w:p>
    <w:p w:rsidR="000F23BE" w:rsidRPr="00C02F2C" w:rsidRDefault="000F23BE" w:rsidP="00A077A5">
      <w:pPr>
        <w:spacing w:after="0" w:line="280" w:lineRule="exact"/>
        <w:ind w:left="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is concerned with final cause as </w:t>
      </w:r>
      <w:r w:rsidRPr="00C02F2C">
        <w:rPr>
          <w:rFonts w:ascii="Poor Richard" w:hAnsi="Poor Richard" w:cs="Times New Roman"/>
          <w:i/>
          <w:sz w:val="24"/>
          <w:szCs w:val="24"/>
          <w:lang w:val="en-US" w:eastAsia="zh-CN"/>
        </w:rPr>
        <w:t>finis intentionis</w:t>
      </w:r>
      <w:r w:rsidRPr="00C02F2C">
        <w:rPr>
          <w:rFonts w:ascii="Poor Richard" w:hAnsi="Poor Richard" w:cs="Times New Roman"/>
          <w:sz w:val="24"/>
          <w:szCs w:val="24"/>
          <w:lang w:val="en-US" w:eastAsia="zh-CN"/>
        </w:rPr>
        <w:t xml:space="preserve">, according to which man is united in intellect, affection and substance with Him who is worshipped as </w:t>
      </w:r>
      <w:r w:rsidRPr="00C02F2C">
        <w:rPr>
          <w:rFonts w:ascii="Poor Richard" w:hAnsi="Poor Richard" w:cs="Times New Roman"/>
          <w:i/>
          <w:sz w:val="24"/>
          <w:szCs w:val="24"/>
          <w:lang w:val="en-US" w:eastAsia="zh-CN"/>
        </w:rPr>
        <w:t>finis beatificans</w:t>
      </w:r>
      <w:r w:rsidRPr="00C02F2C">
        <w:rPr>
          <w:rFonts w:ascii="Poor Richard" w:hAnsi="Poor Richard" w:cs="Times New Roman"/>
          <w:sz w:val="24"/>
          <w:szCs w:val="24"/>
          <w:lang w:val="en-US" w:eastAsia="zh-CN"/>
        </w:rPr>
        <w:t xml:space="preserve">. Thus sacred doctrine would be properly described as </w:t>
      </w:r>
      <w:r w:rsidRPr="00C02F2C">
        <w:rPr>
          <w:rFonts w:ascii="Poor Richard" w:hAnsi="Poor Richard" w:cs="Times New Roman"/>
          <w:i/>
          <w:sz w:val="24"/>
          <w:szCs w:val="24"/>
          <w:lang w:val="en-US" w:eastAsia="zh-CN"/>
        </w:rPr>
        <w:t>affectiva</w:t>
      </w:r>
      <w:r w:rsidRPr="00C02F2C">
        <w:rPr>
          <w:rFonts w:ascii="Poor Richard" w:hAnsi="Poor Richard" w:cs="Times New Roman"/>
          <w:sz w:val="24"/>
          <w:szCs w:val="24"/>
          <w:lang w:val="en-US" w:eastAsia="zh-CN"/>
        </w:rPr>
        <w:t xml:space="preserve">: it is </w:t>
      </w:r>
      <w:r w:rsidRPr="00C02F2C">
        <w:rPr>
          <w:rFonts w:ascii="Poor Richard" w:hAnsi="Poor Richard" w:cs="Times New Roman"/>
          <w:i/>
          <w:sz w:val="24"/>
          <w:szCs w:val="24"/>
          <w:lang w:val="en-US" w:eastAsia="zh-CN"/>
        </w:rPr>
        <w:t>scientia ad pietatem</w:t>
      </w:r>
      <w:r w:rsidRPr="00C02F2C">
        <w:rPr>
          <w:rFonts w:ascii="Poor Richard" w:hAnsi="Poor Richard" w:cs="Times New Roman"/>
          <w:sz w:val="24"/>
          <w:szCs w:val="24"/>
          <w:lang w:val="en-US" w:eastAsia="zh-CN"/>
        </w:rPr>
        <w:t>; and at the highest level, the speculative power would appear to be ‘handmaid’ to the practical.</w:t>
      </w:r>
      <w:r w:rsidRPr="00C02F2C">
        <w:rPr>
          <w:rStyle w:val="FootnoteReference"/>
          <w:rFonts w:ascii="Poor Richard" w:hAnsi="Poor Richard" w:cs="Times New Roman"/>
          <w:sz w:val="24"/>
          <w:szCs w:val="24"/>
          <w:lang w:val="en-US" w:eastAsia="zh-CN"/>
        </w:rPr>
        <w:footnoteReference w:id="54"/>
      </w:r>
    </w:p>
    <w:p w:rsidR="000F23BE" w:rsidRPr="00C02F2C" w:rsidRDefault="000F23BE" w:rsidP="00A077A5">
      <w:pPr>
        <w:spacing w:after="0" w:line="280" w:lineRule="exact"/>
        <w:ind w:left="720"/>
        <w:contextualSpacing/>
        <w:rPr>
          <w:rFonts w:ascii="Poor Richard" w:hAnsi="Poor Richard" w:cs="Times New Roman"/>
          <w:sz w:val="24"/>
          <w:szCs w:val="24"/>
          <w:lang w:val="en-US" w:eastAsia="zh-CN"/>
        </w:rPr>
      </w:pPr>
    </w:p>
    <w:p w:rsidR="000F23BE" w:rsidRPr="00C02F2C" w:rsidRDefault="000F23BE" w:rsidP="00AD2F0A">
      <w:pPr>
        <w:spacing w:after="0" w:line="280" w:lineRule="exact"/>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There are several dilemmas here, including the relation of theology to ethics, stemming from theology’s object being the good as both known and willed.</w:t>
      </w:r>
      <w:r w:rsidRPr="00C02F2C">
        <w:rPr>
          <w:rStyle w:val="FootnoteReference"/>
          <w:rFonts w:ascii="Poor Richard" w:hAnsi="Poor Richard" w:cs="Times New Roman"/>
          <w:sz w:val="24"/>
          <w:szCs w:val="24"/>
          <w:lang w:val="en-US" w:eastAsia="zh-CN"/>
        </w:rPr>
        <w:footnoteReference w:id="55"/>
      </w:r>
      <w:r w:rsidRPr="00C02F2C">
        <w:rPr>
          <w:rFonts w:ascii="Poor Richard" w:hAnsi="Poor Richard" w:cs="Times New Roman"/>
          <w:sz w:val="24"/>
          <w:szCs w:val="24"/>
          <w:lang w:val="en-US" w:eastAsia="zh-CN"/>
        </w:rPr>
        <w:t xml:space="preserve"> Albert’s statements necessarily shift, depending on which of the two relations to God he has primarily in view.</w:t>
      </w:r>
      <w:r w:rsidRPr="00C02F2C">
        <w:rPr>
          <w:rStyle w:val="FootnoteReference"/>
          <w:rFonts w:ascii="Poor Richard" w:hAnsi="Poor Richard" w:cs="Times New Roman"/>
          <w:sz w:val="24"/>
          <w:szCs w:val="24"/>
          <w:lang w:val="en-US" w:eastAsia="zh-CN"/>
        </w:rPr>
        <w:footnoteReference w:id="56"/>
      </w:r>
      <w:r w:rsidRPr="00C02F2C">
        <w:rPr>
          <w:rFonts w:ascii="Poor Richard" w:hAnsi="Poor Richard" w:cs="Times New Roman"/>
          <w:sz w:val="24"/>
          <w:szCs w:val="24"/>
          <w:lang w:val="en-US" w:eastAsia="zh-CN"/>
        </w:rPr>
        <w:t xml:space="preserve"> His problem is acute because he is an heir of Eriugena’s affective reading of Dionysius, by translating “suffering divine things” as “an affection (</w:t>
      </w:r>
      <w:proofErr w:type="spellStart"/>
      <w:r w:rsidRPr="00C02F2C">
        <w:rPr>
          <w:rFonts w:ascii="Poor Richard" w:hAnsi="Poor Richard" w:cs="Times New Roman"/>
          <w:i/>
          <w:sz w:val="24"/>
          <w:szCs w:val="24"/>
          <w:lang w:val="en-US" w:eastAsia="zh-CN"/>
        </w:rPr>
        <w:t>affectus</w:t>
      </w:r>
      <w:proofErr w:type="spellEnd"/>
      <w:r w:rsidRPr="00C02F2C">
        <w:rPr>
          <w:rFonts w:ascii="Poor Richard" w:hAnsi="Poor Richard" w:cs="Times New Roman"/>
          <w:sz w:val="24"/>
          <w:szCs w:val="24"/>
          <w:lang w:val="en-US" w:eastAsia="zh-CN"/>
        </w:rPr>
        <w:t xml:space="preserve">) for divine things.” The </w:t>
      </w:r>
      <w:r w:rsidRPr="00C02F2C">
        <w:rPr>
          <w:rFonts w:ascii="Poor Richard" w:hAnsi="Poor Richard" w:cs="Times New Roman"/>
          <w:i/>
          <w:sz w:val="24"/>
          <w:szCs w:val="24"/>
          <w:lang w:val="en-US" w:eastAsia="zh-CN"/>
        </w:rPr>
        <w:t xml:space="preserve">Parisian Corpus </w:t>
      </w:r>
      <w:proofErr w:type="spellStart"/>
      <w:r w:rsidRPr="00C02F2C">
        <w:rPr>
          <w:rFonts w:ascii="Poor Richard" w:hAnsi="Poor Richard" w:cs="Times New Roman"/>
          <w:i/>
          <w:sz w:val="24"/>
          <w:szCs w:val="24"/>
          <w:lang w:val="en-US" w:eastAsia="zh-CN"/>
        </w:rPr>
        <w:t>Dionysiacum</w:t>
      </w:r>
      <w:proofErr w:type="spellEnd"/>
      <w:r w:rsidRPr="00C02F2C">
        <w:rPr>
          <w:rFonts w:ascii="Poor Richard" w:hAnsi="Poor Richard" w:cs="Times New Roman"/>
          <w:i/>
          <w:sz w:val="24"/>
          <w:szCs w:val="24"/>
          <w:lang w:val="en-US" w:eastAsia="zh-CN"/>
        </w:rPr>
        <w:t xml:space="preserve">, </w:t>
      </w:r>
      <w:r w:rsidRPr="00C02F2C">
        <w:rPr>
          <w:rFonts w:ascii="Poor Richard" w:hAnsi="Poor Richard" w:cs="Times New Roman"/>
          <w:sz w:val="24"/>
          <w:szCs w:val="24"/>
          <w:lang w:val="en-US" w:eastAsia="zh-CN"/>
        </w:rPr>
        <w:t xml:space="preserve">which he and Aquinas used, “witnesses the birth of ‘Affective </w:t>
      </w:r>
      <w:proofErr w:type="spellStart"/>
      <w:r w:rsidRPr="00C02F2C">
        <w:rPr>
          <w:rFonts w:ascii="Poor Richard" w:hAnsi="Poor Richard" w:cs="Times New Roman"/>
          <w:sz w:val="24"/>
          <w:szCs w:val="24"/>
          <w:lang w:val="en-US" w:eastAsia="zh-CN"/>
        </w:rPr>
        <w:t>Dionysianism</w:t>
      </w:r>
      <w:proofErr w:type="spellEnd"/>
      <w:r w:rsidRPr="00C02F2C">
        <w:rPr>
          <w:rFonts w:ascii="Poor Richard" w:hAnsi="Poor Richard" w:cs="Times New Roman"/>
          <w:sz w:val="24"/>
          <w:szCs w:val="24"/>
          <w:lang w:val="en-US" w:eastAsia="zh-CN"/>
        </w:rPr>
        <w:t>’.”</w:t>
      </w:r>
      <w:r w:rsidRPr="00C02F2C">
        <w:rPr>
          <w:rStyle w:val="FootnoteReference"/>
          <w:rFonts w:ascii="Poor Richard" w:hAnsi="Poor Richard" w:cs="Times New Roman"/>
          <w:sz w:val="24"/>
          <w:szCs w:val="24"/>
          <w:lang w:val="en-US" w:eastAsia="zh-CN"/>
        </w:rPr>
        <w:footnoteReference w:id="57"/>
      </w:r>
      <w:r w:rsidRPr="00C02F2C">
        <w:rPr>
          <w:rFonts w:ascii="Poor Richard" w:hAnsi="Poor Richard" w:cs="Times New Roman"/>
          <w:sz w:val="24"/>
          <w:szCs w:val="24"/>
          <w:lang w:val="en-US" w:eastAsia="zh-CN"/>
        </w:rPr>
        <w:t xml:space="preserve"> That theology is affective science for Albert is a measure of the weight and character of his following of Dionysius. </w:t>
      </w:r>
    </w:p>
    <w:p w:rsidR="000F23BE" w:rsidRPr="00C02F2C" w:rsidRDefault="000F23BE" w:rsidP="0074414F">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That </w:t>
      </w:r>
      <w:r w:rsidRPr="00C02F2C">
        <w:rPr>
          <w:rFonts w:ascii="Poor Richard" w:hAnsi="Poor Richard" w:cs="Times New Roman"/>
          <w:i/>
          <w:sz w:val="24"/>
          <w:szCs w:val="24"/>
        </w:rPr>
        <w:t xml:space="preserve">corpus </w:t>
      </w:r>
      <w:r w:rsidRPr="00C02F2C">
        <w:rPr>
          <w:rFonts w:ascii="Poor Richard" w:hAnsi="Poor Richard" w:cs="Times New Roman"/>
          <w:sz w:val="24"/>
          <w:szCs w:val="24"/>
        </w:rPr>
        <w:t>contained glosses from Eriugena. Michael Harrington writes, a thirteenth-century editor added:</w:t>
      </w:r>
    </w:p>
    <w:p w:rsidR="000F23BE" w:rsidRPr="00C02F2C" w:rsidRDefault="000F23BE" w:rsidP="0074414F">
      <w:pPr>
        <w:spacing w:after="0" w:line="280" w:lineRule="exact"/>
        <w:ind w:firstLine="720"/>
        <w:contextualSpacing/>
        <w:rPr>
          <w:rFonts w:ascii="Poor Richard" w:hAnsi="Poor Richard" w:cs="Times New Roman"/>
          <w:sz w:val="24"/>
          <w:szCs w:val="24"/>
        </w:rPr>
      </w:pPr>
    </w:p>
    <w:p w:rsidR="000F23BE" w:rsidRPr="00C02F2C" w:rsidRDefault="000F23BE" w:rsidP="003743C1">
      <w:pPr>
        <w:spacing w:after="0" w:line="280" w:lineRule="exact"/>
        <w:ind w:left="720"/>
        <w:contextualSpacing/>
        <w:rPr>
          <w:rStyle w:val="FootnoteReference"/>
          <w:rFonts w:ascii="Poor Richard" w:hAnsi="Poor Richard" w:cs="Times New Roman"/>
          <w:sz w:val="24"/>
          <w:szCs w:val="24"/>
        </w:rPr>
      </w:pPr>
      <w:r w:rsidRPr="00C02F2C">
        <w:rPr>
          <w:rFonts w:ascii="Poor Richard" w:hAnsi="Poor Richard" w:cs="Times New Roman"/>
          <w:sz w:val="24"/>
          <w:szCs w:val="24"/>
        </w:rPr>
        <w:t xml:space="preserve">excerpts from Eriugena’s … </w:t>
      </w:r>
      <w:r w:rsidRPr="00C02F2C">
        <w:rPr>
          <w:rFonts w:ascii="Poor Richard" w:hAnsi="Poor Richard" w:cs="Times New Roman"/>
          <w:i/>
          <w:sz w:val="24"/>
          <w:szCs w:val="24"/>
        </w:rPr>
        <w:t>Periphyseon</w:t>
      </w:r>
      <w:r w:rsidRPr="00C02F2C">
        <w:rPr>
          <w:rFonts w:ascii="Poor Richard" w:hAnsi="Poor Richard" w:cs="Times New Roman"/>
          <w:sz w:val="24"/>
          <w:szCs w:val="24"/>
        </w:rPr>
        <w:t xml:space="preserve">, many of them passages that commented directly on the </w:t>
      </w:r>
      <w:r w:rsidRPr="00C02F2C">
        <w:rPr>
          <w:rFonts w:ascii="Poor Richard" w:hAnsi="Poor Richard" w:cs="Times New Roman"/>
          <w:i/>
          <w:sz w:val="24"/>
          <w:szCs w:val="24"/>
        </w:rPr>
        <w:t>Divine Names</w:t>
      </w:r>
      <w:r w:rsidRPr="00C02F2C">
        <w:rPr>
          <w:rFonts w:ascii="Poor Richard" w:hAnsi="Poor Richard" w:cs="Times New Roman"/>
          <w:sz w:val="24"/>
          <w:szCs w:val="24"/>
        </w:rPr>
        <w:t xml:space="preserve"> </w:t>
      </w:r>
      <w:r w:rsidRPr="00C02F2C">
        <w:rPr>
          <w:rFonts w:ascii="Poor Richard" w:hAnsi="Poor Richard" w:cs="Times New Roman"/>
          <w:i/>
          <w:sz w:val="24"/>
          <w:szCs w:val="24"/>
        </w:rPr>
        <w:t xml:space="preserve">… </w:t>
      </w:r>
      <w:r w:rsidRPr="00C02F2C">
        <w:rPr>
          <w:rFonts w:ascii="Poor Richard" w:hAnsi="Poor Richard" w:cs="Times New Roman"/>
          <w:sz w:val="24"/>
          <w:szCs w:val="24"/>
        </w:rPr>
        <w:t xml:space="preserve">The </w:t>
      </w:r>
      <w:r w:rsidRPr="00C02F2C">
        <w:rPr>
          <w:rFonts w:ascii="Poor Richard" w:hAnsi="Poor Richard" w:cs="Times New Roman"/>
          <w:i/>
          <w:sz w:val="24"/>
          <w:szCs w:val="24"/>
        </w:rPr>
        <w:t>Divine Names</w:t>
      </w:r>
      <w:r w:rsidRPr="00C02F2C">
        <w:rPr>
          <w:rFonts w:ascii="Poor Richard" w:hAnsi="Poor Richard" w:cs="Times New Roman"/>
          <w:sz w:val="24"/>
          <w:szCs w:val="24"/>
        </w:rPr>
        <w:t xml:space="preserve"> now not only contained Eriugena’s translation of Dionysius, but his own philosophical commentary on Dionysius.”</w:t>
      </w:r>
      <w:r w:rsidRPr="00C02F2C">
        <w:rPr>
          <w:rStyle w:val="FootnoteReference"/>
          <w:rFonts w:ascii="Poor Richard" w:hAnsi="Poor Richard" w:cs="Times New Roman"/>
          <w:sz w:val="24"/>
          <w:szCs w:val="24"/>
        </w:rPr>
        <w:t xml:space="preserve"> </w:t>
      </w:r>
      <w:r w:rsidRPr="00C02F2C">
        <w:rPr>
          <w:rStyle w:val="FootnoteReference"/>
          <w:rFonts w:ascii="Poor Richard" w:hAnsi="Poor Richard" w:cs="Times New Roman"/>
          <w:sz w:val="24"/>
          <w:szCs w:val="24"/>
        </w:rPr>
        <w:footnoteReference w:id="58"/>
      </w:r>
    </w:p>
    <w:p w:rsidR="000F23BE" w:rsidRPr="00C02F2C" w:rsidRDefault="000F23BE" w:rsidP="003743C1">
      <w:pPr>
        <w:spacing w:after="0" w:line="280" w:lineRule="exact"/>
        <w:ind w:left="720"/>
        <w:contextualSpacing/>
        <w:rPr>
          <w:rStyle w:val="FootnoteReference"/>
          <w:rFonts w:ascii="Poor Richard" w:hAnsi="Poor Richard" w:cs="Times New Roman"/>
          <w:sz w:val="24"/>
          <w:szCs w:val="24"/>
        </w:rPr>
      </w:pPr>
    </w:p>
    <w:p w:rsidR="000F23BE" w:rsidRPr="00C02F2C" w:rsidRDefault="000F23BE" w:rsidP="003743C1">
      <w:pPr>
        <w:spacing w:after="0" w:line="280" w:lineRule="exact"/>
        <w:contextualSpacing/>
        <w:rPr>
          <w:rFonts w:ascii="Poor Richard" w:hAnsi="Poor Richard" w:cs="Times New Roman"/>
          <w:sz w:val="24"/>
          <w:szCs w:val="24"/>
        </w:rPr>
      </w:pPr>
      <w:r w:rsidRPr="00C02F2C">
        <w:rPr>
          <w:rFonts w:ascii="Poor Richard" w:hAnsi="Poor Richard" w:cs="Times New Roman"/>
          <w:sz w:val="24"/>
          <w:szCs w:val="24"/>
        </w:rPr>
        <w:t>Harrington concludes that Aquinas is “generally friendlier” to the Eriugenan glosses here than Albert is, though neither know their source. He reports on one gloss:</w:t>
      </w:r>
    </w:p>
    <w:p w:rsidR="000F23BE" w:rsidRPr="00C02F2C" w:rsidRDefault="000F23BE" w:rsidP="0074414F">
      <w:pPr>
        <w:spacing w:after="0" w:line="280" w:lineRule="exact"/>
        <w:ind w:firstLine="720"/>
        <w:contextualSpacing/>
        <w:rPr>
          <w:rFonts w:ascii="Poor Richard" w:hAnsi="Poor Richard" w:cs="Times New Roman"/>
          <w:sz w:val="24"/>
          <w:szCs w:val="24"/>
        </w:rPr>
      </w:pPr>
    </w:p>
    <w:p w:rsidR="000F23BE" w:rsidRPr="00C02F2C" w:rsidRDefault="000F23BE" w:rsidP="00CA3543">
      <w:pPr>
        <w:spacing w:after="0" w:line="280" w:lineRule="exact"/>
        <w:ind w:left="720"/>
        <w:contextualSpacing/>
        <w:rPr>
          <w:rFonts w:ascii="Poor Richard" w:hAnsi="Poor Richard" w:cs="Times New Roman"/>
          <w:sz w:val="24"/>
          <w:szCs w:val="24"/>
        </w:rPr>
      </w:pPr>
      <w:r w:rsidRPr="00C02F2C">
        <w:rPr>
          <w:rFonts w:ascii="Poor Richard" w:hAnsi="Poor Richard" w:cs="Times New Roman"/>
          <w:sz w:val="24"/>
          <w:szCs w:val="24"/>
        </w:rPr>
        <w:t>Reason, Eriugena says, is prior to authority in nature, though authority is prior to reason in time. … We now come to understand the scriptures by discovering the same reason according to which they were composed. As Eriugena puts it, the scriptures are “nothing other than the truth discovered by the virtue of reason and commended by the holy fathers.” We are back to the “virtue of the theologians” mentioned by Dionysius, which the Greek scholiast identifies as the flower of the intellect, and which Eriugena identifies here as a creative employment of reason.</w:t>
      </w:r>
      <w:r w:rsidRPr="00C02F2C">
        <w:rPr>
          <w:rStyle w:val="FootnoteReference"/>
          <w:rFonts w:ascii="Poor Richard" w:hAnsi="Poor Richard" w:cs="Times New Roman"/>
          <w:sz w:val="24"/>
          <w:szCs w:val="24"/>
        </w:rPr>
        <w:footnoteReference w:id="59"/>
      </w:r>
    </w:p>
    <w:p w:rsidR="000F23BE" w:rsidRPr="00C02F2C" w:rsidRDefault="000F23BE" w:rsidP="00CA3543">
      <w:pPr>
        <w:spacing w:after="0" w:line="280" w:lineRule="exact"/>
        <w:ind w:left="720"/>
        <w:contextualSpacing/>
        <w:rPr>
          <w:rFonts w:ascii="Poor Richard" w:hAnsi="Poor Richard" w:cs="Times New Roman"/>
          <w:sz w:val="24"/>
          <w:szCs w:val="24"/>
        </w:rPr>
      </w:pPr>
    </w:p>
    <w:p w:rsidR="000F23BE" w:rsidRPr="00C02F2C" w:rsidRDefault="000F23BE" w:rsidP="00CA3543">
      <w:pPr>
        <w:spacing w:after="0" w:line="280" w:lineRule="exact"/>
        <w:contextualSpacing/>
        <w:rPr>
          <w:rFonts w:ascii="Poor Richard" w:hAnsi="Poor Richard" w:cs="Times New Roman"/>
          <w:sz w:val="24"/>
          <w:szCs w:val="24"/>
        </w:rPr>
      </w:pPr>
      <w:r w:rsidRPr="00C02F2C">
        <w:rPr>
          <w:rFonts w:ascii="Poor Richard" w:hAnsi="Poor Richard" w:cs="Times New Roman"/>
          <w:sz w:val="24"/>
          <w:szCs w:val="24"/>
        </w:rPr>
        <w:t>This disturbed Albert. Eriugena seemed to contradict Dionysius:</w:t>
      </w:r>
    </w:p>
    <w:p w:rsidR="000F23BE" w:rsidRPr="00C02F2C" w:rsidRDefault="000F23BE" w:rsidP="00CA3543">
      <w:pPr>
        <w:spacing w:after="0" w:line="280" w:lineRule="exact"/>
        <w:contextualSpacing/>
        <w:rPr>
          <w:rFonts w:ascii="Poor Richard" w:hAnsi="Poor Richard" w:cs="Times New Roman"/>
          <w:sz w:val="24"/>
          <w:szCs w:val="24"/>
        </w:rPr>
      </w:pPr>
    </w:p>
    <w:p w:rsidR="000F23BE" w:rsidRPr="00C02F2C" w:rsidRDefault="000F23BE" w:rsidP="0011644C">
      <w:pPr>
        <w:spacing w:after="0" w:line="280" w:lineRule="exact"/>
        <w:ind w:left="720"/>
        <w:contextualSpacing/>
        <w:rPr>
          <w:rFonts w:ascii="Poor Richard" w:hAnsi="Poor Richard" w:cs="Times New Roman"/>
          <w:sz w:val="24"/>
          <w:szCs w:val="24"/>
        </w:rPr>
      </w:pPr>
      <w:r w:rsidRPr="00C02F2C">
        <w:rPr>
          <w:rFonts w:ascii="Poor Richard" w:hAnsi="Poor Richard" w:cs="Times New Roman"/>
          <w:sz w:val="24"/>
          <w:szCs w:val="24"/>
        </w:rPr>
        <w:t>Albert’s solution is to say that Dionysius is talking about the relation between human reason and divine authority, while the commentator is talking about the relation between divine reason and divine authority. “Divine authority depends on divine reason,” Albert says, “but we do not know the reason of divine authority. It is, as Augustine also says, that God has made all things by a just judgment, even if it is hidden from us.” … Divine reason is the ground of divine authority, but divine authority is the ground of human reason when it attempts to speak or think about the divine nature.</w:t>
      </w:r>
      <w:r w:rsidRPr="00C02F2C">
        <w:rPr>
          <w:rStyle w:val="FootnoteReference"/>
          <w:rFonts w:ascii="Poor Richard" w:hAnsi="Poor Richard" w:cs="Times New Roman"/>
          <w:sz w:val="24"/>
          <w:szCs w:val="24"/>
        </w:rPr>
        <w:footnoteReference w:id="60"/>
      </w:r>
    </w:p>
    <w:p w:rsidR="000F23BE" w:rsidRPr="00C02F2C" w:rsidRDefault="000F23BE" w:rsidP="0074414F">
      <w:pPr>
        <w:spacing w:after="0" w:line="280" w:lineRule="exact"/>
        <w:ind w:firstLine="720"/>
        <w:contextualSpacing/>
        <w:rPr>
          <w:rFonts w:ascii="Poor Richard" w:hAnsi="Poor Richard" w:cs="Times New Roman"/>
          <w:sz w:val="24"/>
          <w:szCs w:val="24"/>
        </w:rPr>
      </w:pPr>
    </w:p>
    <w:p w:rsidR="000F23BE" w:rsidRPr="00C02F2C" w:rsidRDefault="000F23BE" w:rsidP="00D453B2">
      <w:pPr>
        <w:spacing w:after="0" w:line="280" w:lineRule="exact"/>
        <w:contextualSpacing/>
        <w:rPr>
          <w:rFonts w:ascii="Poor Richard" w:hAnsi="Poor Richard" w:cs="Times New Roman"/>
          <w:sz w:val="24"/>
          <w:szCs w:val="24"/>
        </w:rPr>
      </w:pPr>
      <w:r w:rsidRPr="00C02F2C">
        <w:rPr>
          <w:rFonts w:ascii="Poor Richard" w:hAnsi="Poor Richard" w:cs="Times New Roman"/>
          <w:sz w:val="24"/>
          <w:szCs w:val="24"/>
        </w:rPr>
        <w:t>Albert makes theology dependent on the power of God, rather than on an extraordinary power of the human mind.</w:t>
      </w:r>
    </w:p>
    <w:p w:rsidR="000F23BE" w:rsidRPr="00C02F2C" w:rsidRDefault="000F23BE" w:rsidP="00D146B4">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Aquinas, at the place in </w:t>
      </w:r>
      <w:r w:rsidRPr="00C02F2C">
        <w:rPr>
          <w:rFonts w:ascii="Poor Richard" w:hAnsi="Poor Richard" w:cs="Times New Roman"/>
          <w:i/>
          <w:sz w:val="24"/>
          <w:szCs w:val="24"/>
        </w:rPr>
        <w:t xml:space="preserve">On the Divine Names </w:t>
      </w:r>
      <w:r w:rsidRPr="00C02F2C">
        <w:rPr>
          <w:rFonts w:ascii="Poor Richard" w:hAnsi="Poor Richard" w:cs="Times New Roman"/>
          <w:sz w:val="24"/>
          <w:szCs w:val="24"/>
        </w:rPr>
        <w:t>thus glossed, without addressing the comments explicitly, uses Dionysius to elevate human theological activity, remarking:</w:t>
      </w:r>
    </w:p>
    <w:p w:rsidR="000F23BE" w:rsidRPr="00C02F2C" w:rsidRDefault="000F23BE" w:rsidP="00D146B4">
      <w:pPr>
        <w:spacing w:after="0" w:line="280" w:lineRule="exact"/>
        <w:ind w:firstLine="720"/>
        <w:contextualSpacing/>
        <w:rPr>
          <w:rFonts w:ascii="Poor Richard" w:hAnsi="Poor Richard" w:cs="Times New Roman"/>
          <w:sz w:val="24"/>
          <w:szCs w:val="24"/>
        </w:rPr>
      </w:pPr>
    </w:p>
    <w:p w:rsidR="000F23BE" w:rsidRPr="00C02F2C" w:rsidRDefault="000F23BE" w:rsidP="002167A4">
      <w:pPr>
        <w:spacing w:after="0" w:line="280" w:lineRule="exact"/>
        <w:ind w:left="720"/>
        <w:contextualSpacing/>
        <w:rPr>
          <w:rFonts w:ascii="Poor Richard" w:hAnsi="Poor Richard" w:cs="Times New Roman"/>
          <w:sz w:val="24"/>
          <w:szCs w:val="24"/>
        </w:rPr>
      </w:pPr>
      <w:r w:rsidRPr="00C02F2C">
        <w:rPr>
          <w:rFonts w:ascii="Poor Richard" w:hAnsi="Poor Richard" w:cs="Times New Roman"/>
          <w:sz w:val="24"/>
          <w:szCs w:val="24"/>
        </w:rPr>
        <w:t>“it is significant that he does not say ‘in the holy discourses,’ but ‘from the holy discourses.’” The consequence is that “whatever can be drawn out from those things that are contained in Holy Scripture is not foreign to this doctrine, even if it is not contained in Holy Scripture.”</w:t>
      </w:r>
      <w:r w:rsidRPr="00C02F2C">
        <w:rPr>
          <w:rStyle w:val="FootnoteReference"/>
          <w:rFonts w:ascii="Poor Richard" w:hAnsi="Poor Richard" w:cs="Times New Roman"/>
          <w:sz w:val="24"/>
          <w:szCs w:val="24"/>
        </w:rPr>
        <w:footnoteReference w:id="61"/>
      </w:r>
    </w:p>
    <w:p w:rsidR="000F23BE" w:rsidRPr="00C02F2C" w:rsidRDefault="000F23BE" w:rsidP="002167A4">
      <w:pPr>
        <w:spacing w:after="0" w:line="280" w:lineRule="exact"/>
        <w:ind w:left="720"/>
        <w:contextualSpacing/>
        <w:rPr>
          <w:rFonts w:ascii="Poor Richard" w:hAnsi="Poor Richard" w:cs="Times New Roman"/>
          <w:sz w:val="24"/>
          <w:szCs w:val="24"/>
        </w:rPr>
      </w:pPr>
    </w:p>
    <w:p w:rsidR="000F23BE" w:rsidRPr="00C02F2C" w:rsidRDefault="000F23BE" w:rsidP="008F50E7">
      <w:pPr>
        <w:spacing w:after="0" w:line="280" w:lineRule="exact"/>
        <w:contextualSpacing/>
        <w:rPr>
          <w:rFonts w:ascii="Poor Richard" w:hAnsi="Poor Richard" w:cs="Times New Roman"/>
          <w:sz w:val="24"/>
          <w:szCs w:val="24"/>
        </w:rPr>
      </w:pPr>
      <w:r w:rsidRPr="00C02F2C">
        <w:rPr>
          <w:rFonts w:ascii="Poor Richard" w:hAnsi="Poor Richard" w:cs="Times New Roman"/>
          <w:sz w:val="24"/>
          <w:szCs w:val="24"/>
        </w:rPr>
        <w:t>For Aquinas, Sacred Doctrine is directly subalternate to God’s own knowing, not to Sacred Scripture (as Bonaventure would have it). So Sacred Scripture, which Aquinas uses as a synonym for Sacred Doctrine, includes the knowledge of the humans who convey Scriptural revelation, the doctors of the Church, and the professors of theology.</w:t>
      </w:r>
      <w:r w:rsidRPr="00C02F2C">
        <w:rPr>
          <w:rStyle w:val="FootnoteReference"/>
          <w:rFonts w:ascii="Poor Richard" w:hAnsi="Poor Richard" w:cs="Times New Roman"/>
          <w:sz w:val="24"/>
          <w:szCs w:val="24"/>
        </w:rPr>
        <w:footnoteReference w:id="62"/>
      </w:r>
      <w:r w:rsidRPr="00C02F2C">
        <w:rPr>
          <w:rFonts w:ascii="Poor Richard" w:hAnsi="Poor Richard" w:cs="Times New Roman"/>
          <w:sz w:val="24"/>
          <w:szCs w:val="24"/>
        </w:rPr>
        <w:t xml:space="preserve"> Human knowing is elevated in a way consistent with other features of his theology.</w:t>
      </w:r>
    </w:p>
    <w:p w:rsidR="000F23BE" w:rsidRPr="00C02F2C" w:rsidRDefault="000F23BE" w:rsidP="008F50E7">
      <w:pPr>
        <w:spacing w:after="0" w:line="280" w:lineRule="exact"/>
        <w:contextualSpacing/>
        <w:rPr>
          <w:rFonts w:ascii="Poor Richard" w:hAnsi="Poor Richard" w:cs="Times New Roman"/>
          <w:sz w:val="24"/>
          <w:szCs w:val="24"/>
        </w:rPr>
      </w:pPr>
    </w:p>
    <w:p w:rsidR="000F23BE" w:rsidRPr="00C02F2C" w:rsidRDefault="000F23BE" w:rsidP="00EA6127">
      <w:pPr>
        <w:spacing w:after="0" w:line="280" w:lineRule="exact"/>
        <w:contextualSpacing/>
        <w:jc w:val="center"/>
        <w:rPr>
          <w:rFonts w:ascii="Poor Richard" w:hAnsi="Poor Richard" w:cs="Times New Roman"/>
          <w:sz w:val="24"/>
          <w:szCs w:val="24"/>
        </w:rPr>
      </w:pPr>
      <w:r w:rsidRPr="00C02F2C">
        <w:rPr>
          <w:rFonts w:ascii="Poor Richard" w:hAnsi="Poor Richard" w:cs="Times New Roman"/>
          <w:sz w:val="24"/>
          <w:szCs w:val="24"/>
        </w:rPr>
        <w:t>E. Flux: Creation as Emanation</w:t>
      </w:r>
    </w:p>
    <w:p w:rsidR="000F23BE" w:rsidRPr="00C02F2C" w:rsidRDefault="000F23BE" w:rsidP="00E70239">
      <w:pPr>
        <w:spacing w:after="0" w:line="280" w:lineRule="exact"/>
        <w:contextualSpacing/>
        <w:rPr>
          <w:rFonts w:ascii="Poor Richard" w:hAnsi="Poor Richard" w:cs="Times New Roman"/>
          <w:sz w:val="24"/>
          <w:szCs w:val="24"/>
          <w:lang w:val="en-US" w:eastAsia="zh-CN"/>
        </w:rPr>
      </w:pPr>
      <w:r w:rsidRPr="00C02F2C">
        <w:rPr>
          <w:rFonts w:ascii="Poor Richard" w:hAnsi="Poor Richard" w:cs="Times New Roman"/>
          <w:sz w:val="24"/>
          <w:szCs w:val="24"/>
        </w:rPr>
        <w:t xml:space="preserve">In Albert’s Cologne experiment, Dionysius and Aristotle acquire new characters by being juxtaposed. </w:t>
      </w:r>
      <w:r w:rsidRPr="00C02F2C">
        <w:rPr>
          <w:rFonts w:ascii="Poor Richard" w:hAnsi="Poor Richard" w:cs="Times New Roman"/>
          <w:sz w:val="24"/>
          <w:szCs w:val="24"/>
          <w:lang w:val="en-US" w:eastAsia="zh-CN"/>
        </w:rPr>
        <w:t xml:space="preserve">So far as they can complement and support one another, and live with its Augustinian heritage, Latin Christianity can be at home in a fundamentally changed intellectual world. Albert’s crowning demonstration is his interpretation of  </w:t>
      </w:r>
      <w:r w:rsidRPr="00C02F2C">
        <w:rPr>
          <w:rFonts w:ascii="Poor Richard" w:hAnsi="Poor Richard" w:cs="Times New Roman"/>
          <w:sz w:val="24"/>
          <w:szCs w:val="24"/>
        </w:rPr>
        <w:t xml:space="preserve">the </w:t>
      </w:r>
      <w:r w:rsidRPr="00C02F2C">
        <w:rPr>
          <w:rFonts w:ascii="Poor Richard" w:hAnsi="Poor Richard" w:cs="Times New Roman"/>
          <w:i/>
          <w:sz w:val="24"/>
          <w:szCs w:val="24"/>
        </w:rPr>
        <w:t>Liber de causis</w:t>
      </w:r>
      <w:r w:rsidRPr="00C02F2C">
        <w:rPr>
          <w:rFonts w:ascii="Poor Richard" w:hAnsi="Poor Richard" w:cs="Times New Roman"/>
          <w:sz w:val="24"/>
          <w:szCs w:val="24"/>
        </w:rPr>
        <w:t xml:space="preserve">, together with its Peripatetic fellows, through Dionysius for the doctrine of creation as emanation. Dionysius enables this by preserving more completely, </w:t>
      </w:r>
      <w:r w:rsidRPr="00C02F2C">
        <w:rPr>
          <w:rFonts w:ascii="Poor Richard" w:hAnsi="Poor Richard" w:cs="Times New Roman"/>
          <w:sz w:val="24"/>
          <w:szCs w:val="24"/>
        </w:rPr>
        <w:lastRenderedPageBreak/>
        <w:t xml:space="preserve">as well as modifying thoroughly, the Proclean foundation of his theology than does the </w:t>
      </w:r>
      <w:r w:rsidRPr="00C02F2C">
        <w:rPr>
          <w:rFonts w:ascii="Poor Richard" w:hAnsi="Poor Richard" w:cs="Times New Roman"/>
          <w:i/>
          <w:sz w:val="24"/>
          <w:szCs w:val="24"/>
        </w:rPr>
        <w:t>Liber</w:t>
      </w:r>
      <w:r w:rsidRPr="00C02F2C">
        <w:rPr>
          <w:rFonts w:ascii="Poor Richard" w:hAnsi="Poor Richard" w:cs="Times New Roman"/>
          <w:sz w:val="24"/>
          <w:szCs w:val="24"/>
        </w:rPr>
        <w:t>.</w:t>
      </w:r>
      <w:r w:rsidRPr="00C02F2C">
        <w:rPr>
          <w:rStyle w:val="FootnoteReference"/>
          <w:rFonts w:ascii="Poor Richard" w:hAnsi="Poor Richard" w:cs="Times New Roman"/>
          <w:sz w:val="24"/>
          <w:szCs w:val="24"/>
          <w:lang w:val="en-US" w:eastAsia="zh-CN"/>
        </w:rPr>
        <w:footnoteReference w:id="63"/>
      </w:r>
      <w:r w:rsidRPr="00C02F2C">
        <w:rPr>
          <w:rFonts w:ascii="Poor Richard" w:hAnsi="Poor Richard" w:cs="Times New Roman"/>
          <w:sz w:val="24"/>
          <w:szCs w:val="24"/>
        </w:rPr>
        <w:t xml:space="preserve"> Consequently, Dionysius sometimes plays the role for Albert which the </w:t>
      </w:r>
      <w:r w:rsidRPr="00C02F2C">
        <w:rPr>
          <w:rFonts w:ascii="Poor Richard" w:hAnsi="Poor Richard" w:cs="Times New Roman"/>
          <w:i/>
          <w:sz w:val="24"/>
          <w:szCs w:val="24"/>
        </w:rPr>
        <w:t>Elements of Theology</w:t>
      </w:r>
      <w:r w:rsidRPr="00C02F2C">
        <w:rPr>
          <w:rFonts w:ascii="Poor Richard" w:hAnsi="Poor Richard" w:cs="Times New Roman"/>
          <w:sz w:val="24"/>
          <w:szCs w:val="24"/>
        </w:rPr>
        <w:t xml:space="preserve">  perform in Aquinas’ </w:t>
      </w:r>
      <w:r w:rsidRPr="00C02F2C">
        <w:rPr>
          <w:rFonts w:ascii="Poor Richard" w:hAnsi="Poor Richard" w:cs="Times New Roman"/>
          <w:i/>
          <w:sz w:val="24"/>
          <w:szCs w:val="24"/>
        </w:rPr>
        <w:t>Super de causis</w:t>
      </w:r>
      <w:r w:rsidRPr="00C02F2C">
        <w:rPr>
          <w:rFonts w:ascii="Poor Richard" w:hAnsi="Poor Richard" w:cs="Times New Roman"/>
          <w:sz w:val="24"/>
          <w:szCs w:val="24"/>
        </w:rPr>
        <w:t xml:space="preserve">; he supplies steps in the Proclean logic dropped in the </w:t>
      </w:r>
      <w:r w:rsidRPr="00C02F2C">
        <w:rPr>
          <w:rFonts w:ascii="Poor Richard" w:hAnsi="Poor Richard" w:cs="Times New Roman"/>
          <w:i/>
          <w:sz w:val="24"/>
          <w:szCs w:val="24"/>
        </w:rPr>
        <w:t>Liber</w:t>
      </w:r>
      <w:r w:rsidRPr="00C02F2C">
        <w:rPr>
          <w:rFonts w:ascii="Poor Richard" w:hAnsi="Poor Richard" w:cs="Times New Roman"/>
          <w:sz w:val="24"/>
          <w:szCs w:val="24"/>
        </w:rPr>
        <w:t>.</w:t>
      </w:r>
      <w:r w:rsidRPr="00C02F2C">
        <w:rPr>
          <w:rStyle w:val="FootnoteReference"/>
          <w:rFonts w:ascii="Poor Richard" w:hAnsi="Poor Richard" w:cs="Times New Roman"/>
          <w:sz w:val="24"/>
          <w:szCs w:val="24"/>
        </w:rPr>
        <w:footnoteReference w:id="64"/>
      </w:r>
      <w:r w:rsidRPr="00C02F2C">
        <w:rPr>
          <w:rFonts w:ascii="Poor Richard" w:hAnsi="Poor Richard" w:cs="Times New Roman"/>
          <w:sz w:val="24"/>
          <w:szCs w:val="24"/>
        </w:rPr>
        <w:t xml:space="preserve"> </w:t>
      </w:r>
      <w:r w:rsidRPr="00C02F2C">
        <w:rPr>
          <w:rFonts w:ascii="Poor Richard" w:hAnsi="Poor Richard" w:cs="Times New Roman"/>
          <w:sz w:val="24"/>
          <w:szCs w:val="24"/>
          <w:lang w:val="en-US" w:eastAsia="zh-CN"/>
        </w:rPr>
        <w:t xml:space="preserve">Albert’s doctrine of creation as flux comes from joining the Dionysian structure of emanation and return, derived  from Proclus, to the </w:t>
      </w:r>
      <w:r w:rsidRPr="00C02F2C">
        <w:rPr>
          <w:rFonts w:ascii="Poor Richard" w:hAnsi="Poor Richard" w:cs="Times New Roman"/>
          <w:i/>
          <w:sz w:val="24"/>
          <w:szCs w:val="24"/>
          <w:lang w:val="en-US" w:eastAsia="zh-CN"/>
        </w:rPr>
        <w:t>Liber</w:t>
      </w:r>
      <w:r w:rsidRPr="00C02F2C">
        <w:rPr>
          <w:rFonts w:ascii="Poor Richard" w:hAnsi="Poor Richard" w:cs="Times New Roman"/>
          <w:sz w:val="24"/>
          <w:szCs w:val="24"/>
          <w:lang w:val="en-US" w:eastAsia="zh-CN"/>
        </w:rPr>
        <w:t xml:space="preserve">. For the first, God is Platonically above being; for the other, God is being, in the mode of Aristotle and Plotinus’ </w:t>
      </w:r>
      <w:r w:rsidRPr="00C02F2C">
        <w:rPr>
          <w:rFonts w:ascii="Poor Richard" w:hAnsi="Poor Richard" w:cs="Times New Roman"/>
          <w:i/>
          <w:sz w:val="24"/>
          <w:szCs w:val="24"/>
          <w:lang w:val="en-US" w:eastAsia="zh-CN"/>
        </w:rPr>
        <w:t>NOUS</w:t>
      </w:r>
      <w:r w:rsidRPr="00C02F2C">
        <w:rPr>
          <w:rFonts w:ascii="Poor Richard" w:hAnsi="Poor Richard" w:cs="Times New Roman"/>
          <w:sz w:val="24"/>
          <w:szCs w:val="24"/>
          <w:lang w:val="en-US" w:eastAsia="zh-CN"/>
        </w:rPr>
        <w:t xml:space="preserve">. Albert unites them. </w:t>
      </w:r>
    </w:p>
    <w:p w:rsidR="000F23BE" w:rsidRPr="00C02F2C" w:rsidRDefault="000F23BE" w:rsidP="00347779">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lang w:val="en-US" w:eastAsia="zh-CN"/>
        </w:rPr>
        <w:t xml:space="preserve">For the </w:t>
      </w:r>
      <w:r w:rsidRPr="00C02F2C">
        <w:rPr>
          <w:rFonts w:ascii="Poor Richard" w:hAnsi="Poor Richard" w:cs="Times New Roman"/>
          <w:i/>
          <w:sz w:val="24"/>
          <w:szCs w:val="24"/>
          <w:lang w:val="en-US" w:eastAsia="zh-CN"/>
        </w:rPr>
        <w:t>Liber</w:t>
      </w:r>
      <w:r w:rsidRPr="00C02F2C">
        <w:rPr>
          <w:rFonts w:ascii="Poor Richard" w:hAnsi="Poor Richard" w:cs="Times New Roman"/>
          <w:sz w:val="24"/>
          <w:szCs w:val="24"/>
          <w:lang w:val="en-US" w:eastAsia="zh-CN"/>
        </w:rPr>
        <w:t xml:space="preserve">, God’s outpouring is single. This goes with the doctrine, </w:t>
      </w:r>
      <w:r w:rsidRPr="00C02F2C">
        <w:rPr>
          <w:rFonts w:ascii="Poor Richard" w:hAnsi="Poor Richard" w:cs="Times New Roman"/>
          <w:sz w:val="24"/>
          <w:szCs w:val="24"/>
        </w:rPr>
        <w:t xml:space="preserve">“From the simple one there is nothing except one.” Albert derives it from an epistle of Aristotle, received and explained by </w:t>
      </w:r>
      <w:proofErr w:type="spellStart"/>
      <w:r w:rsidRPr="00C02F2C">
        <w:rPr>
          <w:rFonts w:ascii="Poor Richard" w:hAnsi="Poor Richard" w:cs="Times New Roman"/>
          <w:sz w:val="24"/>
          <w:szCs w:val="24"/>
        </w:rPr>
        <w:t>Alfarabi</w:t>
      </w:r>
      <w:proofErr w:type="spellEnd"/>
      <w:r w:rsidRPr="00C02F2C">
        <w:rPr>
          <w:rFonts w:ascii="Poor Richard" w:hAnsi="Poor Richard" w:cs="Times New Roman"/>
          <w:sz w:val="24"/>
          <w:szCs w:val="24"/>
        </w:rPr>
        <w:t>, Avicenna, and Averroes.</w:t>
      </w:r>
      <w:r w:rsidRPr="00C02F2C">
        <w:rPr>
          <w:rStyle w:val="FootnoteReference"/>
          <w:rFonts w:ascii="Poor Richard" w:hAnsi="Poor Richard" w:cs="Times New Roman"/>
          <w:sz w:val="24"/>
          <w:szCs w:val="24"/>
        </w:rPr>
        <w:footnoteReference w:id="65"/>
      </w:r>
      <w:r w:rsidRPr="00C02F2C">
        <w:rPr>
          <w:rFonts w:ascii="Poor Richard" w:hAnsi="Poor Richard" w:cs="Times New Roman"/>
          <w:sz w:val="24"/>
          <w:szCs w:val="24"/>
        </w:rPr>
        <w:t xml:space="preserve"> He judges that “all Peripatetics conceded it,” indeed, “all philosophers before us granted it” as the order of nature, except </w:t>
      </w:r>
      <w:proofErr w:type="spellStart"/>
      <w:r w:rsidRPr="00C02F2C">
        <w:rPr>
          <w:rFonts w:ascii="Poor Richard" w:hAnsi="Poor Richard" w:cs="Times New Roman"/>
          <w:sz w:val="24"/>
          <w:szCs w:val="24"/>
        </w:rPr>
        <w:t>Avicebron</w:t>
      </w:r>
      <w:proofErr w:type="spellEnd"/>
      <w:r w:rsidRPr="00C02F2C">
        <w:rPr>
          <w:rFonts w:ascii="Poor Richard" w:hAnsi="Poor Richard" w:cs="Times New Roman"/>
          <w:sz w:val="24"/>
          <w:szCs w:val="24"/>
        </w:rPr>
        <w:t>.</w:t>
      </w:r>
      <w:r w:rsidRPr="00C02F2C">
        <w:rPr>
          <w:rStyle w:val="FootnoteReference"/>
          <w:rFonts w:ascii="Poor Richard" w:hAnsi="Poor Richard" w:cs="Times New Roman"/>
          <w:sz w:val="24"/>
          <w:szCs w:val="24"/>
        </w:rPr>
        <w:footnoteReference w:id="66"/>
      </w:r>
      <w:r w:rsidRPr="00C02F2C">
        <w:rPr>
          <w:rFonts w:ascii="Poor Richard" w:hAnsi="Poor Richard" w:cs="Times New Roman"/>
          <w:sz w:val="24"/>
          <w:szCs w:val="24"/>
        </w:rPr>
        <w:t xml:space="preserve"> Ignorant theologians denied it; they are wrong. Dionysius supports it. Albert quotes from </w:t>
      </w:r>
      <w:r w:rsidRPr="00C02F2C">
        <w:rPr>
          <w:rFonts w:ascii="Poor Richard" w:hAnsi="Poor Richard" w:cs="Times New Roman"/>
          <w:i/>
          <w:sz w:val="24"/>
          <w:szCs w:val="24"/>
        </w:rPr>
        <w:t>De Divinis Nominibus</w:t>
      </w:r>
      <w:r w:rsidRPr="00C02F2C">
        <w:rPr>
          <w:rFonts w:ascii="Poor Richard" w:hAnsi="Poor Richard" w:cs="Times New Roman"/>
          <w:sz w:val="24"/>
          <w:szCs w:val="24"/>
        </w:rPr>
        <w:t>, 5.6, to show both his support for the principle and that differentiation and distance from the simple source go together.</w:t>
      </w:r>
      <w:r w:rsidRPr="00C02F2C">
        <w:rPr>
          <w:rStyle w:val="FootnoteReference"/>
          <w:rFonts w:ascii="Poor Richard" w:hAnsi="Poor Richard" w:cs="Times New Roman"/>
          <w:sz w:val="24"/>
          <w:szCs w:val="24"/>
        </w:rPr>
        <w:footnoteReference w:id="67"/>
      </w:r>
      <w:r w:rsidRPr="00C02F2C">
        <w:rPr>
          <w:rFonts w:ascii="Poor Richard" w:hAnsi="Poor Richard" w:cs="Times New Roman"/>
          <w:sz w:val="24"/>
          <w:szCs w:val="24"/>
        </w:rPr>
        <w:t xml:space="preserve"> The flux is self-communication. Albert’s primary authority for this as characteristic of divinity is the “</w:t>
      </w:r>
      <w:proofErr w:type="spellStart"/>
      <w:r w:rsidRPr="00C02F2C">
        <w:rPr>
          <w:rFonts w:ascii="Poor Richard" w:hAnsi="Poor Richard" w:cs="Times New Roman"/>
          <w:sz w:val="24"/>
          <w:szCs w:val="24"/>
        </w:rPr>
        <w:t>bonum</w:t>
      </w:r>
      <w:proofErr w:type="spellEnd"/>
      <w:r w:rsidRPr="00C02F2C">
        <w:rPr>
          <w:rFonts w:ascii="Poor Richard" w:hAnsi="Poor Richard" w:cs="Times New Roman"/>
          <w:sz w:val="24"/>
          <w:szCs w:val="24"/>
        </w:rPr>
        <w:t xml:space="preserve"> </w:t>
      </w:r>
      <w:proofErr w:type="spellStart"/>
      <w:r w:rsidRPr="00C02F2C">
        <w:rPr>
          <w:rFonts w:ascii="Poor Richard" w:hAnsi="Poor Richard" w:cs="Times New Roman"/>
          <w:sz w:val="24"/>
          <w:szCs w:val="24"/>
        </w:rPr>
        <w:t>est</w:t>
      </w:r>
      <w:proofErr w:type="spellEnd"/>
      <w:r w:rsidRPr="00C02F2C">
        <w:rPr>
          <w:rFonts w:ascii="Poor Richard" w:hAnsi="Poor Richard" w:cs="Times New Roman"/>
          <w:sz w:val="24"/>
          <w:szCs w:val="24"/>
        </w:rPr>
        <w:t xml:space="preserve"> sui </w:t>
      </w:r>
      <w:proofErr w:type="spellStart"/>
      <w:r w:rsidRPr="00C02F2C">
        <w:rPr>
          <w:rFonts w:ascii="Poor Richard" w:hAnsi="Poor Richard" w:cs="Times New Roman"/>
          <w:sz w:val="24"/>
          <w:szCs w:val="24"/>
        </w:rPr>
        <w:t>communicativum</w:t>
      </w:r>
      <w:proofErr w:type="spellEnd"/>
      <w:r w:rsidRPr="00C02F2C">
        <w:rPr>
          <w:rFonts w:ascii="Poor Richard" w:hAnsi="Poor Richard" w:cs="Times New Roman"/>
          <w:sz w:val="24"/>
          <w:szCs w:val="24"/>
        </w:rPr>
        <w:t xml:space="preserve"> et </w:t>
      </w:r>
      <w:proofErr w:type="spellStart"/>
      <w:r w:rsidRPr="00C02F2C">
        <w:rPr>
          <w:rFonts w:ascii="Poor Richard" w:hAnsi="Poor Richard" w:cs="Times New Roman"/>
          <w:sz w:val="24"/>
          <w:szCs w:val="24"/>
        </w:rPr>
        <w:t>diffusivum</w:t>
      </w:r>
      <w:proofErr w:type="spellEnd"/>
      <w:r w:rsidRPr="00C02F2C">
        <w:rPr>
          <w:rFonts w:ascii="Poor Richard" w:hAnsi="Poor Richard" w:cs="Times New Roman"/>
          <w:sz w:val="24"/>
          <w:szCs w:val="24"/>
        </w:rPr>
        <w:t>” of Dionysius, which is the basis of the processions.</w:t>
      </w:r>
      <w:r w:rsidRPr="00C02F2C">
        <w:rPr>
          <w:rStyle w:val="FootnoteReference"/>
          <w:rFonts w:ascii="Poor Richard" w:hAnsi="Poor Richard" w:cs="Times New Roman"/>
          <w:sz w:val="24"/>
          <w:szCs w:val="24"/>
        </w:rPr>
        <w:footnoteReference w:id="68"/>
      </w:r>
      <w:r w:rsidRPr="00C02F2C">
        <w:rPr>
          <w:rFonts w:ascii="Poor Richard" w:hAnsi="Poor Richard" w:cs="Times New Roman"/>
          <w:sz w:val="24"/>
          <w:szCs w:val="24"/>
        </w:rPr>
        <w:t xml:space="preserve"> As with Aquinas, “emanation” is used interchangeably with “procession.” So, “In this matter, Albert believed, the Peripatetic theology of the </w:t>
      </w:r>
      <w:r w:rsidRPr="00C02F2C">
        <w:rPr>
          <w:rFonts w:ascii="Poor Richard" w:hAnsi="Poor Richard" w:cs="Times New Roman"/>
          <w:i/>
          <w:sz w:val="24"/>
          <w:szCs w:val="24"/>
        </w:rPr>
        <w:t>Liber de causis</w:t>
      </w:r>
      <w:r w:rsidRPr="00C02F2C">
        <w:rPr>
          <w:rFonts w:ascii="Poor Richard" w:hAnsi="Poor Richard" w:cs="Times New Roman"/>
          <w:sz w:val="24"/>
          <w:szCs w:val="24"/>
        </w:rPr>
        <w:t xml:space="preserve"> amounted to Dionysian theology.”</w:t>
      </w:r>
      <w:r w:rsidRPr="00C02F2C">
        <w:rPr>
          <w:rStyle w:val="FootnoteReference"/>
          <w:rFonts w:ascii="Poor Richard" w:hAnsi="Poor Richard" w:cs="Times New Roman"/>
          <w:sz w:val="24"/>
          <w:szCs w:val="24"/>
        </w:rPr>
        <w:footnoteReference w:id="69"/>
      </w:r>
    </w:p>
    <w:p w:rsidR="000F23BE" w:rsidRPr="00C02F2C" w:rsidRDefault="000F23BE" w:rsidP="003C3CD0">
      <w:pPr>
        <w:ind w:firstLine="720"/>
        <w:rPr>
          <w:rFonts w:ascii="Poor Richard" w:hAnsi="Poor Richard" w:cs="Times New Roman"/>
          <w:sz w:val="24"/>
          <w:szCs w:val="24"/>
        </w:rPr>
      </w:pPr>
      <w:r w:rsidRPr="00C02F2C">
        <w:rPr>
          <w:rFonts w:ascii="Poor Richard" w:hAnsi="Poor Richard" w:cs="Times New Roman"/>
          <w:sz w:val="24"/>
          <w:szCs w:val="24"/>
        </w:rPr>
        <w:t xml:space="preserve">There is a compelling transition to Aquinas at this point. When he comments on </w:t>
      </w:r>
      <w:r w:rsidRPr="00C02F2C">
        <w:rPr>
          <w:rFonts w:ascii="Poor Richard" w:hAnsi="Poor Richard" w:cs="Times New Roman"/>
          <w:i/>
          <w:sz w:val="24"/>
          <w:szCs w:val="24"/>
        </w:rPr>
        <w:t>The Divine Names</w:t>
      </w:r>
      <w:r w:rsidRPr="00C02F2C">
        <w:rPr>
          <w:rFonts w:ascii="Poor Richard" w:hAnsi="Poor Richard" w:cs="Times New Roman"/>
          <w:sz w:val="24"/>
          <w:szCs w:val="24"/>
        </w:rPr>
        <w:t>, he confronts a treatment of emanation from the Good which requires massaging to save it from natural necessity. The Latin translation of the Dionysian text read:</w:t>
      </w:r>
    </w:p>
    <w:p w:rsidR="000F23BE" w:rsidRPr="00C02F2C" w:rsidRDefault="000F23BE" w:rsidP="00DE06A3">
      <w:pPr>
        <w:ind w:left="720"/>
        <w:rPr>
          <w:rFonts w:ascii="Poor Richard" w:hAnsi="Poor Richard" w:cs="Times New Roman"/>
          <w:sz w:val="24"/>
          <w:szCs w:val="24"/>
        </w:rPr>
      </w:pPr>
      <w:r w:rsidRPr="00C02F2C">
        <w:rPr>
          <w:rFonts w:ascii="Poor Richard" w:hAnsi="Poor Richard" w:cs="Times New Roman"/>
          <w:sz w:val="24"/>
          <w:szCs w:val="24"/>
        </w:rPr>
        <w:t>Just as our sun engages in no ratiocination or act of choice, but by its very being illumines all things, giving to each of them in their own way a participation in the light to the extent of their capacities, so it is with the Good, which exists far above the sun, an archetype separated beyond its obscure image, through its essence it sends the rays of its complete goodness to all existing things proportionately.</w:t>
      </w:r>
      <w:r w:rsidRPr="00C02F2C">
        <w:rPr>
          <w:rStyle w:val="FootnoteReference"/>
          <w:rFonts w:ascii="Poor Richard" w:hAnsi="Poor Richard" w:cs="Times New Roman"/>
          <w:sz w:val="24"/>
          <w:szCs w:val="24"/>
        </w:rPr>
        <w:footnoteReference w:id="70"/>
      </w:r>
    </w:p>
    <w:p w:rsidR="000F23BE" w:rsidRPr="00C02F2C" w:rsidRDefault="000F23BE" w:rsidP="00311403">
      <w:pPr>
        <w:spacing w:after="0"/>
        <w:rPr>
          <w:rFonts w:ascii="Poor Richard" w:hAnsi="Poor Richard" w:cs="Times New Roman"/>
          <w:sz w:val="24"/>
          <w:szCs w:val="24"/>
        </w:rPr>
      </w:pPr>
      <w:r w:rsidRPr="00C02F2C">
        <w:rPr>
          <w:rFonts w:ascii="Poor Richard" w:hAnsi="Poor Richard" w:cs="Times New Roman"/>
          <w:sz w:val="24"/>
          <w:szCs w:val="24"/>
        </w:rPr>
        <w:t xml:space="preserve">Thomas comments that “the divine </w:t>
      </w:r>
      <w:proofErr w:type="spellStart"/>
      <w:r w:rsidRPr="00C02F2C">
        <w:rPr>
          <w:rFonts w:ascii="Poor Richard" w:hAnsi="Poor Richard" w:cs="Times New Roman"/>
          <w:i/>
          <w:sz w:val="24"/>
          <w:szCs w:val="24"/>
        </w:rPr>
        <w:t>esse</w:t>
      </w:r>
      <w:proofErr w:type="spellEnd"/>
      <w:r w:rsidRPr="00C02F2C">
        <w:rPr>
          <w:rFonts w:ascii="Poor Richard" w:hAnsi="Poor Richard" w:cs="Times New Roman"/>
          <w:sz w:val="24"/>
          <w:szCs w:val="24"/>
        </w:rPr>
        <w:t xml:space="preserve"> is his act of understanding and his act of willing, and, therefore, what he makes through his own being, he makes through intellect and will.” On this account Dionysius said “distinctly” that God is distinguished from the sun in the way in which an archetype stands above an obscure image.</w:t>
      </w:r>
      <w:r w:rsidRPr="00C02F2C">
        <w:rPr>
          <w:rStyle w:val="FootnoteReference"/>
          <w:rFonts w:ascii="Poor Richard" w:hAnsi="Poor Richard" w:cs="Times New Roman"/>
          <w:sz w:val="24"/>
          <w:szCs w:val="24"/>
          <w:lang w:val="fr-CA"/>
        </w:rPr>
        <w:footnoteReference w:id="71"/>
      </w:r>
    </w:p>
    <w:p w:rsidR="000F23BE" w:rsidRPr="00C02F2C" w:rsidRDefault="000F23BE" w:rsidP="00311403">
      <w:pPr>
        <w:spacing w:after="0"/>
        <w:ind w:firstLine="720"/>
        <w:rPr>
          <w:rFonts w:ascii="Poor Richard" w:hAnsi="Poor Richard" w:cs="Times New Roman"/>
          <w:sz w:val="24"/>
          <w:szCs w:val="24"/>
        </w:rPr>
      </w:pPr>
      <w:r w:rsidRPr="00C02F2C">
        <w:rPr>
          <w:rFonts w:ascii="Poor Richard" w:hAnsi="Poor Richard" w:cs="Times New Roman"/>
          <w:iCs/>
          <w:sz w:val="24"/>
          <w:szCs w:val="24"/>
        </w:rPr>
        <w:t xml:space="preserve">Albert shows us that the acorn does not fall far from the tree. In a question at this point he united Dionysius with the </w:t>
      </w:r>
      <w:r w:rsidRPr="00C02F2C">
        <w:rPr>
          <w:rFonts w:ascii="Poor Richard" w:hAnsi="Poor Richard" w:cs="Times New Roman"/>
          <w:i/>
          <w:iCs/>
          <w:sz w:val="24"/>
          <w:szCs w:val="24"/>
        </w:rPr>
        <w:t>Liber</w:t>
      </w:r>
      <w:r w:rsidRPr="00C02F2C">
        <w:rPr>
          <w:rFonts w:ascii="Poor Richard" w:hAnsi="Poor Richard" w:cs="Times New Roman"/>
          <w:iCs/>
          <w:sz w:val="24"/>
          <w:szCs w:val="24"/>
        </w:rPr>
        <w:t xml:space="preserve"> and explained the Areopagite through Aristotle’s </w:t>
      </w:r>
      <w:r w:rsidRPr="00C02F2C">
        <w:rPr>
          <w:rFonts w:ascii="Poor Richard" w:hAnsi="Poor Richard" w:cs="Times New Roman"/>
          <w:i/>
          <w:iCs/>
          <w:sz w:val="24"/>
          <w:szCs w:val="24"/>
        </w:rPr>
        <w:t>Metaphysics</w:t>
      </w:r>
      <w:r w:rsidRPr="00C02F2C">
        <w:rPr>
          <w:rFonts w:ascii="Poor Richard" w:hAnsi="Poor Richard" w:cs="Times New Roman"/>
          <w:iCs/>
          <w:sz w:val="24"/>
          <w:szCs w:val="24"/>
        </w:rPr>
        <w:t xml:space="preserve"> and Avicenna. Divine agency differs from natural agents, which do not act through their essence. The divine essence acts “according to its own will and its own wisdom … because its </w:t>
      </w:r>
      <w:proofErr w:type="spellStart"/>
      <w:r w:rsidRPr="00C02F2C">
        <w:rPr>
          <w:rFonts w:ascii="Poor Richard" w:hAnsi="Poor Richard" w:cs="Times New Roman"/>
          <w:i/>
          <w:iCs/>
          <w:sz w:val="24"/>
          <w:szCs w:val="24"/>
        </w:rPr>
        <w:t>esse</w:t>
      </w:r>
      <w:proofErr w:type="spellEnd"/>
      <w:r w:rsidRPr="00C02F2C">
        <w:rPr>
          <w:rFonts w:ascii="Poor Richard" w:hAnsi="Poor Richard" w:cs="Times New Roman"/>
          <w:iCs/>
          <w:sz w:val="24"/>
          <w:szCs w:val="24"/>
        </w:rPr>
        <w:t xml:space="preserve"> is its act of knowing and its action is its </w:t>
      </w:r>
      <w:r w:rsidRPr="00C02F2C">
        <w:rPr>
          <w:rFonts w:ascii="Poor Richard" w:hAnsi="Poor Richard" w:cs="Times New Roman"/>
          <w:iCs/>
          <w:sz w:val="24"/>
          <w:szCs w:val="24"/>
        </w:rPr>
        <w:lastRenderedPageBreak/>
        <w:t>substance.”</w:t>
      </w:r>
      <w:r w:rsidRPr="00C02F2C">
        <w:rPr>
          <w:rStyle w:val="FootnoteReference"/>
          <w:rFonts w:ascii="Poor Richard" w:hAnsi="Poor Richard" w:cs="Times New Roman"/>
          <w:iCs/>
          <w:sz w:val="24"/>
          <w:szCs w:val="24"/>
        </w:rPr>
        <w:footnoteReference w:id="72"/>
      </w:r>
      <w:r w:rsidRPr="00C02F2C">
        <w:rPr>
          <w:rFonts w:ascii="Poor Richard" w:hAnsi="Poor Richard" w:cs="Times New Roman"/>
          <w:iCs/>
          <w:sz w:val="24"/>
          <w:szCs w:val="24"/>
        </w:rPr>
        <w:t xml:space="preserve"> </w:t>
      </w:r>
      <w:r w:rsidRPr="00C02F2C">
        <w:rPr>
          <w:rFonts w:ascii="Poor Richard" w:hAnsi="Poor Richard" w:cs="Times New Roman"/>
          <w:sz w:val="24"/>
          <w:szCs w:val="24"/>
        </w:rPr>
        <w:t>Bonin notes that “many medieval philosophers not only accepted emanation, but gave it a new prominence.”</w:t>
      </w:r>
      <w:r w:rsidRPr="00C02F2C">
        <w:rPr>
          <w:rStyle w:val="FootnoteReference"/>
          <w:rFonts w:ascii="Poor Richard" w:hAnsi="Poor Richard" w:cs="Times New Roman"/>
          <w:sz w:val="24"/>
          <w:szCs w:val="24"/>
        </w:rPr>
        <w:footnoteReference w:id="73"/>
      </w:r>
      <w:r w:rsidRPr="00C02F2C">
        <w:rPr>
          <w:rFonts w:ascii="Poor Richard" w:hAnsi="Poor Richard" w:cs="Times New Roman"/>
          <w:sz w:val="24"/>
          <w:szCs w:val="24"/>
        </w:rPr>
        <w:t xml:space="preserve"> Albert and Aquinas, as disciples of Dionysius, belong to this community.</w:t>
      </w:r>
    </w:p>
    <w:p w:rsidR="000F23BE" w:rsidRPr="00C02F2C" w:rsidRDefault="000F23BE" w:rsidP="00EB26C0">
      <w:pPr>
        <w:spacing w:after="0" w:line="280" w:lineRule="exact"/>
        <w:ind w:firstLine="720"/>
        <w:contextualSpacing/>
        <w:rPr>
          <w:rFonts w:ascii="Poor Richard" w:hAnsi="Poor Richard" w:cs="Times New Roman"/>
          <w:sz w:val="24"/>
          <w:szCs w:val="24"/>
          <w:lang w:val="en-US" w:eastAsia="zh-CN"/>
        </w:rPr>
      </w:pPr>
    </w:p>
    <w:p w:rsidR="000F23BE" w:rsidRPr="00C02F2C" w:rsidRDefault="000F23BE" w:rsidP="00242980">
      <w:pPr>
        <w:pStyle w:val="ListParagraph"/>
        <w:numPr>
          <w:ilvl w:val="0"/>
          <w:numId w:val="1"/>
        </w:numPr>
        <w:spacing w:after="0" w:line="280" w:lineRule="exact"/>
        <w:jc w:val="center"/>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Thomas, the Platonist Dionysian</w:t>
      </w:r>
    </w:p>
    <w:p w:rsidR="000F23BE" w:rsidRPr="00C02F2C" w:rsidRDefault="000F23BE" w:rsidP="00A95C22">
      <w:pPr>
        <w:pStyle w:val="ListParagraph"/>
        <w:numPr>
          <w:ilvl w:val="0"/>
          <w:numId w:val="4"/>
        </w:numPr>
        <w:spacing w:after="0" w:line="280" w:lineRule="exact"/>
        <w:jc w:val="center"/>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Scorning the assertions of the saints and reason.</w:t>
      </w:r>
    </w:p>
    <w:p w:rsidR="000F23BE" w:rsidRPr="00C02F2C" w:rsidRDefault="000F23BE" w:rsidP="00A95C22">
      <w:pPr>
        <w:spacing w:after="0" w:line="280" w:lineRule="exact"/>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Having approached Albert through his response to an Augustinian inspired ecclesiastical condemnation, I come to Aquinas’ treatment of Dionysius through another condemnation under the same inspiration. Aquinas escaped this one by dying twelve years before it was pronounced, but it had his fundamental philosophical position in view. It shows us how radically disruptive his Aristotelianism was and why it needed the support of Dionysius.</w:t>
      </w:r>
    </w:p>
    <w:p w:rsidR="000F23BE" w:rsidRPr="00C02F2C" w:rsidRDefault="000F23BE" w:rsidP="00354F1D">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“In the human, there is only one form, the rational soul, without any other substantial form.” In April 1286, the Franciscan Archbishop of Canterbury, John Peckham, condemned this proposition, the one from which all the other “heresies” he listed followed.</w:t>
      </w:r>
      <w:r w:rsidRPr="00C02F2C">
        <w:rPr>
          <w:rStyle w:val="FootnoteReference"/>
          <w:rFonts w:ascii="Poor Richard" w:hAnsi="Poor Richard" w:cs="Times New Roman"/>
          <w:sz w:val="24"/>
          <w:szCs w:val="24"/>
          <w:lang w:val="fr-CA"/>
        </w:rPr>
        <w:footnoteReference w:id="74"/>
      </w:r>
      <w:r w:rsidRPr="00C02F2C">
        <w:rPr>
          <w:rFonts w:ascii="Poor Richard" w:hAnsi="Poor Richard" w:cs="Times New Roman"/>
          <w:sz w:val="24"/>
          <w:szCs w:val="24"/>
        </w:rPr>
        <w:t xml:space="preserve"> The Aristotelian doctrine of the unicity of substantial form is central to Thomas’ philosophical theology. Blankenhorn estimates that he was “the first to follow through on the unicity of form’s major doctrinal consequences.”</w:t>
      </w:r>
      <w:r w:rsidRPr="00C02F2C">
        <w:rPr>
          <w:rStyle w:val="FootnoteReference"/>
          <w:rFonts w:ascii="Poor Richard" w:hAnsi="Poor Richard" w:cs="Times New Roman"/>
          <w:sz w:val="24"/>
          <w:szCs w:val="24"/>
        </w:rPr>
        <w:footnoteReference w:id="75"/>
      </w:r>
      <w:r w:rsidRPr="00C02F2C">
        <w:rPr>
          <w:rFonts w:ascii="Poor Richard" w:hAnsi="Poor Richard" w:cs="Times New Roman"/>
          <w:sz w:val="24"/>
          <w:szCs w:val="24"/>
        </w:rPr>
        <w:t xml:space="preserve"> Peckham opposed: “the profane novelties” which destroy the Augustinian doctrine of the church.</w:t>
      </w:r>
      <w:r w:rsidRPr="00C02F2C">
        <w:rPr>
          <w:rStyle w:val="FootnoteReference"/>
          <w:rFonts w:ascii="Poor Richard" w:hAnsi="Poor Richard" w:cs="Times New Roman"/>
          <w:sz w:val="24"/>
          <w:szCs w:val="24"/>
        </w:rPr>
        <w:footnoteReference w:id="76"/>
      </w:r>
      <w:r w:rsidRPr="00C02F2C">
        <w:rPr>
          <w:rFonts w:ascii="Poor Richard" w:hAnsi="Poor Richard" w:cs="Times New Roman"/>
          <w:sz w:val="24"/>
          <w:szCs w:val="24"/>
        </w:rPr>
        <w:t xml:space="preserve"> He asserts repeatedly that these opinions are contrary both to reason and to the testimony of the saints. How did Aquinas have the audacity to “reject and scorn the evident assertions of the saints” above all, Augustine?</w:t>
      </w:r>
    </w:p>
    <w:p w:rsidR="000F23BE" w:rsidRPr="00C02F2C" w:rsidRDefault="000F23BE" w:rsidP="009B7A38">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rPr>
        <w:t xml:space="preserve">Thomas could not have moved from an almost universally held Latin philosophical theology with the sanction of the saints without equal or even superior holy sanction for his revolutionary philosophical framework. From the beginning to the end of his writing, it is clear that the required support came from “Blessed Dionysius,” described in his </w:t>
      </w:r>
      <w:r w:rsidRPr="00C02F2C">
        <w:rPr>
          <w:rFonts w:ascii="Poor Richard" w:hAnsi="Poor Richard" w:cs="Times New Roman"/>
          <w:i/>
          <w:sz w:val="24"/>
          <w:szCs w:val="24"/>
        </w:rPr>
        <w:t xml:space="preserve">Sentences Commentary </w:t>
      </w:r>
      <w:r w:rsidRPr="00C02F2C">
        <w:rPr>
          <w:rFonts w:ascii="Poor Richard" w:hAnsi="Poor Richard" w:cs="Times New Roman"/>
          <w:sz w:val="24"/>
          <w:szCs w:val="24"/>
        </w:rPr>
        <w:t>as: “the disciple of Paul, said to written of his visions.”</w:t>
      </w:r>
      <w:r w:rsidRPr="00C02F2C">
        <w:rPr>
          <w:rStyle w:val="FootnoteReference"/>
          <w:rFonts w:ascii="Poor Richard" w:hAnsi="Poor Richard" w:cs="Times New Roman"/>
          <w:sz w:val="24"/>
          <w:szCs w:val="24"/>
        </w:rPr>
        <w:footnoteReference w:id="77"/>
      </w:r>
      <w:r w:rsidRPr="00C02F2C">
        <w:rPr>
          <w:rFonts w:ascii="Poor Richard" w:hAnsi="Poor Richard" w:cs="Times New Roman"/>
          <w:sz w:val="24"/>
          <w:szCs w:val="24"/>
        </w:rPr>
        <w:t xml:space="preserve">  </w:t>
      </w:r>
      <w:r w:rsidRPr="00C02F2C">
        <w:rPr>
          <w:rFonts w:ascii="Poor Richard" w:hAnsi="Poor Richard" w:cs="Times New Roman"/>
          <w:sz w:val="24"/>
          <w:szCs w:val="24"/>
          <w:lang w:eastAsia="zh-CN"/>
        </w:rPr>
        <w:t xml:space="preserve">Booth defends Aquinas’ judgment. It “was arrived at from a systematic comparison of [Dionysius’] thought with Aristotle’s: ‘Dionysius autem fere ubique … .’ This investigation no doubt included his study of Albert’s method of receiving peripatetic thought into a Pseudodionysian context.” </w:t>
      </w:r>
      <w:r w:rsidRPr="00C02F2C">
        <w:rPr>
          <w:rStyle w:val="FootnoteReference"/>
          <w:rFonts w:ascii="Poor Richard" w:hAnsi="Poor Richard" w:cs="Times New Roman"/>
          <w:sz w:val="24"/>
          <w:szCs w:val="24"/>
          <w:lang w:val="en-US" w:eastAsia="zh-CN"/>
        </w:rPr>
        <w:footnoteReference w:id="78"/>
      </w:r>
    </w:p>
    <w:p w:rsidR="000F23BE" w:rsidRPr="00C02F2C" w:rsidRDefault="000F23BE" w:rsidP="009A0733">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In Albert’s </w:t>
      </w:r>
      <w:r w:rsidRPr="00C02F2C">
        <w:rPr>
          <w:rFonts w:ascii="Poor Richard" w:hAnsi="Poor Richard" w:cs="Times New Roman"/>
          <w:i/>
          <w:sz w:val="24"/>
          <w:szCs w:val="24"/>
          <w:lang w:val="en-US" w:eastAsia="zh-CN"/>
        </w:rPr>
        <w:t>studium</w:t>
      </w:r>
      <w:r w:rsidRPr="00C02F2C">
        <w:rPr>
          <w:rFonts w:ascii="Poor Richard" w:hAnsi="Poor Richard" w:cs="Times New Roman"/>
          <w:sz w:val="24"/>
          <w:szCs w:val="24"/>
          <w:lang w:val="en-US" w:eastAsia="zh-CN"/>
        </w:rPr>
        <w:t xml:space="preserve"> Aquinas heard the Aristotelian and Dionysian doctrines on the question Aquinas was determining when he made the “</w:t>
      </w:r>
      <w:r w:rsidRPr="00C02F2C">
        <w:rPr>
          <w:rFonts w:ascii="Poor Richard" w:hAnsi="Poor Richard" w:cs="Times New Roman"/>
          <w:sz w:val="24"/>
          <w:szCs w:val="24"/>
          <w:lang w:eastAsia="zh-CN"/>
        </w:rPr>
        <w:t>fere ubique”</w:t>
      </w:r>
      <w:r w:rsidRPr="00C02F2C">
        <w:rPr>
          <w:rFonts w:ascii="Poor Richard" w:hAnsi="Poor Richard" w:cs="Times New Roman"/>
          <w:sz w:val="24"/>
          <w:szCs w:val="24"/>
          <w:lang w:val="en-US" w:eastAsia="zh-CN"/>
        </w:rPr>
        <w:t xml:space="preserve"> remark.</w:t>
      </w:r>
      <w:r w:rsidRPr="00C02F2C">
        <w:rPr>
          <w:rStyle w:val="FootnoteReference"/>
          <w:rFonts w:ascii="Poor Richard" w:hAnsi="Poor Richard" w:cs="Times New Roman"/>
          <w:sz w:val="24"/>
          <w:szCs w:val="24"/>
          <w:lang w:val="en-US" w:eastAsia="zh-CN"/>
        </w:rPr>
        <w:footnoteReference w:id="79"/>
      </w:r>
      <w:r w:rsidRPr="00C02F2C">
        <w:rPr>
          <w:rFonts w:ascii="Poor Richard" w:hAnsi="Poor Richard" w:cs="Times New Roman"/>
          <w:sz w:val="24"/>
          <w:szCs w:val="24"/>
          <w:lang w:val="en-US" w:eastAsia="zh-CN"/>
        </w:rPr>
        <w:t xml:space="preserve"> That is, the nature of heavenly bodies: are they composed of four elements, like </w:t>
      </w:r>
      <w:proofErr w:type="spellStart"/>
      <w:r w:rsidRPr="00C02F2C">
        <w:rPr>
          <w:rFonts w:ascii="Poor Richard" w:hAnsi="Poor Richard" w:cs="Times New Roman"/>
          <w:sz w:val="24"/>
          <w:szCs w:val="24"/>
          <w:lang w:val="en-US" w:eastAsia="zh-CN"/>
        </w:rPr>
        <w:t>sublunar</w:t>
      </w:r>
      <w:proofErr w:type="spellEnd"/>
      <w:r w:rsidRPr="00C02F2C">
        <w:rPr>
          <w:rFonts w:ascii="Poor Richard" w:hAnsi="Poor Richard" w:cs="Times New Roman"/>
          <w:sz w:val="24"/>
          <w:szCs w:val="24"/>
          <w:lang w:val="en-US" w:eastAsia="zh-CN"/>
        </w:rPr>
        <w:t xml:space="preserve"> bodies, or of the fifth, and therefore different? Dionysius follows Aristotle in separating heavenly bodies, and</w:t>
      </w:r>
      <w:r w:rsidRPr="00C02F2C">
        <w:rPr>
          <w:rFonts w:ascii="Poor Richard" w:hAnsi="Poor Richard" w:cs="Times New Roman"/>
          <w:sz w:val="24"/>
          <w:szCs w:val="24"/>
          <w:lang w:val="es-ES"/>
        </w:rPr>
        <w:t xml:space="preserve"> Thomas places </w:t>
      </w:r>
      <w:proofErr w:type="spellStart"/>
      <w:r w:rsidRPr="00C02F2C">
        <w:rPr>
          <w:rFonts w:ascii="Poor Richard" w:hAnsi="Poor Richard" w:cs="Times New Roman"/>
          <w:sz w:val="24"/>
          <w:szCs w:val="24"/>
          <w:lang w:val="es-ES"/>
        </w:rPr>
        <w:t>himself</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on</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the</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same</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side</w:t>
      </w:r>
      <w:proofErr w:type="spellEnd"/>
      <w:r w:rsidRPr="00C02F2C">
        <w:rPr>
          <w:rFonts w:ascii="Poor Richard" w:hAnsi="Poor Richard" w:cs="Times New Roman"/>
          <w:sz w:val="24"/>
          <w:szCs w:val="24"/>
          <w:lang w:val="es-ES"/>
        </w:rPr>
        <w:t xml:space="preserve"> as </w:t>
      </w:r>
      <w:proofErr w:type="spellStart"/>
      <w:r w:rsidRPr="00C02F2C">
        <w:rPr>
          <w:rFonts w:ascii="Poor Richard" w:hAnsi="Poor Richard" w:cs="Times New Roman"/>
          <w:sz w:val="24"/>
          <w:szCs w:val="24"/>
          <w:lang w:val="es-ES"/>
        </w:rPr>
        <w:t>these</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two</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greatest</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authorities</w:t>
      </w:r>
      <w:proofErr w:type="spellEnd"/>
      <w:r w:rsidRPr="00C02F2C">
        <w:rPr>
          <w:rFonts w:ascii="Poor Richard" w:hAnsi="Poor Richard" w:cs="Times New Roman"/>
          <w:sz w:val="24"/>
          <w:szCs w:val="24"/>
          <w:lang w:val="es-ES"/>
        </w:rPr>
        <w:t xml:space="preserve"> in </w:t>
      </w:r>
      <w:proofErr w:type="spellStart"/>
      <w:r w:rsidRPr="00C02F2C">
        <w:rPr>
          <w:rFonts w:ascii="Poor Richard" w:hAnsi="Poor Richard" w:cs="Times New Roman"/>
          <w:sz w:val="24"/>
          <w:szCs w:val="24"/>
          <w:lang w:val="es-ES"/>
        </w:rPr>
        <w:t>their</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respective</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sciences</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parting</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from</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other</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expositors</w:t>
      </w:r>
      <w:proofErr w:type="spellEnd"/>
      <w:r w:rsidRPr="00C02F2C">
        <w:rPr>
          <w:rFonts w:ascii="Poor Richard" w:hAnsi="Poor Richard" w:cs="Times New Roman"/>
          <w:sz w:val="24"/>
          <w:szCs w:val="24"/>
          <w:lang w:val="es-ES"/>
        </w:rPr>
        <w:t xml:space="preserve"> of </w:t>
      </w:r>
      <w:proofErr w:type="spellStart"/>
      <w:r w:rsidRPr="00C02F2C">
        <w:rPr>
          <w:rFonts w:ascii="Poor Richard" w:hAnsi="Poor Richard" w:cs="Times New Roman"/>
          <w:sz w:val="24"/>
          <w:szCs w:val="24"/>
          <w:lang w:val="es-ES"/>
        </w:rPr>
        <w:t>scripture</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who</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followed</w:t>
      </w:r>
      <w:proofErr w:type="spellEnd"/>
      <w:r w:rsidRPr="00C02F2C">
        <w:rPr>
          <w:rFonts w:ascii="Poor Richard" w:hAnsi="Poor Richard" w:cs="Times New Roman"/>
          <w:sz w:val="24"/>
          <w:szCs w:val="24"/>
          <w:lang w:val="es-ES"/>
        </w:rPr>
        <w:t xml:space="preserve"> Plato (he </w:t>
      </w:r>
      <w:proofErr w:type="spellStart"/>
      <w:r w:rsidRPr="00C02F2C">
        <w:rPr>
          <w:rFonts w:ascii="Poor Richard" w:hAnsi="Poor Richard" w:cs="Times New Roman"/>
          <w:sz w:val="24"/>
          <w:szCs w:val="24"/>
          <w:lang w:val="es-ES"/>
        </w:rPr>
        <w:t>names</w:t>
      </w:r>
      <w:proofErr w:type="spellEnd"/>
      <w:r w:rsidRPr="00C02F2C">
        <w:rPr>
          <w:rFonts w:ascii="Poor Richard" w:hAnsi="Poor Richard" w:cs="Times New Roman"/>
          <w:sz w:val="24"/>
          <w:szCs w:val="24"/>
          <w:lang w:val="es-ES"/>
        </w:rPr>
        <w:t xml:space="preserve"> </w:t>
      </w:r>
      <w:proofErr w:type="spellStart"/>
      <w:r w:rsidRPr="00C02F2C">
        <w:rPr>
          <w:rFonts w:ascii="Poor Richard" w:hAnsi="Poor Richard" w:cs="Times New Roman"/>
          <w:sz w:val="24"/>
          <w:szCs w:val="24"/>
          <w:lang w:val="es-ES"/>
        </w:rPr>
        <w:t>Basil</w:t>
      </w:r>
      <w:proofErr w:type="spellEnd"/>
      <w:r w:rsidRPr="00C02F2C">
        <w:rPr>
          <w:rFonts w:ascii="Poor Richard" w:hAnsi="Poor Richard" w:cs="Times New Roman"/>
          <w:sz w:val="24"/>
          <w:szCs w:val="24"/>
          <w:lang w:val="es-ES"/>
        </w:rPr>
        <w:t xml:space="preserve"> and Augustine).</w:t>
      </w:r>
      <w:r w:rsidRPr="00C02F2C">
        <w:rPr>
          <w:rStyle w:val="FootnoteReference"/>
          <w:rFonts w:ascii="Poor Richard" w:hAnsi="Poor Richard" w:cs="Times New Roman"/>
          <w:sz w:val="24"/>
          <w:szCs w:val="24"/>
          <w:lang w:val="en-US" w:eastAsia="zh-CN"/>
        </w:rPr>
        <w:footnoteReference w:id="80"/>
      </w:r>
      <w:r w:rsidRPr="00C02F2C">
        <w:rPr>
          <w:rFonts w:ascii="Poor Richard" w:hAnsi="Poor Richard" w:cs="Times New Roman"/>
          <w:sz w:val="24"/>
          <w:szCs w:val="24"/>
          <w:lang w:val="en-US" w:eastAsia="zh-CN"/>
        </w:rPr>
        <w:t xml:space="preserve"> When treating the metaphysical, physical, and theological questions involved in the nature of the heavens and their motions, as he comments on the </w:t>
      </w:r>
      <w:r w:rsidRPr="00C02F2C">
        <w:rPr>
          <w:rFonts w:ascii="Poor Richard" w:hAnsi="Poor Richard" w:cs="Times New Roman"/>
          <w:i/>
          <w:sz w:val="24"/>
          <w:szCs w:val="24"/>
          <w:lang w:val="en-US" w:eastAsia="zh-CN"/>
        </w:rPr>
        <w:t>Dionysian corpus</w:t>
      </w:r>
      <w:r w:rsidRPr="00C02F2C">
        <w:rPr>
          <w:rFonts w:ascii="Poor Richard" w:hAnsi="Poor Richard" w:cs="Times New Roman"/>
          <w:sz w:val="24"/>
          <w:szCs w:val="24"/>
          <w:lang w:val="en-US" w:eastAsia="zh-CN"/>
        </w:rPr>
        <w:t xml:space="preserve">, Albert united the </w:t>
      </w:r>
      <w:r w:rsidRPr="00C02F2C">
        <w:rPr>
          <w:rFonts w:ascii="Poor Richard" w:hAnsi="Poor Richard" w:cs="Times New Roman"/>
          <w:i/>
          <w:sz w:val="24"/>
          <w:szCs w:val="24"/>
          <w:lang w:val="en-US" w:eastAsia="zh-CN"/>
        </w:rPr>
        <w:t>Liber</w:t>
      </w:r>
      <w:r w:rsidRPr="00C02F2C">
        <w:rPr>
          <w:rFonts w:ascii="Poor Richard" w:hAnsi="Poor Richard" w:cs="Times New Roman"/>
          <w:sz w:val="24"/>
          <w:szCs w:val="24"/>
          <w:lang w:val="en-US" w:eastAsia="zh-CN"/>
        </w:rPr>
        <w:t xml:space="preserve">, attributed to the Philosopher, Aristotle’s </w:t>
      </w:r>
      <w:r w:rsidRPr="00C02F2C">
        <w:rPr>
          <w:rFonts w:ascii="Poor Richard" w:hAnsi="Poor Richard" w:cs="Times New Roman"/>
          <w:i/>
          <w:sz w:val="24"/>
          <w:szCs w:val="24"/>
          <w:lang w:val="en-US" w:eastAsia="zh-CN"/>
        </w:rPr>
        <w:t>Physics</w:t>
      </w:r>
      <w:r w:rsidRPr="00C02F2C">
        <w:rPr>
          <w:rFonts w:ascii="Poor Richard" w:hAnsi="Poor Richard" w:cs="Times New Roman"/>
          <w:sz w:val="24"/>
          <w:szCs w:val="24"/>
          <w:lang w:val="en-US" w:eastAsia="zh-CN"/>
        </w:rPr>
        <w:t xml:space="preserve">, </w:t>
      </w:r>
      <w:r w:rsidRPr="00C02F2C">
        <w:rPr>
          <w:rFonts w:ascii="Poor Richard" w:hAnsi="Poor Richard" w:cs="Times New Roman"/>
          <w:i/>
          <w:sz w:val="24"/>
          <w:szCs w:val="24"/>
          <w:lang w:val="en-US" w:eastAsia="zh-CN"/>
        </w:rPr>
        <w:t xml:space="preserve">Metaphysics, </w:t>
      </w:r>
      <w:r w:rsidRPr="00C02F2C">
        <w:rPr>
          <w:rFonts w:ascii="Poor Richard" w:hAnsi="Poor Richard" w:cs="Times New Roman"/>
          <w:sz w:val="24"/>
          <w:szCs w:val="24"/>
          <w:lang w:val="en-US" w:eastAsia="zh-CN"/>
        </w:rPr>
        <w:lastRenderedPageBreak/>
        <w:t xml:space="preserve">and </w:t>
      </w:r>
      <w:r w:rsidRPr="00C02F2C">
        <w:rPr>
          <w:rFonts w:ascii="Poor Richard" w:hAnsi="Poor Richard" w:cs="Times New Roman"/>
          <w:i/>
          <w:sz w:val="24"/>
          <w:szCs w:val="24"/>
          <w:lang w:val="en-US" w:eastAsia="zh-CN"/>
        </w:rPr>
        <w:t xml:space="preserve">De </w:t>
      </w:r>
      <w:proofErr w:type="spellStart"/>
      <w:r w:rsidRPr="00C02F2C">
        <w:rPr>
          <w:rFonts w:ascii="Poor Richard" w:hAnsi="Poor Richard" w:cs="Times New Roman"/>
          <w:i/>
          <w:sz w:val="24"/>
          <w:szCs w:val="24"/>
          <w:lang w:val="en-US" w:eastAsia="zh-CN"/>
        </w:rPr>
        <w:t>Caelo</w:t>
      </w:r>
      <w:proofErr w:type="spellEnd"/>
      <w:r w:rsidRPr="00C02F2C">
        <w:rPr>
          <w:rFonts w:ascii="Poor Richard" w:hAnsi="Poor Richard" w:cs="Times New Roman"/>
          <w:sz w:val="24"/>
          <w:szCs w:val="24"/>
          <w:lang w:val="en-US" w:eastAsia="zh-CN"/>
        </w:rPr>
        <w:t xml:space="preserve"> with Dionysius’ positions, just as Aquinas would himself do in the </w:t>
      </w:r>
      <w:r w:rsidRPr="00C02F2C">
        <w:rPr>
          <w:rFonts w:ascii="Poor Richard" w:hAnsi="Poor Richard" w:cs="Times New Roman"/>
          <w:i/>
          <w:sz w:val="24"/>
          <w:szCs w:val="24"/>
          <w:lang w:val="en-US" w:eastAsia="zh-CN"/>
        </w:rPr>
        <w:t>Sentences Commentary</w:t>
      </w:r>
      <w:r w:rsidRPr="00C02F2C">
        <w:rPr>
          <w:rFonts w:ascii="Poor Richard" w:hAnsi="Poor Richard" w:cs="Times New Roman"/>
          <w:sz w:val="24"/>
          <w:szCs w:val="24"/>
          <w:lang w:val="en-US" w:eastAsia="zh-CN"/>
        </w:rPr>
        <w:t>, and not only there.</w:t>
      </w:r>
      <w:r w:rsidRPr="00C02F2C">
        <w:rPr>
          <w:rStyle w:val="FootnoteReference"/>
          <w:rFonts w:ascii="Poor Richard" w:hAnsi="Poor Richard" w:cs="Times New Roman"/>
          <w:sz w:val="24"/>
          <w:szCs w:val="24"/>
          <w:lang w:val="en-US" w:eastAsia="zh-CN"/>
        </w:rPr>
        <w:footnoteReference w:id="81"/>
      </w:r>
      <w:r w:rsidRPr="00C02F2C">
        <w:rPr>
          <w:rFonts w:ascii="Poor Richard" w:hAnsi="Poor Richard" w:cs="Times New Roman"/>
          <w:sz w:val="24"/>
          <w:szCs w:val="24"/>
          <w:lang w:val="en-US" w:eastAsia="zh-CN"/>
        </w:rPr>
        <w:t xml:space="preserve"> </w:t>
      </w:r>
    </w:p>
    <w:p w:rsidR="000F23BE" w:rsidRPr="00C02F2C" w:rsidRDefault="000F23BE" w:rsidP="009A0733">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Study in Albert’s Cologne laboratory is the single most important element in Thomas’ formation. Albert’s turn from Augustine in this period leads the way to Thomas’ determination about unicity of the human substantial form:</w:t>
      </w:r>
    </w:p>
    <w:p w:rsidR="000F23BE" w:rsidRPr="00C02F2C" w:rsidRDefault="000F23BE" w:rsidP="009A0733">
      <w:pPr>
        <w:spacing w:after="0" w:line="280" w:lineRule="exact"/>
        <w:ind w:firstLine="720"/>
        <w:contextualSpacing/>
        <w:rPr>
          <w:rFonts w:ascii="Poor Richard" w:hAnsi="Poor Richard" w:cs="Times New Roman"/>
          <w:sz w:val="24"/>
          <w:szCs w:val="24"/>
          <w:lang w:val="en-US" w:eastAsia="zh-CN"/>
        </w:rPr>
      </w:pPr>
    </w:p>
    <w:p w:rsidR="000F23BE" w:rsidRPr="00C02F2C" w:rsidRDefault="000F23BE" w:rsidP="009A0733">
      <w:pPr>
        <w:spacing w:after="0" w:line="280" w:lineRule="exact"/>
        <w:ind w:left="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From the first pages of the </w:t>
      </w:r>
      <w:r w:rsidRPr="00C02F2C">
        <w:rPr>
          <w:rFonts w:ascii="Poor Richard" w:hAnsi="Poor Richard" w:cs="Times New Roman"/>
          <w:i/>
          <w:sz w:val="24"/>
          <w:szCs w:val="24"/>
          <w:lang w:val="en-US" w:eastAsia="zh-CN"/>
        </w:rPr>
        <w:t xml:space="preserve">Commentary on the Celestial Hierarchy </w:t>
      </w:r>
      <w:r w:rsidRPr="00C02F2C">
        <w:rPr>
          <w:rFonts w:ascii="Poor Richard" w:hAnsi="Poor Richard" w:cs="Times New Roman"/>
          <w:sz w:val="24"/>
          <w:szCs w:val="24"/>
          <w:lang w:val="en-US" w:eastAsia="zh-CN"/>
        </w:rPr>
        <w:t>Albert quietly announces the advent of a new anthropology that moves away from key aspects of his previous Augustinianism and toward an Aristotelian-Dionysian emphasis on the soul-body unity.</w:t>
      </w:r>
      <w:r w:rsidRPr="00C02F2C">
        <w:rPr>
          <w:rStyle w:val="FootnoteReference"/>
          <w:rFonts w:ascii="Poor Richard" w:hAnsi="Poor Richard" w:cs="Times New Roman"/>
          <w:sz w:val="24"/>
          <w:szCs w:val="24"/>
          <w:lang w:val="en-US" w:eastAsia="zh-CN"/>
        </w:rPr>
        <w:footnoteReference w:id="82"/>
      </w:r>
    </w:p>
    <w:p w:rsidR="000F23BE" w:rsidRPr="00C02F2C" w:rsidRDefault="000F23BE" w:rsidP="009A0733">
      <w:pPr>
        <w:spacing w:after="0" w:line="280" w:lineRule="exact"/>
        <w:ind w:left="720"/>
        <w:contextualSpacing/>
        <w:rPr>
          <w:rFonts w:ascii="Poor Richard" w:hAnsi="Poor Richard" w:cs="Times New Roman"/>
          <w:sz w:val="24"/>
          <w:szCs w:val="24"/>
          <w:lang w:val="en-US" w:eastAsia="zh-CN"/>
        </w:rPr>
      </w:pPr>
    </w:p>
    <w:p w:rsidR="000F23BE" w:rsidRPr="00C02F2C" w:rsidRDefault="000F23BE" w:rsidP="009A0733">
      <w:pPr>
        <w:spacing w:after="0" w:line="280" w:lineRule="exact"/>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I quote Blankenhorn further because Aquinas adopts all these positions from the start of his own teaching:</w:t>
      </w:r>
    </w:p>
    <w:p w:rsidR="000F23BE" w:rsidRPr="00C02F2C" w:rsidRDefault="000F23BE" w:rsidP="009A0733">
      <w:pPr>
        <w:spacing w:after="0" w:line="280" w:lineRule="exact"/>
        <w:contextualSpacing/>
        <w:rPr>
          <w:rFonts w:ascii="Poor Richard" w:hAnsi="Poor Richard" w:cs="Times New Roman"/>
          <w:sz w:val="24"/>
          <w:szCs w:val="24"/>
          <w:lang w:val="en-US" w:eastAsia="zh-CN"/>
        </w:rPr>
      </w:pPr>
    </w:p>
    <w:p w:rsidR="000F23BE" w:rsidRPr="00C02F2C" w:rsidRDefault="000F23BE" w:rsidP="009A0733">
      <w:pPr>
        <w:spacing w:after="0" w:line="280" w:lineRule="exact"/>
        <w:ind w:left="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[Previously for Albert,] the intellect is more or less proportioned to know spiritual realities directly. … In contrast, the Dionysian commentaries present a vision of the human intellect naturally at home in the material cosmos. The divine light comes to us through the sensible veils of the liturgy and physical creation because all of our knowledge naturally begins with sense experience …</w:t>
      </w:r>
      <w:r w:rsidRPr="00C02F2C">
        <w:rPr>
          <w:rStyle w:val="FootnoteReference"/>
          <w:rFonts w:ascii="Poor Richard" w:hAnsi="Poor Richard" w:cs="Times New Roman"/>
          <w:sz w:val="24"/>
          <w:szCs w:val="24"/>
          <w:lang w:val="en-US" w:eastAsia="zh-CN"/>
        </w:rPr>
        <w:footnoteReference w:id="83"/>
      </w:r>
    </w:p>
    <w:p w:rsidR="000F23BE" w:rsidRPr="00C02F2C" w:rsidRDefault="000F23BE" w:rsidP="009A0733">
      <w:pPr>
        <w:spacing w:after="0" w:line="280" w:lineRule="exact"/>
        <w:ind w:left="720"/>
        <w:contextualSpacing/>
        <w:rPr>
          <w:rFonts w:ascii="Poor Richard" w:hAnsi="Poor Richard" w:cs="Times New Roman"/>
          <w:sz w:val="24"/>
          <w:szCs w:val="24"/>
          <w:lang w:val="en-US" w:eastAsia="zh-CN"/>
        </w:rPr>
      </w:pPr>
    </w:p>
    <w:p w:rsidR="000F23BE" w:rsidRPr="00C02F2C" w:rsidRDefault="000F23BE" w:rsidP="00C228F4">
      <w:pPr>
        <w:spacing w:after="0" w:line="280" w:lineRule="exact"/>
        <w:ind w:firstLine="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In his </w:t>
      </w:r>
      <w:r w:rsidRPr="00C02F2C">
        <w:rPr>
          <w:rFonts w:ascii="Poor Richard" w:hAnsi="Poor Richard" w:cs="Times New Roman"/>
          <w:i/>
          <w:sz w:val="24"/>
          <w:szCs w:val="24"/>
          <w:lang w:val="en-US" w:eastAsia="zh-CN"/>
        </w:rPr>
        <w:t xml:space="preserve">Super De </w:t>
      </w:r>
      <w:proofErr w:type="spellStart"/>
      <w:r w:rsidRPr="00C02F2C">
        <w:rPr>
          <w:rFonts w:ascii="Poor Richard" w:hAnsi="Poor Richard" w:cs="Times New Roman"/>
          <w:i/>
          <w:sz w:val="24"/>
          <w:szCs w:val="24"/>
          <w:lang w:val="en-US" w:eastAsia="zh-CN"/>
        </w:rPr>
        <w:t>caelesti</w:t>
      </w:r>
      <w:proofErr w:type="spellEnd"/>
      <w:r w:rsidRPr="00C02F2C">
        <w:rPr>
          <w:rFonts w:ascii="Poor Richard" w:hAnsi="Poor Richard" w:cs="Times New Roman"/>
          <w:i/>
          <w:sz w:val="24"/>
          <w:szCs w:val="24"/>
          <w:lang w:val="en-US" w:eastAsia="zh-CN"/>
        </w:rPr>
        <w:t xml:space="preserve"> </w:t>
      </w:r>
      <w:proofErr w:type="spellStart"/>
      <w:r w:rsidRPr="00C02F2C">
        <w:rPr>
          <w:rFonts w:ascii="Poor Richard" w:hAnsi="Poor Richard" w:cs="Times New Roman"/>
          <w:i/>
          <w:sz w:val="24"/>
          <w:szCs w:val="24"/>
          <w:lang w:val="en-US" w:eastAsia="zh-CN"/>
        </w:rPr>
        <w:t>hierarchia</w:t>
      </w:r>
      <w:proofErr w:type="spellEnd"/>
      <w:r w:rsidRPr="00C02F2C">
        <w:rPr>
          <w:rFonts w:ascii="Poor Richard" w:hAnsi="Poor Richard" w:cs="Times New Roman"/>
          <w:i/>
          <w:sz w:val="24"/>
          <w:szCs w:val="24"/>
          <w:lang w:val="en-US" w:eastAsia="zh-CN"/>
        </w:rPr>
        <w:t xml:space="preserve">, </w:t>
      </w:r>
      <w:r w:rsidRPr="00C02F2C">
        <w:rPr>
          <w:rFonts w:ascii="Poor Richard" w:hAnsi="Poor Richard" w:cs="Times New Roman"/>
          <w:sz w:val="24"/>
          <w:szCs w:val="24"/>
          <w:lang w:val="en-US" w:eastAsia="zh-CN"/>
        </w:rPr>
        <w:t xml:space="preserve">Albert cites the Philosopher: “our intellect is in potency only to those things which can be perceived through </w:t>
      </w:r>
      <w:proofErr w:type="spellStart"/>
      <w:r w:rsidRPr="00C02F2C">
        <w:rPr>
          <w:rFonts w:ascii="Poor Richard" w:hAnsi="Poor Richard" w:cs="Times New Roman"/>
          <w:sz w:val="24"/>
          <w:szCs w:val="24"/>
          <w:lang w:val="en-US" w:eastAsia="zh-CN"/>
        </w:rPr>
        <w:t>sensibles</w:t>
      </w:r>
      <w:proofErr w:type="spellEnd"/>
      <w:r w:rsidRPr="00C02F2C">
        <w:rPr>
          <w:rFonts w:ascii="Poor Richard" w:hAnsi="Poor Richard" w:cs="Times New Roman"/>
          <w:sz w:val="24"/>
          <w:szCs w:val="24"/>
          <w:lang w:val="en-US" w:eastAsia="zh-CN"/>
        </w:rPr>
        <w:t>, but it is in potency to spiritual things proportionally through some light superadded to nature, namely grace or glory.”</w:t>
      </w:r>
      <w:r w:rsidRPr="00C02F2C">
        <w:rPr>
          <w:rStyle w:val="FootnoteReference"/>
          <w:rFonts w:ascii="Poor Richard" w:hAnsi="Poor Richard" w:cs="Times New Roman"/>
          <w:sz w:val="24"/>
          <w:szCs w:val="24"/>
          <w:lang w:val="en-US" w:eastAsia="zh-CN"/>
        </w:rPr>
        <w:footnoteReference w:id="84"/>
      </w:r>
      <w:r w:rsidRPr="00C02F2C">
        <w:rPr>
          <w:rFonts w:ascii="Poor Richard" w:hAnsi="Poor Richard" w:cs="Times New Roman"/>
          <w:sz w:val="24"/>
          <w:szCs w:val="24"/>
          <w:lang w:val="en-US" w:eastAsia="zh-CN"/>
        </w:rPr>
        <w:t xml:space="preserve"> Aquinas goes to the same text of Dionysius for this epistemology, together with the apophatic theology it implied for Albert as well.</w:t>
      </w:r>
      <w:r w:rsidRPr="00C02F2C">
        <w:rPr>
          <w:rStyle w:val="FootnoteReference"/>
          <w:rFonts w:ascii="Poor Richard" w:hAnsi="Poor Richard" w:cs="Times New Roman"/>
          <w:sz w:val="24"/>
          <w:szCs w:val="24"/>
          <w:lang w:val="en-US" w:eastAsia="zh-CN"/>
        </w:rPr>
        <w:footnoteReference w:id="85"/>
      </w:r>
      <w:r w:rsidRPr="00C02F2C">
        <w:rPr>
          <w:rFonts w:ascii="Poor Richard" w:hAnsi="Poor Richard" w:cs="Times New Roman"/>
          <w:sz w:val="24"/>
          <w:szCs w:val="24"/>
          <w:lang w:val="en-US" w:eastAsia="zh-CN"/>
        </w:rPr>
        <w:t xml:space="preserve"> Aquinas links Dionysian apophatism with Aristotle’s comparison in </w:t>
      </w:r>
      <w:r w:rsidRPr="00C02F2C">
        <w:rPr>
          <w:rFonts w:ascii="Poor Richard" w:hAnsi="Poor Richard" w:cs="Times New Roman"/>
          <w:i/>
          <w:sz w:val="24"/>
          <w:szCs w:val="24"/>
          <w:lang w:val="en-US" w:eastAsia="zh-CN"/>
        </w:rPr>
        <w:t>Metaphysics</w:t>
      </w:r>
      <w:r w:rsidRPr="00C02F2C">
        <w:rPr>
          <w:rFonts w:ascii="Poor Richard" w:hAnsi="Poor Richard" w:cs="Times New Roman"/>
          <w:sz w:val="24"/>
          <w:szCs w:val="24"/>
          <w:lang w:val="en-US" w:eastAsia="zh-CN"/>
        </w:rPr>
        <w:t xml:space="preserve"> 2 of our intellect in respect to the most intelligible to the eyes of the bat (or the “night bird”) in the light of day.</w:t>
      </w:r>
      <w:r w:rsidRPr="00C02F2C">
        <w:rPr>
          <w:rStyle w:val="FootnoteReference"/>
          <w:rFonts w:ascii="Poor Richard" w:hAnsi="Poor Richard" w:cs="Times New Roman"/>
          <w:sz w:val="24"/>
          <w:szCs w:val="24"/>
          <w:lang w:val="en-US" w:eastAsia="zh-CN"/>
        </w:rPr>
        <w:footnoteReference w:id="86"/>
      </w:r>
      <w:r w:rsidRPr="00C02F2C">
        <w:rPr>
          <w:rFonts w:ascii="Poor Richard" w:hAnsi="Poor Richard" w:cs="Times New Roman"/>
          <w:sz w:val="24"/>
          <w:szCs w:val="24"/>
          <w:lang w:val="en-US" w:eastAsia="zh-CN"/>
        </w:rPr>
        <w:t xml:space="preserve"> Thus, the hiddenness of God results from the weakness of our intellect and from the inadequacy of creatures as media in respect to the most intelligible. This determines their interpretation of Dionysius. Explicating the Dionysian knowing by unknowing, Albert responds to an objection from Augustine that the highest things, including God, are known in the highest way, they are in the soul through its own essence.</w:t>
      </w:r>
      <w:r w:rsidRPr="00C02F2C">
        <w:rPr>
          <w:rStyle w:val="FootnoteReference"/>
          <w:rFonts w:ascii="Poor Richard" w:hAnsi="Poor Richard" w:cs="Times New Roman"/>
          <w:sz w:val="24"/>
          <w:szCs w:val="24"/>
          <w:lang w:val="en-US" w:eastAsia="zh-CN"/>
        </w:rPr>
        <w:footnoteReference w:id="87"/>
      </w:r>
      <w:r w:rsidRPr="00C02F2C">
        <w:rPr>
          <w:rFonts w:ascii="Poor Richard" w:hAnsi="Poor Richard" w:cs="Times New Roman"/>
          <w:sz w:val="24"/>
          <w:szCs w:val="24"/>
          <w:lang w:val="en-US" w:eastAsia="zh-CN"/>
        </w:rPr>
        <w:t xml:space="preserve"> Albert replies that the vision of God:</w:t>
      </w:r>
    </w:p>
    <w:p w:rsidR="000F23BE" w:rsidRPr="00C02F2C" w:rsidRDefault="000F23BE" w:rsidP="009A0733">
      <w:pPr>
        <w:spacing w:after="0" w:line="280" w:lineRule="exact"/>
        <w:contextualSpacing/>
        <w:rPr>
          <w:rFonts w:ascii="Poor Richard" w:hAnsi="Poor Richard" w:cs="Times New Roman"/>
          <w:sz w:val="24"/>
          <w:szCs w:val="24"/>
          <w:lang w:val="en-US" w:eastAsia="zh-CN"/>
        </w:rPr>
      </w:pPr>
    </w:p>
    <w:p w:rsidR="000F23BE" w:rsidRPr="00C02F2C" w:rsidRDefault="000F23BE" w:rsidP="009A0733">
      <w:pPr>
        <w:spacing w:after="0" w:line="280" w:lineRule="exact"/>
        <w:ind w:left="720"/>
        <w:contextualSpacing/>
        <w:rPr>
          <w:rFonts w:ascii="Poor Richard" w:hAnsi="Poor Richard" w:cs="Times New Roman"/>
          <w:sz w:val="24"/>
          <w:szCs w:val="24"/>
          <w:lang w:val="en-US" w:eastAsia="zh-CN"/>
        </w:rPr>
      </w:pPr>
      <w:r w:rsidRPr="00C02F2C">
        <w:rPr>
          <w:rFonts w:ascii="Poor Richard" w:hAnsi="Poor Richard" w:cs="Times New Roman"/>
          <w:sz w:val="24"/>
          <w:szCs w:val="24"/>
          <w:lang w:val="en-US" w:eastAsia="zh-CN"/>
        </w:rPr>
        <w:t xml:space="preserve">has much non-vision because of the object’s eminence, as the Philosopher says. Yet it must be known that Augustine’s saying is false. For in order that something be known … it [must] be </w:t>
      </w:r>
      <w:r w:rsidRPr="00C02F2C">
        <w:rPr>
          <w:rFonts w:ascii="Poor Richard" w:hAnsi="Poor Richard" w:cs="Times New Roman"/>
          <w:sz w:val="24"/>
          <w:szCs w:val="24"/>
          <w:lang w:val="en-US" w:eastAsia="zh-CN"/>
        </w:rPr>
        <w:lastRenderedPageBreak/>
        <w:t>informed by its form and so brought into act … Hence, the Philosopher says that the intellect understands itself as it understands other things.</w:t>
      </w:r>
      <w:r w:rsidRPr="00C02F2C">
        <w:rPr>
          <w:rStyle w:val="FootnoteReference"/>
          <w:rFonts w:ascii="Poor Richard" w:hAnsi="Poor Richard" w:cs="Times New Roman"/>
          <w:sz w:val="24"/>
          <w:szCs w:val="24"/>
          <w:lang w:val="en-US" w:eastAsia="zh-CN"/>
        </w:rPr>
        <w:footnoteReference w:id="88"/>
      </w:r>
    </w:p>
    <w:p w:rsidR="000F23BE" w:rsidRPr="00C02F2C" w:rsidRDefault="000F23BE" w:rsidP="009A0733">
      <w:pPr>
        <w:spacing w:after="0" w:line="280" w:lineRule="exact"/>
        <w:ind w:left="720"/>
        <w:contextualSpacing/>
        <w:rPr>
          <w:rFonts w:ascii="Poor Richard" w:hAnsi="Poor Richard" w:cs="Times New Roman"/>
          <w:sz w:val="24"/>
          <w:szCs w:val="24"/>
          <w:lang w:val="en-US" w:eastAsia="zh-CN"/>
        </w:rPr>
      </w:pPr>
    </w:p>
    <w:p w:rsidR="000F23BE" w:rsidRPr="00C02F2C" w:rsidRDefault="000F23BE" w:rsidP="00BB1906">
      <w:pPr>
        <w:pStyle w:val="ListParagraph"/>
        <w:numPr>
          <w:ilvl w:val="0"/>
          <w:numId w:val="4"/>
        </w:numPr>
        <w:spacing w:after="0" w:line="280" w:lineRule="exact"/>
        <w:jc w:val="center"/>
        <w:rPr>
          <w:rFonts w:ascii="Poor Richard" w:hAnsi="Poor Richard" w:cs="Times New Roman"/>
          <w:sz w:val="24"/>
          <w:szCs w:val="24"/>
        </w:rPr>
      </w:pPr>
      <w:r w:rsidRPr="00C02F2C">
        <w:rPr>
          <w:rFonts w:ascii="Poor Richard" w:hAnsi="Poor Richard" w:cs="Times New Roman"/>
          <w:sz w:val="24"/>
          <w:szCs w:val="24"/>
        </w:rPr>
        <w:t>Dionysius “mostly uses the style and way of speaking which the Platonists employ.”</w:t>
      </w:r>
      <w:r w:rsidRPr="00C02F2C">
        <w:rPr>
          <w:rStyle w:val="FootnoteReference"/>
          <w:rFonts w:ascii="Poor Richard" w:hAnsi="Poor Richard" w:cs="Times New Roman"/>
          <w:sz w:val="24"/>
          <w:szCs w:val="24"/>
        </w:rPr>
        <w:t xml:space="preserve"> </w:t>
      </w:r>
      <w:r w:rsidRPr="00C02F2C">
        <w:rPr>
          <w:rStyle w:val="FootnoteReference"/>
          <w:rFonts w:ascii="Poor Richard" w:hAnsi="Poor Richard" w:cs="Times New Roman"/>
          <w:sz w:val="24"/>
          <w:szCs w:val="24"/>
        </w:rPr>
        <w:footnoteReference w:id="89"/>
      </w:r>
    </w:p>
    <w:p w:rsidR="000F23BE" w:rsidRPr="00C02F2C" w:rsidRDefault="000F23BE" w:rsidP="00BB1906">
      <w:pPr>
        <w:spacing w:after="0" w:line="280" w:lineRule="exact"/>
        <w:contextualSpacing/>
        <w:rPr>
          <w:rFonts w:ascii="Poor Richard" w:hAnsi="Poor Richard" w:cs="Times New Roman"/>
          <w:b/>
          <w:sz w:val="24"/>
          <w:szCs w:val="24"/>
        </w:rPr>
      </w:pPr>
      <w:r w:rsidRPr="00C02F2C">
        <w:rPr>
          <w:rFonts w:ascii="Poor Richard" w:hAnsi="Poor Richard" w:cs="Times New Roman"/>
          <w:sz w:val="24"/>
          <w:szCs w:val="24"/>
        </w:rPr>
        <w:t xml:space="preserve">Sometime after March 1266, when William of Moerbeke had finished his translation of </w:t>
      </w:r>
      <w:proofErr w:type="spellStart"/>
      <w:r w:rsidRPr="00C02F2C">
        <w:rPr>
          <w:rFonts w:ascii="Poor Richard" w:hAnsi="Poor Richard" w:cs="Times New Roman"/>
          <w:sz w:val="24"/>
          <w:szCs w:val="24"/>
        </w:rPr>
        <w:t>Simplicius</w:t>
      </w:r>
      <w:proofErr w:type="spellEnd"/>
      <w:r w:rsidRPr="00C02F2C">
        <w:rPr>
          <w:rFonts w:ascii="Poor Richard" w:hAnsi="Poor Richard" w:cs="Times New Roman"/>
          <w:sz w:val="24"/>
          <w:szCs w:val="24"/>
        </w:rPr>
        <w:t xml:space="preserve"> </w:t>
      </w:r>
      <w:r w:rsidRPr="00C02F2C">
        <w:rPr>
          <w:rFonts w:ascii="Poor Richard" w:hAnsi="Poor Richard" w:cs="Times New Roman"/>
          <w:i/>
          <w:sz w:val="24"/>
          <w:szCs w:val="24"/>
        </w:rPr>
        <w:t>On the Categories of Aristotle</w:t>
      </w:r>
      <w:r w:rsidRPr="00C02F2C">
        <w:rPr>
          <w:rFonts w:ascii="Poor Richard" w:hAnsi="Poor Richard" w:cs="Times New Roman"/>
          <w:sz w:val="24"/>
          <w:szCs w:val="24"/>
        </w:rPr>
        <w:t>,</w:t>
      </w:r>
      <w:r w:rsidRPr="00C02F2C">
        <w:rPr>
          <w:rStyle w:val="FootnoteReference"/>
          <w:rFonts w:ascii="Poor Richard" w:hAnsi="Poor Richard" w:cs="Times New Roman"/>
          <w:sz w:val="24"/>
          <w:szCs w:val="24"/>
        </w:rPr>
        <w:footnoteReference w:id="90"/>
      </w:r>
      <w:r w:rsidRPr="00C02F2C">
        <w:rPr>
          <w:rFonts w:ascii="Poor Richard" w:hAnsi="Poor Richard" w:cs="Times New Roman"/>
          <w:sz w:val="24"/>
          <w:szCs w:val="24"/>
        </w:rPr>
        <w:t xml:space="preserve"> Thomas composed </w:t>
      </w:r>
      <w:r w:rsidRPr="00C02F2C">
        <w:rPr>
          <w:rFonts w:ascii="Poor Richard" w:hAnsi="Poor Richard" w:cs="Times New Roman"/>
          <w:i/>
          <w:sz w:val="24"/>
          <w:szCs w:val="24"/>
        </w:rPr>
        <w:t>In De divinis nominibus</w:t>
      </w:r>
      <w:r w:rsidRPr="00C02F2C">
        <w:rPr>
          <w:rFonts w:ascii="Poor Richard" w:hAnsi="Poor Richard" w:cs="Times New Roman"/>
          <w:sz w:val="24"/>
          <w:szCs w:val="24"/>
        </w:rPr>
        <w:t>. At the same time, he started using Moerbeke’s new translations or revisions of Aristotle’s texts, “the first to use them”, rather than ones with which he and Albert had worked, as well as Moerbeke’s translations of the Greek commentators, some before they were complete.</w:t>
      </w:r>
      <w:r w:rsidRPr="00C02F2C">
        <w:rPr>
          <w:rStyle w:val="FootnoteReference"/>
          <w:rFonts w:ascii="Poor Richard" w:hAnsi="Poor Richard" w:cs="Times New Roman"/>
          <w:sz w:val="24"/>
          <w:szCs w:val="24"/>
        </w:rPr>
        <w:footnoteReference w:id="91"/>
      </w:r>
      <w:r w:rsidRPr="00C02F2C">
        <w:rPr>
          <w:rFonts w:ascii="Poor Richard" w:hAnsi="Poor Richard" w:cs="Times New Roman"/>
          <w:sz w:val="24"/>
          <w:szCs w:val="24"/>
        </w:rPr>
        <w:t xml:space="preserve"> </w:t>
      </w:r>
      <w:proofErr w:type="spellStart"/>
      <w:r w:rsidRPr="00C02F2C">
        <w:rPr>
          <w:rFonts w:ascii="Poor Richard" w:hAnsi="Poor Richard" w:cs="Times New Roman"/>
          <w:sz w:val="24"/>
          <w:szCs w:val="24"/>
        </w:rPr>
        <w:t>Themistius</w:t>
      </w:r>
      <w:proofErr w:type="spellEnd"/>
      <w:r w:rsidRPr="00C02F2C">
        <w:rPr>
          <w:rFonts w:ascii="Poor Richard" w:hAnsi="Poor Richard" w:cs="Times New Roman"/>
          <w:sz w:val="24"/>
          <w:szCs w:val="24"/>
        </w:rPr>
        <w:t xml:space="preserve"> and </w:t>
      </w:r>
      <w:proofErr w:type="spellStart"/>
      <w:r w:rsidRPr="00C02F2C">
        <w:rPr>
          <w:rFonts w:ascii="Poor Richard" w:hAnsi="Poor Richard" w:cs="Times New Roman"/>
          <w:sz w:val="24"/>
          <w:szCs w:val="24"/>
        </w:rPr>
        <w:t>Simplicius</w:t>
      </w:r>
      <w:proofErr w:type="spellEnd"/>
      <w:r w:rsidRPr="00C02F2C">
        <w:rPr>
          <w:rFonts w:ascii="Poor Richard" w:hAnsi="Poor Richard" w:cs="Times New Roman"/>
          <w:sz w:val="24"/>
          <w:szCs w:val="24"/>
        </w:rPr>
        <w:t xml:space="preserve"> show up in another exposition written at this time, his </w:t>
      </w:r>
      <w:proofErr w:type="spellStart"/>
      <w:r w:rsidRPr="00C02F2C">
        <w:rPr>
          <w:rFonts w:ascii="Poor Richard" w:hAnsi="Poor Richard" w:cs="Times New Roman"/>
          <w:i/>
          <w:sz w:val="24"/>
          <w:szCs w:val="24"/>
        </w:rPr>
        <w:t>Sententia</w:t>
      </w:r>
      <w:proofErr w:type="spellEnd"/>
      <w:r w:rsidRPr="00C02F2C">
        <w:rPr>
          <w:rFonts w:ascii="Poor Richard" w:hAnsi="Poor Richard" w:cs="Times New Roman"/>
          <w:i/>
          <w:sz w:val="24"/>
          <w:szCs w:val="24"/>
        </w:rPr>
        <w:t xml:space="preserve"> </w:t>
      </w:r>
      <w:proofErr w:type="spellStart"/>
      <w:r w:rsidRPr="00C02F2C">
        <w:rPr>
          <w:rFonts w:ascii="Poor Richard" w:hAnsi="Poor Richard" w:cs="Times New Roman"/>
          <w:i/>
          <w:sz w:val="24"/>
          <w:szCs w:val="24"/>
        </w:rPr>
        <w:t>libri</w:t>
      </w:r>
      <w:proofErr w:type="spellEnd"/>
      <w:r w:rsidRPr="00C02F2C">
        <w:rPr>
          <w:rFonts w:ascii="Poor Richard" w:hAnsi="Poor Richard" w:cs="Times New Roman"/>
          <w:i/>
          <w:sz w:val="24"/>
          <w:szCs w:val="24"/>
        </w:rPr>
        <w:t xml:space="preserve"> </w:t>
      </w:r>
      <w:r w:rsidRPr="00C02F2C">
        <w:rPr>
          <w:rFonts w:ascii="Poor Richard" w:hAnsi="Poor Richard" w:cs="Times New Roman"/>
          <w:sz w:val="24"/>
          <w:szCs w:val="24"/>
        </w:rPr>
        <w:t>De Anima,</w:t>
      </w:r>
      <w:r w:rsidRPr="00C02F2C">
        <w:rPr>
          <w:rFonts w:ascii="Poor Richard" w:hAnsi="Poor Richard" w:cs="Times New Roman"/>
          <w:i/>
          <w:sz w:val="24"/>
          <w:szCs w:val="24"/>
        </w:rPr>
        <w:t xml:space="preserve"> </w:t>
      </w:r>
      <w:r w:rsidRPr="00C02F2C">
        <w:rPr>
          <w:rFonts w:ascii="Poor Richard" w:hAnsi="Poor Richard" w:cs="Times New Roman"/>
          <w:sz w:val="24"/>
          <w:szCs w:val="24"/>
        </w:rPr>
        <w:t xml:space="preserve">using the </w:t>
      </w:r>
      <w:proofErr w:type="spellStart"/>
      <w:r w:rsidRPr="00C02F2C">
        <w:rPr>
          <w:rFonts w:ascii="Poor Richard" w:hAnsi="Poor Richard" w:cs="Times New Roman"/>
          <w:i/>
          <w:sz w:val="24"/>
          <w:szCs w:val="24"/>
        </w:rPr>
        <w:t>translatio</w:t>
      </w:r>
      <w:proofErr w:type="spellEnd"/>
      <w:r w:rsidRPr="00C02F2C">
        <w:rPr>
          <w:rFonts w:ascii="Poor Richard" w:hAnsi="Poor Richard" w:cs="Times New Roman"/>
          <w:i/>
          <w:sz w:val="24"/>
          <w:szCs w:val="24"/>
        </w:rPr>
        <w:t xml:space="preserve"> nova</w:t>
      </w:r>
      <w:r w:rsidRPr="00C02F2C">
        <w:rPr>
          <w:rFonts w:ascii="Poor Richard" w:hAnsi="Poor Richard" w:cs="Times New Roman"/>
          <w:sz w:val="24"/>
          <w:szCs w:val="24"/>
        </w:rPr>
        <w:t xml:space="preserve">. </w:t>
      </w:r>
      <w:r w:rsidRPr="00C02F2C">
        <w:rPr>
          <w:rFonts w:ascii="Poor Richard" w:hAnsi="Poor Richard" w:cs="Times New Roman"/>
          <w:i/>
          <w:sz w:val="24"/>
          <w:szCs w:val="24"/>
        </w:rPr>
        <w:t>In De divinis nominibus</w:t>
      </w:r>
      <w:r w:rsidRPr="00C02F2C">
        <w:rPr>
          <w:rFonts w:ascii="Poor Richard" w:hAnsi="Poor Richard" w:cs="Times New Roman"/>
          <w:sz w:val="24"/>
          <w:szCs w:val="24"/>
        </w:rPr>
        <w:t xml:space="preserve"> employs the new translation and the </w:t>
      </w:r>
      <w:proofErr w:type="spellStart"/>
      <w:r w:rsidRPr="00C02F2C">
        <w:rPr>
          <w:rFonts w:ascii="Poor Richard" w:hAnsi="Poor Richard" w:cs="Times New Roman"/>
          <w:sz w:val="24"/>
          <w:szCs w:val="24"/>
        </w:rPr>
        <w:t>Simplicius</w:t>
      </w:r>
      <w:proofErr w:type="spellEnd"/>
      <w:r w:rsidRPr="00C02F2C">
        <w:rPr>
          <w:rFonts w:ascii="Poor Richard" w:hAnsi="Poor Richard" w:cs="Times New Roman"/>
          <w:sz w:val="24"/>
          <w:szCs w:val="24"/>
        </w:rPr>
        <w:t xml:space="preserve"> commentary, with its comparison of Platonic and Aristotelian approaches, and defence of the former against the unjustified attacks of Aristotle and the Peripatetics.</w:t>
      </w:r>
      <w:r w:rsidRPr="00C02F2C">
        <w:rPr>
          <w:rFonts w:ascii="Poor Richard" w:hAnsi="Poor Richard" w:cs="Times New Roman"/>
          <w:i/>
          <w:sz w:val="24"/>
          <w:szCs w:val="24"/>
        </w:rPr>
        <w:t xml:space="preserve"> </w:t>
      </w:r>
      <w:r w:rsidRPr="00C02F2C">
        <w:rPr>
          <w:rFonts w:ascii="Poor Richard" w:hAnsi="Poor Richard" w:cs="Times New Roman"/>
          <w:sz w:val="24"/>
          <w:szCs w:val="24"/>
        </w:rPr>
        <w:t xml:space="preserve">Along with these additions to his resources, came changes. Beginning his </w:t>
      </w:r>
      <w:r w:rsidRPr="00C02F2C">
        <w:rPr>
          <w:rFonts w:ascii="Poor Richard" w:hAnsi="Poor Richard" w:cs="Times New Roman"/>
          <w:i/>
          <w:sz w:val="24"/>
          <w:szCs w:val="24"/>
        </w:rPr>
        <w:t>Summa theologiae</w:t>
      </w:r>
      <w:r w:rsidRPr="00C02F2C">
        <w:rPr>
          <w:rFonts w:ascii="Poor Richard" w:hAnsi="Poor Richard" w:cs="Times New Roman"/>
          <w:sz w:val="24"/>
          <w:szCs w:val="24"/>
        </w:rPr>
        <w:t xml:space="preserve"> at this time, Thomas ordered it in a way radically different from the structures in which his theology had been forced to fit. Essentials of his new ordering “as the material demands,”</w:t>
      </w:r>
      <w:r w:rsidRPr="00C02F2C">
        <w:rPr>
          <w:rFonts w:ascii="Poor Richard" w:hAnsi="Poor Richard" w:cs="Times New Roman"/>
          <w:sz w:val="24"/>
          <w:szCs w:val="24"/>
          <w:vertAlign w:val="superscript"/>
          <w:lang w:val="fr-CA"/>
        </w:rPr>
        <w:footnoteReference w:id="92"/>
      </w:r>
      <w:r w:rsidRPr="00C02F2C">
        <w:rPr>
          <w:rFonts w:ascii="Poor Richard" w:hAnsi="Poor Richard" w:cs="Times New Roman"/>
          <w:sz w:val="24"/>
          <w:szCs w:val="24"/>
        </w:rPr>
        <w:t xml:space="preserve"> he found in Dionysius.</w:t>
      </w:r>
    </w:p>
    <w:p w:rsidR="000F23BE" w:rsidRPr="00C02F2C" w:rsidRDefault="000F23BE" w:rsidP="006402BB">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The synonymous Sacred Theology, Sacred Doctrine, Sacred Scripture begin, as Dionysius teaches, “</w:t>
      </w:r>
      <w:proofErr w:type="spellStart"/>
      <w:r w:rsidRPr="00C02F2C">
        <w:rPr>
          <w:rFonts w:ascii="Poor Richard" w:hAnsi="Poor Richard" w:cs="Times New Roman"/>
          <w:sz w:val="24"/>
          <w:szCs w:val="24"/>
        </w:rPr>
        <w:t>Lumine</w:t>
      </w:r>
      <w:proofErr w:type="spellEnd"/>
      <w:r w:rsidRPr="00C02F2C">
        <w:rPr>
          <w:rFonts w:ascii="Poor Richard" w:hAnsi="Poor Richard" w:cs="Times New Roman"/>
          <w:sz w:val="24"/>
          <w:szCs w:val="24"/>
        </w:rPr>
        <w:t xml:space="preserve"> </w:t>
      </w:r>
      <w:proofErr w:type="spellStart"/>
      <w:r w:rsidRPr="00C02F2C">
        <w:rPr>
          <w:rFonts w:ascii="Poor Richard" w:hAnsi="Poor Richard" w:cs="Times New Roman"/>
          <w:sz w:val="24"/>
          <w:szCs w:val="24"/>
        </w:rPr>
        <w:t>divinae</w:t>
      </w:r>
      <w:proofErr w:type="spellEnd"/>
      <w:r w:rsidRPr="00C02F2C">
        <w:rPr>
          <w:rFonts w:ascii="Poor Richard" w:hAnsi="Poor Richard" w:cs="Times New Roman"/>
          <w:sz w:val="24"/>
          <w:szCs w:val="24"/>
        </w:rPr>
        <w:t xml:space="preserve"> </w:t>
      </w:r>
      <w:proofErr w:type="spellStart"/>
      <w:r w:rsidRPr="00C02F2C">
        <w:rPr>
          <w:rFonts w:ascii="Poor Richard" w:hAnsi="Poor Richard" w:cs="Times New Roman"/>
          <w:sz w:val="24"/>
          <w:szCs w:val="24"/>
        </w:rPr>
        <w:t>revelationis</w:t>
      </w:r>
      <w:proofErr w:type="spellEnd"/>
      <w:r w:rsidRPr="00C02F2C">
        <w:rPr>
          <w:rFonts w:ascii="Poor Richard" w:hAnsi="Poor Richard" w:cs="Times New Roman"/>
          <w:sz w:val="24"/>
          <w:szCs w:val="24"/>
        </w:rPr>
        <w:t>”, i.e. from God’s theology.</w:t>
      </w:r>
      <w:r w:rsidRPr="00C02F2C">
        <w:rPr>
          <w:rStyle w:val="FootnoteReference"/>
          <w:rFonts w:ascii="Poor Richard" w:hAnsi="Poor Richard" w:cs="Times New Roman"/>
          <w:sz w:val="24"/>
          <w:szCs w:val="24"/>
          <w:lang w:val="fr-CA"/>
        </w:rPr>
        <w:footnoteReference w:id="93"/>
      </w:r>
      <w:r w:rsidRPr="00C02F2C">
        <w:rPr>
          <w:rFonts w:ascii="Poor Richard" w:hAnsi="Poor Richard" w:cs="Times New Roman"/>
          <w:sz w:val="24"/>
          <w:szCs w:val="24"/>
        </w:rPr>
        <w:t xml:space="preserve"> “Scripture’s </w:t>
      </w:r>
      <w:r w:rsidRPr="00C02F2C">
        <w:rPr>
          <w:rFonts w:ascii="Poor Richard" w:hAnsi="Poor Richard" w:cs="Times New Roman"/>
          <w:i/>
          <w:sz w:val="24"/>
          <w:szCs w:val="24"/>
        </w:rPr>
        <w:t>raison d’être</w:t>
      </w:r>
      <w:r w:rsidRPr="00C02F2C">
        <w:rPr>
          <w:rFonts w:ascii="Poor Richard" w:hAnsi="Poor Richard" w:cs="Times New Roman"/>
          <w:sz w:val="24"/>
          <w:szCs w:val="24"/>
        </w:rPr>
        <w:t xml:space="preserve"> is positive knowledge of God that moves towards final beatitude”;</w:t>
      </w:r>
      <w:r w:rsidRPr="00C02F2C">
        <w:rPr>
          <w:rStyle w:val="FootnoteReference"/>
          <w:rFonts w:ascii="Poor Richard" w:hAnsi="Poor Richard" w:cs="Times New Roman"/>
          <w:sz w:val="24"/>
          <w:szCs w:val="24"/>
        </w:rPr>
        <w:footnoteReference w:id="94"/>
      </w:r>
      <w:r w:rsidRPr="00C02F2C">
        <w:rPr>
          <w:rFonts w:ascii="Poor Richard" w:hAnsi="Poor Richard" w:cs="Times New Roman"/>
          <w:sz w:val="24"/>
          <w:szCs w:val="24"/>
        </w:rPr>
        <w:t xml:space="preserve"> knowledge is both means and end, and, contra Albert, theology is a theoretical science. The first articles of the </w:t>
      </w:r>
      <w:r w:rsidRPr="00C02F2C">
        <w:rPr>
          <w:rFonts w:ascii="Poor Richard" w:hAnsi="Poor Richard" w:cs="Times New Roman"/>
          <w:i/>
          <w:sz w:val="24"/>
          <w:szCs w:val="24"/>
        </w:rPr>
        <w:t>Summa theologiae</w:t>
      </w:r>
      <w:r w:rsidRPr="00C02F2C">
        <w:rPr>
          <w:rFonts w:ascii="Poor Richard" w:hAnsi="Poor Richard" w:cs="Times New Roman"/>
          <w:sz w:val="24"/>
          <w:szCs w:val="24"/>
        </w:rPr>
        <w:t>,</w:t>
      </w:r>
      <w:r w:rsidRPr="00C02F2C">
        <w:rPr>
          <w:rStyle w:val="FootnoteReference"/>
          <w:rFonts w:ascii="Poor Richard" w:hAnsi="Poor Richard" w:cs="Times New Roman"/>
          <w:sz w:val="24"/>
          <w:szCs w:val="24"/>
        </w:rPr>
        <w:footnoteReference w:id="95"/>
      </w:r>
      <w:r w:rsidRPr="00C02F2C">
        <w:rPr>
          <w:rFonts w:ascii="Poor Richard" w:hAnsi="Poor Richard" w:cs="Times New Roman"/>
          <w:sz w:val="24"/>
          <w:szCs w:val="24"/>
        </w:rPr>
        <w:t xml:space="preserve"> deciding this, also determine Thomas’ interpretation of Dionysius, just as Dionysius determines its structure and character.  </w:t>
      </w:r>
    </w:p>
    <w:p w:rsidR="000F23BE" w:rsidRPr="00C02F2C" w:rsidRDefault="000F23BE" w:rsidP="006402BB">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Overall, and in many of its divisions, this </w:t>
      </w:r>
      <w:r w:rsidRPr="00C02F2C">
        <w:rPr>
          <w:rFonts w:ascii="Poor Richard" w:hAnsi="Poor Richard" w:cs="Times New Roman"/>
          <w:i/>
          <w:sz w:val="24"/>
          <w:szCs w:val="24"/>
        </w:rPr>
        <w:t xml:space="preserve">Summa </w:t>
      </w:r>
      <w:r w:rsidRPr="00C02F2C">
        <w:rPr>
          <w:rFonts w:ascii="Poor Richard" w:hAnsi="Poor Richard" w:cs="Times New Roman"/>
          <w:sz w:val="24"/>
          <w:szCs w:val="24"/>
        </w:rPr>
        <w:t>has the</w:t>
      </w:r>
      <w:r w:rsidRPr="00C02F2C">
        <w:rPr>
          <w:rFonts w:ascii="Poor Richard" w:eastAsia="Calibri" w:hAnsi="Poor Richard" w:cs="Times New Roman"/>
          <w:bCs/>
          <w:sz w:val="24"/>
          <w:szCs w:val="24"/>
        </w:rPr>
        <w:t xml:space="preserve"> </w:t>
      </w:r>
      <w:r w:rsidRPr="00C02F2C">
        <w:rPr>
          <w:rFonts w:ascii="Poor Richard" w:hAnsi="Poor Richard" w:cs="Times New Roman"/>
          <w:bCs/>
          <w:i/>
          <w:sz w:val="24"/>
          <w:szCs w:val="24"/>
        </w:rPr>
        <w:t xml:space="preserve">remaining </w:t>
      </w:r>
      <w:r w:rsidRPr="00C02F2C">
        <w:rPr>
          <w:rFonts w:ascii="Poor Richard" w:hAnsi="Poor Richard" w:cs="Times New Roman"/>
          <w:bCs/>
          <w:sz w:val="24"/>
          <w:szCs w:val="24"/>
        </w:rPr>
        <w:t>(</w:t>
      </w:r>
      <w:r w:rsidRPr="00C02F2C">
        <w:rPr>
          <w:rFonts w:ascii="Poor Richard" w:hAnsi="Poor Richard" w:cs="Times New Roman"/>
          <w:sz w:val="24"/>
          <w:szCs w:val="24"/>
        </w:rPr>
        <w:t>“i</w:t>
      </w:r>
      <w:r w:rsidRPr="00C02F2C">
        <w:rPr>
          <w:rFonts w:ascii="Poor Richard" w:hAnsi="Poor Richard" w:cs="Times New Roman"/>
          <w:bCs/>
          <w:iCs/>
          <w:sz w:val="24"/>
          <w:szCs w:val="24"/>
        </w:rPr>
        <w:t xml:space="preserve">n </w:t>
      </w:r>
      <w:proofErr w:type="spellStart"/>
      <w:r w:rsidRPr="00C02F2C">
        <w:rPr>
          <w:rFonts w:ascii="Poor Richard" w:hAnsi="Poor Richard" w:cs="Times New Roman"/>
          <w:bCs/>
          <w:iCs/>
          <w:sz w:val="24"/>
          <w:szCs w:val="24"/>
        </w:rPr>
        <w:t>Deo</w:t>
      </w:r>
      <w:proofErr w:type="spellEnd"/>
      <w:r w:rsidRPr="00C02F2C">
        <w:rPr>
          <w:rFonts w:ascii="Poor Richard" w:hAnsi="Poor Richard" w:cs="Times New Roman"/>
          <w:bCs/>
          <w:iCs/>
          <w:sz w:val="24"/>
          <w:szCs w:val="24"/>
        </w:rPr>
        <w:t xml:space="preserve"> </w:t>
      </w:r>
      <w:proofErr w:type="spellStart"/>
      <w:r w:rsidRPr="00C02F2C">
        <w:rPr>
          <w:rFonts w:ascii="Poor Richard" w:hAnsi="Poor Richard" w:cs="Times New Roman"/>
          <w:bCs/>
          <w:iCs/>
          <w:sz w:val="24"/>
          <w:szCs w:val="24"/>
        </w:rPr>
        <w:t>continentur</w:t>
      </w:r>
      <w:proofErr w:type="spellEnd"/>
      <w:r w:rsidRPr="00C02F2C">
        <w:rPr>
          <w:rFonts w:ascii="Poor Richard" w:hAnsi="Poor Richard" w:cs="Times New Roman"/>
          <w:bCs/>
          <w:iCs/>
          <w:sz w:val="24"/>
          <w:szCs w:val="24"/>
        </w:rPr>
        <w:t xml:space="preserve"> </w:t>
      </w:r>
      <w:proofErr w:type="spellStart"/>
      <w:r w:rsidRPr="00C02F2C">
        <w:rPr>
          <w:rFonts w:ascii="Poor Richard" w:hAnsi="Poor Richard" w:cs="Times New Roman"/>
          <w:bCs/>
          <w:iCs/>
          <w:sz w:val="24"/>
          <w:szCs w:val="24"/>
        </w:rPr>
        <w:t>omnia</w:t>
      </w:r>
      <w:proofErr w:type="spellEnd"/>
      <w:r w:rsidRPr="00C02F2C">
        <w:rPr>
          <w:rFonts w:ascii="Poor Richard" w:hAnsi="Poor Richard" w:cs="Times New Roman"/>
          <w:sz w:val="24"/>
          <w:szCs w:val="24"/>
        </w:rPr>
        <w:t>”</w:t>
      </w:r>
      <w:r w:rsidRPr="00C02F2C">
        <w:rPr>
          <w:rFonts w:ascii="Poor Richard" w:hAnsi="Poor Richard" w:cs="Times New Roman"/>
          <w:bCs/>
          <w:sz w:val="24"/>
          <w:szCs w:val="24"/>
        </w:rPr>
        <w:t xml:space="preserve">), going-out </w:t>
      </w:r>
      <w:r w:rsidRPr="00C02F2C">
        <w:rPr>
          <w:rFonts w:ascii="Poor Richard" w:hAnsi="Poor Richard" w:cs="Times New Roman"/>
          <w:bCs/>
          <w:iCs/>
          <w:sz w:val="24"/>
          <w:szCs w:val="24"/>
        </w:rPr>
        <w:t>(</w:t>
      </w:r>
      <w:proofErr w:type="spellStart"/>
      <w:r w:rsidRPr="00C02F2C">
        <w:rPr>
          <w:rFonts w:ascii="Poor Richard" w:hAnsi="Poor Richard" w:cs="Times New Roman"/>
          <w:bCs/>
          <w:i/>
          <w:iCs/>
          <w:sz w:val="24"/>
          <w:szCs w:val="24"/>
        </w:rPr>
        <w:t>exitus</w:t>
      </w:r>
      <w:proofErr w:type="spellEnd"/>
      <w:r w:rsidRPr="00C02F2C">
        <w:rPr>
          <w:rFonts w:ascii="Poor Richard" w:hAnsi="Poor Richard" w:cs="Times New Roman"/>
          <w:bCs/>
          <w:sz w:val="24"/>
          <w:szCs w:val="24"/>
        </w:rPr>
        <w:t>), return (</w:t>
      </w:r>
      <w:proofErr w:type="spellStart"/>
      <w:r w:rsidRPr="00C02F2C">
        <w:rPr>
          <w:rFonts w:ascii="Poor Richard" w:hAnsi="Poor Richard" w:cs="Times New Roman"/>
          <w:bCs/>
          <w:i/>
          <w:iCs/>
          <w:sz w:val="24"/>
          <w:szCs w:val="24"/>
        </w:rPr>
        <w:t>reditus</w:t>
      </w:r>
      <w:proofErr w:type="spellEnd"/>
      <w:r w:rsidRPr="00C02F2C">
        <w:rPr>
          <w:rFonts w:ascii="Poor Richard" w:hAnsi="Poor Richard" w:cs="Times New Roman"/>
          <w:sz w:val="24"/>
          <w:szCs w:val="24"/>
        </w:rPr>
        <w:t>,</w:t>
      </w:r>
      <w:r w:rsidRPr="00C02F2C">
        <w:rPr>
          <w:rFonts w:ascii="Poor Richard" w:hAnsi="Poor Richard" w:cs="Times New Roman"/>
          <w:bCs/>
          <w:iCs/>
          <w:sz w:val="24"/>
          <w:szCs w:val="24"/>
        </w:rPr>
        <w:t xml:space="preserve"> </w:t>
      </w:r>
      <w:r w:rsidRPr="00C02F2C">
        <w:rPr>
          <w:rFonts w:ascii="Poor Richard" w:hAnsi="Poor Richard" w:cs="Times New Roman"/>
          <w:sz w:val="24"/>
          <w:szCs w:val="24"/>
        </w:rPr>
        <w:t>“</w:t>
      </w:r>
      <w:r w:rsidRPr="00C02F2C">
        <w:rPr>
          <w:rFonts w:ascii="Poor Richard" w:hAnsi="Poor Richard" w:cs="Times New Roman"/>
          <w:bCs/>
          <w:iCs/>
          <w:sz w:val="24"/>
          <w:szCs w:val="24"/>
        </w:rPr>
        <w:t xml:space="preserve">ad Deum </w:t>
      </w:r>
      <w:proofErr w:type="spellStart"/>
      <w:r w:rsidRPr="00C02F2C">
        <w:rPr>
          <w:rFonts w:ascii="Poor Richard" w:hAnsi="Poor Richard" w:cs="Times New Roman"/>
          <w:bCs/>
          <w:iCs/>
          <w:sz w:val="24"/>
          <w:szCs w:val="24"/>
        </w:rPr>
        <w:t>convertuntur</w:t>
      </w:r>
      <w:proofErr w:type="spellEnd"/>
      <w:r w:rsidRPr="00C02F2C">
        <w:rPr>
          <w:rFonts w:ascii="Poor Richard" w:hAnsi="Poor Richard" w:cs="Times New Roman"/>
          <w:bCs/>
          <w:iCs/>
          <w:sz w:val="24"/>
          <w:szCs w:val="24"/>
        </w:rPr>
        <w:t xml:space="preserve"> </w:t>
      </w:r>
      <w:proofErr w:type="spellStart"/>
      <w:r w:rsidRPr="00C02F2C">
        <w:rPr>
          <w:rFonts w:ascii="Poor Richard" w:hAnsi="Poor Richard" w:cs="Times New Roman"/>
          <w:bCs/>
          <w:iCs/>
          <w:sz w:val="24"/>
          <w:szCs w:val="24"/>
        </w:rPr>
        <w:t>omnia</w:t>
      </w:r>
      <w:proofErr w:type="spellEnd"/>
      <w:r w:rsidRPr="00C02F2C">
        <w:rPr>
          <w:rFonts w:ascii="Poor Richard" w:hAnsi="Poor Richard" w:cs="Times New Roman"/>
          <w:sz w:val="24"/>
          <w:szCs w:val="24"/>
        </w:rPr>
        <w:t>”</w:t>
      </w:r>
      <w:r w:rsidRPr="00C02F2C">
        <w:rPr>
          <w:rFonts w:ascii="Poor Richard" w:hAnsi="Poor Richard" w:cs="Times New Roman"/>
          <w:sz w:val="24"/>
          <w:szCs w:val="24"/>
          <w:vertAlign w:val="superscript"/>
        </w:rPr>
        <w:t xml:space="preserve"> </w:t>
      </w:r>
      <w:r w:rsidRPr="00C02F2C">
        <w:rPr>
          <w:rFonts w:ascii="Poor Richard" w:hAnsi="Poor Richard" w:cs="Times New Roman"/>
          <w:sz w:val="24"/>
          <w:szCs w:val="24"/>
          <w:vertAlign w:val="superscript"/>
        </w:rPr>
        <w:footnoteReference w:id="96"/>
      </w:r>
      <w:r w:rsidRPr="00C02F2C">
        <w:rPr>
          <w:rFonts w:ascii="Poor Richard" w:hAnsi="Poor Richard" w:cs="Times New Roman"/>
          <w:bCs/>
          <w:sz w:val="24"/>
          <w:szCs w:val="24"/>
        </w:rPr>
        <w:t>)</w:t>
      </w:r>
      <w:r w:rsidRPr="00C02F2C">
        <w:rPr>
          <w:rFonts w:ascii="Poor Richard" w:hAnsi="Poor Richard" w:cs="Times New Roman"/>
          <w:sz w:val="24"/>
          <w:szCs w:val="24"/>
        </w:rPr>
        <w:t xml:space="preserve"> form of the </w:t>
      </w:r>
      <w:r w:rsidRPr="00C02F2C">
        <w:rPr>
          <w:rFonts w:ascii="Poor Richard" w:hAnsi="Poor Richard" w:cs="Times New Roman"/>
          <w:i/>
          <w:sz w:val="24"/>
          <w:szCs w:val="24"/>
        </w:rPr>
        <w:t>Dionysian corpus</w:t>
      </w:r>
      <w:r w:rsidRPr="00C02F2C">
        <w:rPr>
          <w:rFonts w:ascii="Poor Richard" w:hAnsi="Poor Richard" w:cs="Times New Roman"/>
          <w:sz w:val="24"/>
          <w:szCs w:val="24"/>
        </w:rPr>
        <w:t xml:space="preserve"> as Albert explained it in his </w:t>
      </w:r>
      <w:r w:rsidRPr="00C02F2C">
        <w:rPr>
          <w:rFonts w:ascii="Poor Richard" w:hAnsi="Poor Richard" w:cs="Times New Roman"/>
          <w:i/>
          <w:sz w:val="24"/>
          <w:szCs w:val="24"/>
        </w:rPr>
        <w:t>Super De divinis nominibus</w:t>
      </w:r>
      <w:r w:rsidRPr="00C02F2C">
        <w:rPr>
          <w:rFonts w:ascii="Poor Richard" w:hAnsi="Poor Richard" w:cs="Times New Roman"/>
          <w:sz w:val="24"/>
          <w:szCs w:val="24"/>
        </w:rPr>
        <w:t xml:space="preserve">. The </w:t>
      </w:r>
      <w:r w:rsidRPr="00C02F2C">
        <w:rPr>
          <w:rFonts w:ascii="Poor Richard" w:hAnsi="Poor Richard" w:cs="Times New Roman"/>
          <w:i/>
          <w:sz w:val="24"/>
          <w:szCs w:val="24"/>
        </w:rPr>
        <w:t>Divine Names</w:t>
      </w:r>
      <w:r w:rsidRPr="00C02F2C">
        <w:rPr>
          <w:rFonts w:ascii="Poor Richard" w:hAnsi="Poor Richard" w:cs="Times New Roman"/>
          <w:sz w:val="24"/>
          <w:szCs w:val="24"/>
        </w:rPr>
        <w:t xml:space="preserve"> looks at God “according to the outflow of caused things from the cause”; the </w:t>
      </w:r>
      <w:r w:rsidRPr="00C02F2C">
        <w:rPr>
          <w:rFonts w:ascii="Poor Richard" w:hAnsi="Poor Richard" w:cs="Times New Roman"/>
          <w:i/>
          <w:sz w:val="24"/>
          <w:szCs w:val="24"/>
        </w:rPr>
        <w:t>Mystical Theology</w:t>
      </w:r>
      <w:r w:rsidRPr="00C02F2C">
        <w:rPr>
          <w:rFonts w:ascii="Poor Richard" w:hAnsi="Poor Richard" w:cs="Times New Roman"/>
          <w:sz w:val="24"/>
          <w:szCs w:val="24"/>
        </w:rPr>
        <w:t>’s perspective is “the resolution of caused things into the cause.”</w:t>
      </w:r>
      <w:r w:rsidRPr="00C02F2C">
        <w:rPr>
          <w:rStyle w:val="FootnoteReference"/>
          <w:rFonts w:ascii="Poor Richard" w:hAnsi="Poor Richard" w:cs="Times New Roman"/>
          <w:sz w:val="24"/>
          <w:szCs w:val="24"/>
        </w:rPr>
        <w:footnoteReference w:id="97"/>
      </w:r>
      <w:r w:rsidRPr="00C02F2C">
        <w:rPr>
          <w:rFonts w:ascii="Poor Richard" w:hAnsi="Poor Richard" w:cs="Times New Roman"/>
          <w:sz w:val="24"/>
          <w:szCs w:val="24"/>
        </w:rPr>
        <w:t xml:space="preserve">  Aquinas’ </w:t>
      </w:r>
      <w:r w:rsidRPr="00C02F2C">
        <w:rPr>
          <w:rFonts w:ascii="Poor Richard" w:hAnsi="Poor Richard" w:cs="Times New Roman"/>
          <w:i/>
          <w:sz w:val="24"/>
          <w:szCs w:val="24"/>
        </w:rPr>
        <w:t xml:space="preserve">de </w:t>
      </w:r>
      <w:proofErr w:type="spellStart"/>
      <w:r w:rsidRPr="00C02F2C">
        <w:rPr>
          <w:rFonts w:ascii="Poor Richard" w:hAnsi="Poor Richard" w:cs="Times New Roman"/>
          <w:i/>
          <w:sz w:val="24"/>
          <w:szCs w:val="24"/>
        </w:rPr>
        <w:t>deo</w:t>
      </w:r>
      <w:proofErr w:type="spellEnd"/>
      <w:r w:rsidRPr="00C02F2C">
        <w:rPr>
          <w:rFonts w:ascii="Poor Richard" w:hAnsi="Poor Richard" w:cs="Times New Roman"/>
          <w:sz w:val="24"/>
          <w:szCs w:val="24"/>
        </w:rPr>
        <w:t xml:space="preserve"> begins with the Dionysian names of the divine substance,</w:t>
      </w:r>
      <w:r w:rsidRPr="00C02F2C">
        <w:rPr>
          <w:rStyle w:val="FootnoteReference"/>
          <w:rFonts w:ascii="Poor Richard" w:hAnsi="Poor Richard" w:cs="Times New Roman"/>
          <w:sz w:val="24"/>
          <w:szCs w:val="24"/>
        </w:rPr>
        <w:footnoteReference w:id="98"/>
      </w:r>
      <w:r w:rsidRPr="00C02F2C">
        <w:rPr>
          <w:rFonts w:ascii="Poor Richard" w:hAnsi="Poor Richard" w:cs="Times New Roman"/>
          <w:sz w:val="24"/>
          <w:szCs w:val="24"/>
        </w:rPr>
        <w:t xml:space="preserve"> arranged in the </w:t>
      </w:r>
      <w:proofErr w:type="spellStart"/>
      <w:r w:rsidRPr="00C02F2C">
        <w:rPr>
          <w:rFonts w:ascii="Poor Richard" w:hAnsi="Poor Richard" w:cs="Times New Roman"/>
          <w:i/>
          <w:sz w:val="24"/>
          <w:szCs w:val="24"/>
        </w:rPr>
        <w:t>exitus</w:t>
      </w:r>
      <w:proofErr w:type="spellEnd"/>
      <w:r w:rsidRPr="00C02F2C">
        <w:rPr>
          <w:rFonts w:ascii="Poor Richard" w:hAnsi="Poor Richard" w:cs="Times New Roman"/>
          <w:i/>
          <w:sz w:val="24"/>
          <w:szCs w:val="24"/>
        </w:rPr>
        <w:t xml:space="preserve">- </w:t>
      </w:r>
      <w:proofErr w:type="spellStart"/>
      <w:r w:rsidRPr="00C02F2C">
        <w:rPr>
          <w:rFonts w:ascii="Poor Richard" w:hAnsi="Poor Richard" w:cs="Times New Roman"/>
          <w:i/>
          <w:sz w:val="24"/>
          <w:szCs w:val="24"/>
        </w:rPr>
        <w:t>reditus</w:t>
      </w:r>
      <w:proofErr w:type="spellEnd"/>
      <w:r w:rsidRPr="00C02F2C">
        <w:rPr>
          <w:rFonts w:ascii="Poor Richard" w:hAnsi="Poor Richard" w:cs="Times New Roman"/>
          <w:i/>
          <w:sz w:val="24"/>
          <w:szCs w:val="24"/>
        </w:rPr>
        <w:t xml:space="preserve"> </w:t>
      </w:r>
      <w:r w:rsidRPr="00C02F2C">
        <w:rPr>
          <w:rFonts w:ascii="Poor Richard" w:hAnsi="Poor Richard" w:cs="Times New Roman"/>
          <w:sz w:val="24"/>
          <w:szCs w:val="24"/>
        </w:rPr>
        <w:t xml:space="preserve">circular structure of the </w:t>
      </w:r>
      <w:r w:rsidRPr="00C02F2C">
        <w:rPr>
          <w:rFonts w:ascii="Poor Richard" w:hAnsi="Poor Richard" w:cs="Times New Roman"/>
          <w:i/>
          <w:sz w:val="24"/>
          <w:szCs w:val="24"/>
        </w:rPr>
        <w:t>Divine Names</w:t>
      </w:r>
      <w:r w:rsidRPr="00C02F2C">
        <w:rPr>
          <w:rFonts w:ascii="Poor Richard" w:hAnsi="Poor Richard" w:cs="Times New Roman"/>
          <w:sz w:val="24"/>
          <w:szCs w:val="24"/>
        </w:rPr>
        <w:t>.</w:t>
      </w:r>
    </w:p>
    <w:p w:rsidR="000F23BE" w:rsidRPr="00C02F2C" w:rsidRDefault="000F23BE" w:rsidP="006402BB">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Imitating this, and in accord with two principles in it, Thomas starts his treatise on God’s names with the divine simplicity and returns to that under the form of unity. Aquinas and Dionysius begin with the simple monad in a way which accords with a Proclean principle Thomas states </w:t>
      </w:r>
      <w:r w:rsidRPr="00C02F2C">
        <w:rPr>
          <w:rFonts w:ascii="Poor Richard" w:hAnsi="Poor Richard" w:cs="Times New Roman"/>
          <w:i/>
          <w:sz w:val="24"/>
          <w:szCs w:val="24"/>
        </w:rPr>
        <w:t>In De divinis nominibus</w:t>
      </w:r>
      <w:r w:rsidRPr="00C02F2C">
        <w:rPr>
          <w:rFonts w:ascii="Poor Richard" w:hAnsi="Poor Richard" w:cs="Times New Roman"/>
          <w:sz w:val="24"/>
          <w:szCs w:val="24"/>
        </w:rPr>
        <w:t>: “unity has the nature of principle.</w:t>
      </w:r>
      <w:r w:rsidRPr="00C02F2C">
        <w:rPr>
          <w:rFonts w:ascii="Poor Richard" w:hAnsi="Poor Richard" w:cs="Times New Roman"/>
          <w:i/>
          <w:sz w:val="24"/>
          <w:szCs w:val="24"/>
        </w:rPr>
        <w:t>”</w:t>
      </w:r>
      <w:r w:rsidRPr="00C02F2C">
        <w:rPr>
          <w:rFonts w:ascii="Poor Richard" w:hAnsi="Poor Richard" w:cs="Times New Roman"/>
          <w:sz w:val="24"/>
          <w:szCs w:val="24"/>
          <w:vertAlign w:val="superscript"/>
        </w:rPr>
        <w:footnoteReference w:id="99"/>
      </w:r>
      <w:r w:rsidRPr="00C02F2C">
        <w:rPr>
          <w:rFonts w:ascii="Poor Richard" w:hAnsi="Poor Richard" w:cs="Times New Roman"/>
          <w:sz w:val="24"/>
          <w:szCs w:val="24"/>
        </w:rPr>
        <w:t xml:space="preserve"> The names return to unity as the inclusive perfection at which the </w:t>
      </w:r>
      <w:r w:rsidRPr="00C02F2C">
        <w:rPr>
          <w:rFonts w:ascii="Poor Richard" w:hAnsi="Poor Richard" w:cs="Times New Roman"/>
          <w:sz w:val="24"/>
          <w:szCs w:val="24"/>
        </w:rPr>
        <w:lastRenderedPageBreak/>
        <w:t>conversion of the divine simplicity upon itself arrives.</w:t>
      </w:r>
      <w:r w:rsidRPr="00C02F2C">
        <w:rPr>
          <w:rStyle w:val="FootnoteReference"/>
          <w:rFonts w:ascii="Poor Richard" w:hAnsi="Poor Richard" w:cs="Times New Roman"/>
          <w:sz w:val="24"/>
          <w:szCs w:val="24"/>
        </w:rPr>
        <w:footnoteReference w:id="100"/>
      </w:r>
      <w:r w:rsidRPr="00C02F2C">
        <w:rPr>
          <w:rFonts w:ascii="Poor Richard" w:hAnsi="Poor Richard" w:cs="Times New Roman"/>
          <w:sz w:val="24"/>
          <w:szCs w:val="24"/>
        </w:rPr>
        <w:t xml:space="preserve"> Aquinas orders his consideration of God in Himself by the </w:t>
      </w:r>
      <w:r w:rsidRPr="00C02F2C">
        <w:rPr>
          <w:rFonts w:ascii="Poor Richard" w:hAnsi="Poor Richard" w:cs="Times New Roman"/>
          <w:i/>
          <w:sz w:val="24"/>
          <w:szCs w:val="24"/>
        </w:rPr>
        <w:t xml:space="preserve">de </w:t>
      </w:r>
      <w:proofErr w:type="spellStart"/>
      <w:r w:rsidRPr="00C02F2C">
        <w:rPr>
          <w:rFonts w:ascii="Poor Richard" w:hAnsi="Poor Richard" w:cs="Times New Roman"/>
          <w:i/>
          <w:sz w:val="24"/>
          <w:szCs w:val="24"/>
        </w:rPr>
        <w:t>deo</w:t>
      </w:r>
      <w:proofErr w:type="spellEnd"/>
      <w:r w:rsidRPr="00C02F2C">
        <w:rPr>
          <w:rFonts w:ascii="Poor Richard" w:hAnsi="Poor Richard" w:cs="Times New Roman"/>
          <w:i/>
          <w:sz w:val="24"/>
          <w:szCs w:val="24"/>
        </w:rPr>
        <w:t xml:space="preserve"> </w:t>
      </w:r>
      <w:proofErr w:type="spellStart"/>
      <w:r w:rsidRPr="00C02F2C">
        <w:rPr>
          <w:rFonts w:ascii="Poor Richard" w:hAnsi="Poor Richard" w:cs="Times New Roman"/>
          <w:i/>
          <w:sz w:val="24"/>
          <w:szCs w:val="24"/>
        </w:rPr>
        <w:t>uno</w:t>
      </w:r>
      <w:proofErr w:type="spellEnd"/>
      <w:r w:rsidRPr="00C02F2C">
        <w:rPr>
          <w:rFonts w:ascii="Poor Richard" w:hAnsi="Poor Richard" w:cs="Times New Roman"/>
          <w:sz w:val="24"/>
          <w:szCs w:val="24"/>
        </w:rPr>
        <w:t xml:space="preserve"> and </w:t>
      </w:r>
      <w:r w:rsidRPr="00C02F2C">
        <w:rPr>
          <w:rFonts w:ascii="Poor Richard" w:hAnsi="Poor Richard" w:cs="Times New Roman"/>
          <w:i/>
          <w:sz w:val="24"/>
          <w:szCs w:val="24"/>
        </w:rPr>
        <w:t xml:space="preserve">de </w:t>
      </w:r>
      <w:proofErr w:type="spellStart"/>
      <w:r w:rsidRPr="00C02F2C">
        <w:rPr>
          <w:rFonts w:ascii="Poor Richard" w:hAnsi="Poor Richard" w:cs="Times New Roman"/>
          <w:i/>
          <w:sz w:val="24"/>
          <w:szCs w:val="24"/>
        </w:rPr>
        <w:t>deo</w:t>
      </w:r>
      <w:proofErr w:type="spellEnd"/>
      <w:r w:rsidRPr="00C02F2C">
        <w:rPr>
          <w:rFonts w:ascii="Poor Richard" w:hAnsi="Poor Richard" w:cs="Times New Roman"/>
          <w:i/>
          <w:sz w:val="24"/>
          <w:szCs w:val="24"/>
        </w:rPr>
        <w:t xml:space="preserve"> </w:t>
      </w:r>
      <w:proofErr w:type="spellStart"/>
      <w:r w:rsidRPr="00C02F2C">
        <w:rPr>
          <w:rFonts w:ascii="Poor Richard" w:hAnsi="Poor Richard" w:cs="Times New Roman"/>
          <w:i/>
          <w:sz w:val="24"/>
          <w:szCs w:val="24"/>
        </w:rPr>
        <w:t>trino</w:t>
      </w:r>
      <w:proofErr w:type="spellEnd"/>
      <w:r w:rsidRPr="00C02F2C">
        <w:rPr>
          <w:rFonts w:ascii="Poor Richard" w:hAnsi="Poor Richard" w:cs="Times New Roman"/>
          <w:sz w:val="24"/>
          <w:szCs w:val="24"/>
        </w:rPr>
        <w:t xml:space="preserve"> division he finds in the </w:t>
      </w:r>
      <w:r w:rsidRPr="00C02F2C">
        <w:rPr>
          <w:rFonts w:ascii="Poor Richard" w:hAnsi="Poor Richard" w:cs="Times New Roman"/>
          <w:i/>
          <w:sz w:val="24"/>
          <w:szCs w:val="24"/>
        </w:rPr>
        <w:t>Divine Names</w:t>
      </w:r>
      <w:r w:rsidRPr="00C02F2C">
        <w:rPr>
          <w:rFonts w:ascii="Poor Richard" w:hAnsi="Poor Richard" w:cs="Times New Roman"/>
          <w:sz w:val="24"/>
          <w:szCs w:val="24"/>
        </w:rPr>
        <w:t>. Dionysius says that he separated the consideration of the undifferentiated and the differentiated names into distinct treatises;</w:t>
      </w:r>
      <w:r w:rsidRPr="00C02F2C">
        <w:rPr>
          <w:rFonts w:ascii="Poor Richard" w:hAnsi="Poor Richard" w:cs="Times New Roman"/>
          <w:sz w:val="24"/>
          <w:szCs w:val="24"/>
          <w:vertAlign w:val="superscript"/>
        </w:rPr>
        <w:footnoteReference w:id="101"/>
      </w:r>
      <w:r w:rsidRPr="00C02F2C">
        <w:rPr>
          <w:rFonts w:ascii="Poor Richard" w:hAnsi="Poor Richard" w:cs="Times New Roman"/>
          <w:sz w:val="24"/>
          <w:szCs w:val="24"/>
        </w:rPr>
        <w:t xml:space="preserve"> Thomas imitates him. Treating creatures, he is explicit that he uses a triad he finds in Dionysius, and later identifies as Proclean,</w:t>
      </w:r>
      <w:r w:rsidRPr="00C02F2C">
        <w:rPr>
          <w:rStyle w:val="FootnoteReference"/>
          <w:rFonts w:ascii="Poor Richard" w:hAnsi="Poor Richard" w:cs="Times New Roman"/>
          <w:sz w:val="24"/>
          <w:szCs w:val="24"/>
        </w:rPr>
        <w:footnoteReference w:id="102"/>
      </w:r>
      <w:r w:rsidRPr="00C02F2C">
        <w:rPr>
          <w:rFonts w:ascii="Poor Richard" w:hAnsi="Poor Richard" w:cs="Times New Roman"/>
          <w:sz w:val="24"/>
          <w:szCs w:val="24"/>
        </w:rPr>
        <w:t xml:space="preserve"> which structures spiritual beings.</w:t>
      </w:r>
      <w:r w:rsidRPr="00C02F2C">
        <w:rPr>
          <w:rStyle w:val="FootnoteReference"/>
          <w:rFonts w:ascii="Poor Richard" w:hAnsi="Poor Richard" w:cs="Times New Roman"/>
          <w:sz w:val="24"/>
          <w:szCs w:val="24"/>
        </w:rPr>
        <w:footnoteReference w:id="103"/>
      </w:r>
      <w:r w:rsidRPr="00C02F2C">
        <w:rPr>
          <w:rFonts w:ascii="Poor Richard" w:hAnsi="Poor Richard" w:cs="Times New Roman"/>
          <w:sz w:val="24"/>
          <w:szCs w:val="24"/>
        </w:rPr>
        <w:t xml:space="preserve"> Even “grace does not destroy nature but perfects it,” grounding the fundamental </w:t>
      </w:r>
      <w:r w:rsidRPr="00C02F2C">
        <w:rPr>
          <w:rFonts w:ascii="Poor Richard" w:hAnsi="Poor Richard" w:cs="Times New Roman"/>
          <w:i/>
          <w:sz w:val="24"/>
          <w:szCs w:val="24"/>
        </w:rPr>
        <w:t>quid pro quo</w:t>
      </w:r>
      <w:r w:rsidRPr="00C02F2C">
        <w:rPr>
          <w:rFonts w:ascii="Poor Richard" w:hAnsi="Poor Richard" w:cs="Times New Roman"/>
          <w:sz w:val="24"/>
          <w:szCs w:val="24"/>
        </w:rPr>
        <w:t xml:space="preserve"> between nature and grace in his system,</w:t>
      </w:r>
      <w:r w:rsidRPr="00C02F2C">
        <w:rPr>
          <w:rStyle w:val="FootnoteReference"/>
          <w:rFonts w:ascii="Poor Richard" w:hAnsi="Poor Richard" w:cs="Times New Roman"/>
          <w:sz w:val="24"/>
          <w:szCs w:val="24"/>
        </w:rPr>
        <w:footnoteReference w:id="104"/>
      </w:r>
      <w:r w:rsidRPr="00C02F2C">
        <w:rPr>
          <w:rFonts w:ascii="Poor Richard" w:hAnsi="Poor Richard" w:cs="Times New Roman"/>
          <w:sz w:val="24"/>
          <w:szCs w:val="24"/>
        </w:rPr>
        <w:t xml:space="preserve"> comes from Proclus by way of Dionysius and Albert.</w:t>
      </w:r>
      <w:r w:rsidRPr="00C02F2C">
        <w:rPr>
          <w:rStyle w:val="FootnoteReference"/>
          <w:rFonts w:ascii="Poor Richard" w:hAnsi="Poor Richard" w:cs="Times New Roman"/>
          <w:sz w:val="24"/>
          <w:szCs w:val="24"/>
        </w:rPr>
        <w:footnoteReference w:id="105"/>
      </w:r>
    </w:p>
    <w:p w:rsidR="000F23BE" w:rsidRPr="00C02F2C" w:rsidRDefault="000F23BE" w:rsidP="00E00D50">
      <w:pPr>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The </w:t>
      </w:r>
      <w:proofErr w:type="spellStart"/>
      <w:r w:rsidRPr="00C02F2C">
        <w:rPr>
          <w:rFonts w:ascii="Poor Richard" w:hAnsi="Poor Richard" w:cs="Times New Roman"/>
          <w:sz w:val="24"/>
          <w:szCs w:val="24"/>
        </w:rPr>
        <w:t>Proœmium</w:t>
      </w:r>
      <w:proofErr w:type="spellEnd"/>
      <w:r w:rsidRPr="00C02F2C">
        <w:rPr>
          <w:rFonts w:ascii="Poor Richard" w:hAnsi="Poor Richard" w:cs="Times New Roman"/>
          <w:sz w:val="24"/>
          <w:szCs w:val="24"/>
        </w:rPr>
        <w:t xml:space="preserve"> of </w:t>
      </w:r>
      <w:r w:rsidRPr="00C02F2C">
        <w:rPr>
          <w:rFonts w:ascii="Poor Richard" w:hAnsi="Poor Richard" w:cs="Times New Roman"/>
          <w:i/>
          <w:sz w:val="24"/>
          <w:szCs w:val="24"/>
        </w:rPr>
        <w:t xml:space="preserve">In De divinis nominibus </w:t>
      </w:r>
      <w:r w:rsidRPr="00C02F2C">
        <w:rPr>
          <w:rFonts w:ascii="Poor Richard" w:hAnsi="Poor Richard" w:cs="Times New Roman"/>
          <w:sz w:val="24"/>
          <w:szCs w:val="24"/>
        </w:rPr>
        <w:t xml:space="preserve">announced Thomas’ break with his teacher: “much of the style and way of thinking of Dionysius was that used by the Platonists.” </w:t>
      </w:r>
      <w:r w:rsidRPr="00C02F2C">
        <w:rPr>
          <w:rFonts w:ascii="Poor Richard" w:hAnsi="Poor Richard" w:cs="Times New Roman"/>
          <w:iCs/>
          <w:sz w:val="24"/>
          <w:szCs w:val="24"/>
        </w:rPr>
        <w:t xml:space="preserve">In his </w:t>
      </w:r>
      <w:r w:rsidRPr="00C02F2C">
        <w:rPr>
          <w:rFonts w:ascii="Poor Richard" w:hAnsi="Poor Richard" w:cs="Times New Roman"/>
          <w:i/>
          <w:iCs/>
          <w:sz w:val="24"/>
          <w:szCs w:val="24"/>
        </w:rPr>
        <w:t>Super De divinis nominibus</w:t>
      </w:r>
      <w:r w:rsidRPr="00C02F2C">
        <w:rPr>
          <w:rFonts w:ascii="Poor Richard" w:hAnsi="Poor Richard" w:cs="Times New Roman"/>
          <w:iCs/>
          <w:sz w:val="24"/>
          <w:szCs w:val="24"/>
        </w:rPr>
        <w:t xml:space="preserve"> Albert had taught “that Dionysius smashes the Platonists’ erroneous notion of the divine processions (e.g. being, life) as gods, the only reference to the Platonists in the work.”</w:t>
      </w:r>
      <w:r w:rsidRPr="00C02F2C">
        <w:rPr>
          <w:rStyle w:val="FootnoteReference"/>
          <w:rFonts w:ascii="Poor Richard" w:hAnsi="Poor Richard" w:cs="Times New Roman"/>
          <w:iCs/>
          <w:sz w:val="24"/>
          <w:szCs w:val="24"/>
        </w:rPr>
        <w:footnoteReference w:id="106"/>
      </w:r>
      <w:r w:rsidRPr="00C02F2C">
        <w:rPr>
          <w:rFonts w:ascii="Poor Richard" w:hAnsi="Poor Richard" w:cs="Times New Roman"/>
          <w:iCs/>
          <w:sz w:val="24"/>
          <w:szCs w:val="24"/>
        </w:rPr>
        <w:t xml:space="preserve"> For Albert, the Platonists wrongly “posit that all natural forms exist </w:t>
      </w:r>
      <w:r w:rsidRPr="00C02F2C">
        <w:rPr>
          <w:rFonts w:ascii="Poor Richard" w:hAnsi="Poor Richard" w:cs="Times New Roman"/>
          <w:i/>
          <w:iCs/>
          <w:sz w:val="24"/>
          <w:szCs w:val="24"/>
        </w:rPr>
        <w:t>per se</w:t>
      </w:r>
      <w:r w:rsidRPr="00C02F2C">
        <w:rPr>
          <w:rFonts w:ascii="Poor Richard" w:hAnsi="Poor Richard" w:cs="Times New Roman"/>
          <w:iCs/>
          <w:sz w:val="24"/>
          <w:szCs w:val="24"/>
        </w:rPr>
        <w:t xml:space="preserve"> and primarily.</w:t>
      </w:r>
      <w:r w:rsidRPr="00C02F2C">
        <w:rPr>
          <w:rFonts w:ascii="Poor Richard" w:hAnsi="Poor Richard" w:cs="Times New Roman"/>
          <w:sz w:val="24"/>
          <w:szCs w:val="24"/>
        </w:rPr>
        <w:t>” He credits Aristotle with mocking separate forms of natural things, just as Dionysius smashed the divine ones.</w:t>
      </w:r>
      <w:r w:rsidRPr="00C02F2C">
        <w:rPr>
          <w:rStyle w:val="FootnoteReference"/>
          <w:rFonts w:ascii="Poor Richard" w:hAnsi="Poor Richard" w:cs="Times New Roman"/>
          <w:sz w:val="24"/>
          <w:szCs w:val="24"/>
        </w:rPr>
        <w:footnoteReference w:id="107"/>
      </w:r>
      <w:r w:rsidRPr="00C02F2C">
        <w:rPr>
          <w:rFonts w:ascii="Poor Richard" w:hAnsi="Poor Richard" w:cs="Times New Roman"/>
          <w:sz w:val="24"/>
          <w:szCs w:val="24"/>
        </w:rPr>
        <w:t xml:space="preserve"> Far from identifying Dionysius’ modes as Platonist, Albert turns Aristotle’s criticism into an accusation of idolatry: the “</w:t>
      </w:r>
      <w:proofErr w:type="spellStart"/>
      <w:r w:rsidRPr="00C02F2C">
        <w:rPr>
          <w:rFonts w:ascii="Poor Richard" w:hAnsi="Poor Richard" w:cs="Times New Roman"/>
          <w:sz w:val="24"/>
          <w:szCs w:val="24"/>
        </w:rPr>
        <w:t>Hesiodistae</w:t>
      </w:r>
      <w:proofErr w:type="spellEnd"/>
      <w:r w:rsidRPr="00C02F2C">
        <w:rPr>
          <w:rFonts w:ascii="Poor Richard" w:hAnsi="Poor Richard" w:cs="Times New Roman"/>
          <w:sz w:val="24"/>
          <w:szCs w:val="24"/>
        </w:rPr>
        <w:t>” are “</w:t>
      </w:r>
      <w:proofErr w:type="spellStart"/>
      <w:r w:rsidRPr="00C02F2C">
        <w:rPr>
          <w:rFonts w:ascii="Poor Richard" w:hAnsi="Poor Richard" w:cs="Times New Roman"/>
          <w:sz w:val="24"/>
          <w:szCs w:val="24"/>
        </w:rPr>
        <w:t>idolatrae</w:t>
      </w:r>
      <w:proofErr w:type="spellEnd"/>
      <w:r w:rsidRPr="00C02F2C">
        <w:rPr>
          <w:rFonts w:ascii="Poor Richard" w:hAnsi="Poor Richard" w:cs="Times New Roman"/>
          <w:sz w:val="24"/>
          <w:szCs w:val="24"/>
        </w:rPr>
        <w:t>” who posit an “idol of peace.” The principles of Plato are “idolatrous substances” which they said to be gods.</w:t>
      </w:r>
      <w:r w:rsidRPr="00C02F2C">
        <w:rPr>
          <w:rStyle w:val="FootnoteReference"/>
          <w:rFonts w:ascii="Poor Richard" w:hAnsi="Poor Richard" w:cs="Times New Roman"/>
          <w:sz w:val="24"/>
          <w:szCs w:val="24"/>
        </w:rPr>
        <w:footnoteReference w:id="108"/>
      </w:r>
    </w:p>
    <w:p w:rsidR="000F23BE" w:rsidRPr="00C02F2C" w:rsidRDefault="000F23BE" w:rsidP="00E00D50">
      <w:pPr>
        <w:ind w:firstLine="720"/>
        <w:contextualSpacing/>
        <w:rPr>
          <w:rFonts w:ascii="Poor Richard" w:hAnsi="Poor Richard" w:cs="Times New Roman"/>
          <w:iCs/>
          <w:sz w:val="24"/>
          <w:szCs w:val="24"/>
        </w:rPr>
      </w:pPr>
      <w:r w:rsidRPr="00C02F2C">
        <w:rPr>
          <w:rFonts w:ascii="Poor Richard" w:hAnsi="Poor Richard" w:cs="Times New Roman"/>
          <w:sz w:val="24"/>
          <w:szCs w:val="24"/>
        </w:rPr>
        <w:t xml:space="preserve">In contrast, </w:t>
      </w:r>
      <w:r w:rsidRPr="00C02F2C">
        <w:rPr>
          <w:rFonts w:ascii="Poor Richard" w:hAnsi="Poor Richard" w:cs="Times New Roman"/>
          <w:iCs/>
          <w:sz w:val="24"/>
          <w:szCs w:val="24"/>
        </w:rPr>
        <w:t xml:space="preserve">Aquinas worked out the Proclean Platonism of both </w:t>
      </w:r>
      <w:r w:rsidRPr="00C02F2C">
        <w:rPr>
          <w:rFonts w:ascii="Poor Richard" w:hAnsi="Poor Richard" w:cs="Times New Roman"/>
          <w:sz w:val="24"/>
          <w:szCs w:val="24"/>
        </w:rPr>
        <w:t xml:space="preserve">the </w:t>
      </w:r>
      <w:r w:rsidRPr="00C02F2C">
        <w:rPr>
          <w:rFonts w:ascii="Poor Richard" w:hAnsi="Poor Richard" w:cs="Times New Roman"/>
          <w:i/>
          <w:sz w:val="24"/>
          <w:szCs w:val="24"/>
        </w:rPr>
        <w:t>Liber</w:t>
      </w:r>
      <w:r w:rsidRPr="00C02F2C">
        <w:rPr>
          <w:rFonts w:ascii="Poor Richard" w:hAnsi="Poor Richard" w:cs="Times New Roman"/>
          <w:sz w:val="24"/>
          <w:szCs w:val="24"/>
        </w:rPr>
        <w:t xml:space="preserve"> and </w:t>
      </w:r>
      <w:r w:rsidRPr="00C02F2C">
        <w:rPr>
          <w:rFonts w:ascii="Poor Richard" w:hAnsi="Poor Richard" w:cs="Times New Roman"/>
          <w:iCs/>
          <w:sz w:val="24"/>
          <w:szCs w:val="24"/>
        </w:rPr>
        <w:t xml:space="preserve">the </w:t>
      </w:r>
      <w:r w:rsidRPr="00C02F2C">
        <w:rPr>
          <w:rFonts w:ascii="Poor Richard" w:hAnsi="Poor Richard" w:cs="Times New Roman"/>
          <w:i/>
          <w:iCs/>
          <w:sz w:val="24"/>
          <w:szCs w:val="24"/>
        </w:rPr>
        <w:t>De Divinis Nominibus,</w:t>
      </w:r>
      <w:r w:rsidRPr="00C02F2C">
        <w:rPr>
          <w:rFonts w:ascii="Poor Richard" w:hAnsi="Poor Richard" w:cs="Times New Roman"/>
          <w:iCs/>
          <w:sz w:val="24"/>
          <w:szCs w:val="24"/>
        </w:rPr>
        <w:t xml:space="preserve"> beginning with the latter.  Nonetheless, Albert set questions his student must answer. The first was whether Proclus’ hierarchy of hypostasized abstractions could be reconciled with the one God. </w:t>
      </w:r>
      <w:r w:rsidRPr="00C02F2C">
        <w:rPr>
          <w:rFonts w:ascii="Poor Richard" w:hAnsi="Poor Richard" w:cs="Times New Roman"/>
          <w:i/>
          <w:sz w:val="24"/>
          <w:szCs w:val="24"/>
        </w:rPr>
        <w:t>In De divinis nominibus</w:t>
      </w:r>
      <w:r w:rsidRPr="00C02F2C">
        <w:rPr>
          <w:rFonts w:ascii="Poor Richard" w:hAnsi="Poor Richard" w:cs="Times New Roman"/>
          <w:sz w:val="24"/>
          <w:szCs w:val="24"/>
        </w:rPr>
        <w:t xml:space="preserve">  gives a qualified “yes”, and depicts Dionysius as if he had given the same answer</w:t>
      </w:r>
      <w:r w:rsidRPr="00C02F2C">
        <w:rPr>
          <w:rFonts w:ascii="Poor Richard" w:hAnsi="Poor Richard" w:cs="Times New Roman"/>
          <w:iCs/>
          <w:sz w:val="24"/>
          <w:szCs w:val="24"/>
        </w:rPr>
        <w:t xml:space="preserve">. It, and </w:t>
      </w:r>
      <w:r w:rsidRPr="00C02F2C">
        <w:rPr>
          <w:rFonts w:ascii="Poor Richard" w:hAnsi="Poor Richard" w:cs="Times New Roman"/>
          <w:i/>
          <w:sz w:val="24"/>
          <w:szCs w:val="24"/>
        </w:rPr>
        <w:t>Super De causis</w:t>
      </w:r>
      <w:r w:rsidRPr="00C02F2C">
        <w:rPr>
          <w:rFonts w:ascii="Poor Richard" w:hAnsi="Poor Richard" w:cs="Times New Roman"/>
          <w:sz w:val="24"/>
          <w:szCs w:val="24"/>
        </w:rPr>
        <w:t>, are</w:t>
      </w:r>
      <w:r w:rsidRPr="00C02F2C">
        <w:rPr>
          <w:rFonts w:ascii="Poor Richard" w:hAnsi="Poor Richard" w:cs="Times New Roman"/>
          <w:iCs/>
          <w:sz w:val="24"/>
          <w:szCs w:val="24"/>
        </w:rPr>
        <w:t xml:space="preserve"> responses to Proclean Platonism where Aristotle appears on the side of Dionysius as corrector of error. Elsewhere, I have argued for why it is probable Thomas read Moerbeke’s translation of the </w:t>
      </w:r>
      <w:r w:rsidRPr="00C02F2C">
        <w:rPr>
          <w:rFonts w:ascii="Poor Richard" w:hAnsi="Poor Richard" w:cs="Times New Roman"/>
          <w:i/>
          <w:iCs/>
          <w:sz w:val="24"/>
          <w:szCs w:val="24"/>
        </w:rPr>
        <w:t>Elements</w:t>
      </w:r>
      <w:r w:rsidRPr="00C02F2C">
        <w:rPr>
          <w:rFonts w:ascii="Poor Richard" w:hAnsi="Poor Richard" w:cs="Times New Roman"/>
          <w:iCs/>
          <w:sz w:val="24"/>
          <w:szCs w:val="24"/>
        </w:rPr>
        <w:t xml:space="preserve"> before expositing the</w:t>
      </w:r>
      <w:r w:rsidRPr="00C02F2C">
        <w:rPr>
          <w:rFonts w:ascii="Poor Richard" w:hAnsi="Poor Richard" w:cs="Times New Roman"/>
          <w:i/>
          <w:iCs/>
          <w:sz w:val="24"/>
          <w:szCs w:val="24"/>
        </w:rPr>
        <w:t xml:space="preserve"> Divine Names.</w:t>
      </w:r>
      <w:r w:rsidRPr="00C02F2C">
        <w:rPr>
          <w:rStyle w:val="FootnoteReference"/>
          <w:rFonts w:ascii="Poor Richard" w:hAnsi="Poor Richard" w:cs="Times New Roman"/>
          <w:iCs/>
          <w:sz w:val="24"/>
          <w:szCs w:val="24"/>
        </w:rPr>
        <w:t xml:space="preserve"> </w:t>
      </w:r>
      <w:r w:rsidRPr="00C02F2C">
        <w:rPr>
          <w:rStyle w:val="FootnoteReference"/>
          <w:rFonts w:ascii="Poor Richard" w:hAnsi="Poor Richard" w:cs="Times New Roman"/>
          <w:iCs/>
          <w:sz w:val="24"/>
          <w:szCs w:val="24"/>
        </w:rPr>
        <w:footnoteReference w:id="109"/>
      </w:r>
      <w:r w:rsidRPr="00C02F2C">
        <w:rPr>
          <w:rFonts w:ascii="Poor Richard" w:hAnsi="Poor Richard" w:cs="Times New Roman"/>
          <w:i/>
          <w:iCs/>
          <w:sz w:val="24"/>
          <w:szCs w:val="24"/>
        </w:rPr>
        <w:t xml:space="preserve"> </w:t>
      </w:r>
      <w:r w:rsidRPr="00C02F2C">
        <w:rPr>
          <w:rFonts w:ascii="Poor Richard" w:hAnsi="Poor Richard" w:cs="Times New Roman"/>
          <w:iCs/>
          <w:sz w:val="24"/>
          <w:szCs w:val="24"/>
        </w:rPr>
        <w:t>Here, describing features of Aquinas’ Dionysian Platonism, I proceed as if he had.</w:t>
      </w:r>
    </w:p>
    <w:p w:rsidR="000F23BE" w:rsidRPr="00C02F2C" w:rsidRDefault="000F23BE" w:rsidP="00E00D50">
      <w:pPr>
        <w:pStyle w:val="ListParagraph"/>
        <w:numPr>
          <w:ilvl w:val="0"/>
          <w:numId w:val="4"/>
        </w:numPr>
        <w:spacing w:after="0"/>
        <w:jc w:val="center"/>
        <w:rPr>
          <w:rFonts w:ascii="Poor Richard" w:hAnsi="Poor Richard" w:cs="Times New Roman"/>
          <w:sz w:val="24"/>
          <w:szCs w:val="24"/>
        </w:rPr>
      </w:pPr>
      <w:r w:rsidRPr="00C02F2C">
        <w:rPr>
          <w:rFonts w:ascii="Poor Richard" w:hAnsi="Poor Richard" w:cs="Times New Roman"/>
          <w:iCs/>
          <w:sz w:val="24"/>
          <w:szCs w:val="24"/>
        </w:rPr>
        <w:t>Aquinas’ Dionysian Platonism:</w:t>
      </w:r>
      <w:r w:rsidRPr="00C02F2C">
        <w:rPr>
          <w:rFonts w:ascii="Poor Richard" w:hAnsi="Poor Richard" w:cs="Times New Roman"/>
          <w:sz w:val="24"/>
          <w:szCs w:val="24"/>
        </w:rPr>
        <w:t xml:space="preserve"> Aristotle and Proclus</w:t>
      </w:r>
    </w:p>
    <w:p w:rsidR="000F23BE" w:rsidRPr="00C02F2C" w:rsidRDefault="000F23BE" w:rsidP="00E70239">
      <w:pPr>
        <w:spacing w:after="0" w:line="280" w:lineRule="exact"/>
        <w:contextualSpacing/>
        <w:rPr>
          <w:rFonts w:ascii="Poor Richard" w:hAnsi="Poor Richard" w:cs="Times New Roman"/>
          <w:iCs/>
          <w:sz w:val="24"/>
          <w:szCs w:val="24"/>
        </w:rPr>
      </w:pPr>
      <w:r w:rsidRPr="00C02F2C">
        <w:rPr>
          <w:rFonts w:ascii="Poor Richard" w:hAnsi="Poor Richard" w:cs="Times New Roman"/>
          <w:iCs/>
          <w:sz w:val="24"/>
          <w:szCs w:val="24"/>
        </w:rPr>
        <w:t xml:space="preserve">In the </w:t>
      </w:r>
      <w:proofErr w:type="spellStart"/>
      <w:r w:rsidRPr="00C02F2C">
        <w:rPr>
          <w:rFonts w:ascii="Poor Richard" w:hAnsi="Poor Richard" w:cs="Times New Roman"/>
          <w:sz w:val="24"/>
          <w:szCs w:val="24"/>
        </w:rPr>
        <w:t>Proœmium</w:t>
      </w:r>
      <w:proofErr w:type="spellEnd"/>
      <w:r w:rsidRPr="00C02F2C">
        <w:rPr>
          <w:rFonts w:ascii="Poor Richard" w:hAnsi="Poor Richard" w:cs="Times New Roman"/>
          <w:sz w:val="24"/>
          <w:szCs w:val="24"/>
        </w:rPr>
        <w:t>,</w:t>
      </w:r>
      <w:r w:rsidRPr="00C02F2C">
        <w:rPr>
          <w:rFonts w:ascii="Poor Richard" w:hAnsi="Poor Richard" w:cs="Times New Roman"/>
          <w:iCs/>
          <w:sz w:val="24"/>
          <w:szCs w:val="24"/>
        </w:rPr>
        <w:t xml:space="preserve"> placing the</w:t>
      </w:r>
      <w:r w:rsidRPr="00C02F2C">
        <w:rPr>
          <w:rFonts w:ascii="Poor Richard" w:hAnsi="Poor Richard" w:cs="Times New Roman"/>
          <w:i/>
          <w:iCs/>
          <w:sz w:val="24"/>
          <w:szCs w:val="24"/>
        </w:rPr>
        <w:t xml:space="preserve"> Divine Names </w:t>
      </w:r>
      <w:r w:rsidRPr="00C02F2C">
        <w:rPr>
          <w:rFonts w:ascii="Poor Richard" w:hAnsi="Poor Richard" w:cs="Times New Roman"/>
          <w:iCs/>
          <w:sz w:val="24"/>
          <w:szCs w:val="24"/>
        </w:rPr>
        <w:t xml:space="preserve">in relation to Dionysius’ other writings, Thomas tells us that in them all, culminating in the </w:t>
      </w:r>
      <w:r w:rsidRPr="00C02F2C">
        <w:rPr>
          <w:rFonts w:ascii="Poor Richard" w:hAnsi="Poor Richard" w:cs="Times New Roman"/>
          <w:i/>
          <w:iCs/>
          <w:sz w:val="24"/>
          <w:szCs w:val="24"/>
        </w:rPr>
        <w:t>Mystical Theology</w:t>
      </w:r>
      <w:r w:rsidRPr="00C02F2C">
        <w:rPr>
          <w:rFonts w:ascii="Poor Richard" w:hAnsi="Poor Richard" w:cs="Times New Roman"/>
          <w:iCs/>
          <w:sz w:val="24"/>
          <w:szCs w:val="24"/>
        </w:rPr>
        <w:t>, “what God is remains hidden and unknown”, “since it exceeds everything which is apprehended by us, it remains unknown to us</w:t>
      </w:r>
      <w:r w:rsidRPr="00C02F2C">
        <w:rPr>
          <w:rStyle w:val="ref"/>
          <w:rFonts w:ascii="Poor Richard" w:hAnsi="Poor Richard" w:cs="Times New Roman"/>
          <w:sz w:val="24"/>
          <w:szCs w:val="24"/>
        </w:rPr>
        <w:t>.”</w:t>
      </w:r>
      <w:r w:rsidRPr="00C02F2C">
        <w:rPr>
          <w:rStyle w:val="FootnoteReference"/>
          <w:rFonts w:ascii="Poor Richard" w:hAnsi="Poor Richard" w:cs="Times New Roman"/>
          <w:sz w:val="24"/>
          <w:szCs w:val="24"/>
        </w:rPr>
        <w:footnoteReference w:id="110"/>
      </w:r>
      <w:r w:rsidRPr="00C02F2C">
        <w:rPr>
          <w:rStyle w:val="ref"/>
          <w:rFonts w:ascii="Poor Richard" w:hAnsi="Poor Richard" w:cs="Times New Roman"/>
          <w:sz w:val="24"/>
          <w:szCs w:val="24"/>
        </w:rPr>
        <w:t xml:space="preserve"> On this, both he and Albert unite Dionysius, Aristotle, and the </w:t>
      </w:r>
      <w:r w:rsidRPr="00C02F2C">
        <w:rPr>
          <w:rStyle w:val="ref"/>
          <w:rFonts w:ascii="Poor Richard" w:hAnsi="Poor Richard" w:cs="Times New Roman"/>
          <w:i/>
          <w:sz w:val="24"/>
          <w:szCs w:val="24"/>
        </w:rPr>
        <w:t>Liber</w:t>
      </w:r>
      <w:r w:rsidRPr="00C02F2C">
        <w:rPr>
          <w:rFonts w:ascii="Poor Richard" w:hAnsi="Poor Richard" w:cs="Times New Roman"/>
          <w:i/>
          <w:iCs/>
          <w:sz w:val="24"/>
          <w:szCs w:val="24"/>
        </w:rPr>
        <w:t xml:space="preserve">. </w:t>
      </w:r>
      <w:r w:rsidRPr="00C02F2C">
        <w:rPr>
          <w:rFonts w:ascii="Poor Richard" w:hAnsi="Poor Richard" w:cs="Times New Roman"/>
          <w:iCs/>
          <w:sz w:val="24"/>
          <w:szCs w:val="24"/>
        </w:rPr>
        <w:t xml:space="preserve">Having insisted throughout that the hiddenness of God is owed </w:t>
      </w:r>
      <w:r w:rsidRPr="00C02F2C">
        <w:rPr>
          <w:rFonts w:ascii="Poor Richard" w:hAnsi="Poor Richard" w:cs="Times New Roman"/>
          <w:iCs/>
          <w:sz w:val="24"/>
          <w:szCs w:val="24"/>
        </w:rPr>
        <w:lastRenderedPageBreak/>
        <w:t xml:space="preserve">to the inadequacy of the creature, when treating the final Chapter of the </w:t>
      </w:r>
      <w:r w:rsidRPr="00C02F2C">
        <w:rPr>
          <w:rFonts w:ascii="Poor Richard" w:hAnsi="Poor Richard" w:cs="Times New Roman"/>
          <w:i/>
          <w:iCs/>
          <w:sz w:val="24"/>
          <w:szCs w:val="24"/>
        </w:rPr>
        <w:t>Divine Names</w:t>
      </w:r>
      <w:r w:rsidRPr="00C02F2C">
        <w:rPr>
          <w:rFonts w:ascii="Poor Richard" w:hAnsi="Poor Richard" w:cs="Times New Roman"/>
          <w:iCs/>
          <w:sz w:val="24"/>
          <w:szCs w:val="24"/>
        </w:rPr>
        <w:t>, Aquinas indicates that he knows the Proclean position for which God is unknowable in principle, and asserts that Dionysius rejects it.</w:t>
      </w:r>
      <w:r w:rsidRPr="00C02F2C">
        <w:rPr>
          <w:rStyle w:val="FootnoteReference"/>
          <w:rFonts w:ascii="Poor Richard" w:hAnsi="Poor Richard" w:cs="Times New Roman"/>
          <w:iCs/>
          <w:sz w:val="24"/>
          <w:szCs w:val="24"/>
        </w:rPr>
        <w:footnoteReference w:id="111"/>
      </w:r>
      <w:r w:rsidRPr="00C02F2C">
        <w:rPr>
          <w:rFonts w:ascii="Poor Richard" w:hAnsi="Poor Richard" w:cs="Times New Roman"/>
          <w:iCs/>
          <w:sz w:val="24"/>
          <w:szCs w:val="24"/>
        </w:rPr>
        <w:t xml:space="preserve"> In </w:t>
      </w:r>
      <w:r w:rsidRPr="00C02F2C">
        <w:rPr>
          <w:rFonts w:ascii="Poor Richard" w:hAnsi="Poor Richard" w:cs="Times New Roman"/>
          <w:i/>
          <w:iCs/>
          <w:sz w:val="24"/>
          <w:szCs w:val="24"/>
        </w:rPr>
        <w:t xml:space="preserve">Super </w:t>
      </w:r>
      <w:proofErr w:type="spellStart"/>
      <w:r w:rsidRPr="00C02F2C">
        <w:rPr>
          <w:rFonts w:ascii="Poor Richard" w:hAnsi="Poor Richard" w:cs="Times New Roman"/>
          <w:i/>
          <w:iCs/>
          <w:sz w:val="24"/>
          <w:szCs w:val="24"/>
        </w:rPr>
        <w:t>Librum</w:t>
      </w:r>
      <w:proofErr w:type="spellEnd"/>
      <w:r w:rsidRPr="00C02F2C">
        <w:rPr>
          <w:rFonts w:ascii="Poor Richard" w:hAnsi="Poor Richard" w:cs="Times New Roman"/>
          <w:i/>
          <w:iCs/>
          <w:sz w:val="24"/>
          <w:szCs w:val="24"/>
        </w:rPr>
        <w:t xml:space="preserve"> de causis</w:t>
      </w:r>
      <w:r w:rsidRPr="00C02F2C">
        <w:rPr>
          <w:rFonts w:ascii="Poor Richard" w:hAnsi="Poor Richard" w:cs="Times New Roman"/>
          <w:iCs/>
          <w:sz w:val="24"/>
          <w:szCs w:val="24"/>
        </w:rPr>
        <w:t>, Aristotle leads the way against Proclean Platonism and helps Thomas avoid what was condemned in 1241.</w:t>
      </w:r>
    </w:p>
    <w:p w:rsidR="000F23BE" w:rsidRPr="00C02F2C" w:rsidRDefault="000F23BE" w:rsidP="007942AF">
      <w:pPr>
        <w:spacing w:after="0" w:line="280" w:lineRule="exact"/>
        <w:ind w:firstLine="720"/>
        <w:contextualSpacing/>
        <w:rPr>
          <w:rFonts w:ascii="Poor Richard" w:hAnsi="Poor Richard" w:cs="Times New Roman"/>
          <w:iCs/>
          <w:sz w:val="24"/>
          <w:szCs w:val="24"/>
        </w:rPr>
      </w:pPr>
      <w:r w:rsidRPr="00C02F2C">
        <w:rPr>
          <w:rFonts w:ascii="Poor Richard" w:hAnsi="Poor Richard" w:cs="Times New Roman"/>
          <w:iCs/>
          <w:sz w:val="24"/>
          <w:szCs w:val="24"/>
        </w:rPr>
        <w:t>Aquinas discerns something about Platonism which will increase in importance for him. He sees that the Dionysian “way of speaking,” which includes, for example, a dangerous failure to distinguish between non-being and privation,</w:t>
      </w:r>
      <w:r w:rsidRPr="00C02F2C">
        <w:rPr>
          <w:rStyle w:val="FootnoteReference"/>
          <w:rFonts w:ascii="Poor Richard" w:hAnsi="Poor Richard" w:cs="Times New Roman"/>
          <w:sz w:val="24"/>
          <w:szCs w:val="24"/>
        </w:rPr>
        <w:footnoteReference w:id="112"/>
      </w:r>
      <w:r w:rsidRPr="00C02F2C">
        <w:rPr>
          <w:rFonts w:ascii="Poor Richard" w:hAnsi="Poor Richard" w:cs="Times New Roman"/>
          <w:iCs/>
          <w:sz w:val="24"/>
          <w:szCs w:val="24"/>
        </w:rPr>
        <w:t xml:space="preserve"> and style, were those used by the Platonists. The “obscure” style of Dionysius and the Platonists may be a bad teaching method, but it enables sacred things to be hidden from the derision of infidels, and helps reconcile positions which seem contradictory, like those of Plato and Aristotle. Following </w:t>
      </w:r>
      <w:proofErr w:type="spellStart"/>
      <w:r w:rsidRPr="00C02F2C">
        <w:rPr>
          <w:rFonts w:ascii="Poor Richard" w:hAnsi="Poor Richard" w:cs="Times New Roman"/>
          <w:iCs/>
          <w:sz w:val="24"/>
          <w:szCs w:val="24"/>
        </w:rPr>
        <w:t>Simplicius</w:t>
      </w:r>
      <w:proofErr w:type="spellEnd"/>
      <w:r w:rsidRPr="00C02F2C">
        <w:rPr>
          <w:rFonts w:ascii="Poor Richard" w:hAnsi="Poor Richard" w:cs="Times New Roman"/>
          <w:iCs/>
          <w:sz w:val="24"/>
          <w:szCs w:val="24"/>
        </w:rPr>
        <w:t>, Aquinas finds that obscure and poetic speech is Platonic and suitable to theology, but that Aristotle and his followers interpret and refute it as if Plato were speaking literally. If the truth underlying the metaphor is sought, reconciliation is possible.</w:t>
      </w:r>
    </w:p>
    <w:p w:rsidR="000F23BE" w:rsidRPr="00C02F2C" w:rsidRDefault="000F23BE" w:rsidP="005A0641">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iCs/>
          <w:sz w:val="24"/>
          <w:szCs w:val="24"/>
        </w:rPr>
        <w:t xml:space="preserve">As to </w:t>
      </w:r>
      <w:r w:rsidRPr="00C02F2C">
        <w:rPr>
          <w:rFonts w:ascii="Poor Richard" w:hAnsi="Poor Richard" w:cs="Times New Roman"/>
          <w:sz w:val="24"/>
          <w:szCs w:val="24"/>
        </w:rPr>
        <w:t>the truth and error of Platonic abstraction, in common with Albert, Aquinas rejects abstracted universals of the world of nature. However, in strong contrast, Aquinas writes that, insofar as the Platonists spoke of the first principle, “</w:t>
      </w:r>
      <w:r w:rsidRPr="00C02F2C">
        <w:rPr>
          <w:rStyle w:val="ref"/>
          <w:rFonts w:ascii="Poor Richard" w:hAnsi="Poor Richard" w:cs="Times New Roman"/>
          <w:sz w:val="24"/>
          <w:szCs w:val="24"/>
        </w:rPr>
        <w:t>their opinion is most true and consonant with Christian faith. Thus Dionysius names God sometimes good itself, or super-good, or the principle good, or the goodness of all good.”</w:t>
      </w:r>
      <w:r w:rsidRPr="00C02F2C">
        <w:rPr>
          <w:rStyle w:val="FootnoteReference"/>
          <w:rFonts w:ascii="Poor Richard" w:hAnsi="Poor Richard" w:cs="Times New Roman"/>
          <w:sz w:val="24"/>
          <w:szCs w:val="24"/>
          <w:lang w:val="fr-CA"/>
        </w:rPr>
        <w:footnoteReference w:id="113"/>
      </w:r>
      <w:r w:rsidRPr="00C02F2C">
        <w:rPr>
          <w:rStyle w:val="ref"/>
          <w:rFonts w:ascii="Poor Richard" w:hAnsi="Poor Richard" w:cs="Times New Roman"/>
          <w:sz w:val="24"/>
          <w:szCs w:val="24"/>
        </w:rPr>
        <w:t xml:space="preserve"> Later Aquinas specifies that the Platonists posited “</w:t>
      </w:r>
      <w:r w:rsidRPr="00C02F2C">
        <w:rPr>
          <w:rFonts w:ascii="Poor Richard" w:hAnsi="Poor Richard" w:cs="Times New Roman"/>
          <w:sz w:val="24"/>
          <w:szCs w:val="24"/>
        </w:rPr>
        <w:t xml:space="preserve">separated principles mutually distinct in respect to the First Principle.” He goes on: “Dionysius agrees with them in one way, and disagrees in another.  He agrees in that he too posits life existing separately </w:t>
      </w:r>
      <w:r w:rsidRPr="00C02F2C">
        <w:rPr>
          <w:rFonts w:ascii="Poor Richard" w:hAnsi="Poor Richard" w:cs="Times New Roman"/>
          <w:i/>
          <w:sz w:val="24"/>
          <w:szCs w:val="24"/>
        </w:rPr>
        <w:t>per se</w:t>
      </w:r>
      <w:r w:rsidRPr="00C02F2C">
        <w:rPr>
          <w:rFonts w:ascii="Poor Richard" w:hAnsi="Poor Richard" w:cs="Times New Roman"/>
          <w:sz w:val="24"/>
          <w:szCs w:val="24"/>
        </w:rPr>
        <w:t>, and likewise wisdom, and being, and other things of this kind.  He dissents from them, however, in this; he does not say that these separated principles are diverse actual beings, but that they are in fact one principle, which is God.”</w:t>
      </w:r>
      <w:r w:rsidRPr="00C02F2C">
        <w:rPr>
          <w:rStyle w:val="FootnoteReference"/>
          <w:rFonts w:ascii="Poor Richard" w:hAnsi="Poor Richard" w:cs="Times New Roman"/>
          <w:sz w:val="24"/>
          <w:szCs w:val="24"/>
        </w:rPr>
        <w:footnoteReference w:id="114"/>
      </w:r>
    </w:p>
    <w:p w:rsidR="000F23BE" w:rsidRPr="00C02F2C" w:rsidRDefault="000F23BE" w:rsidP="005A0641">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 In the last analysis, Aquinas also teaches this. By their abstractions the Platonists add intelligibility both to the structure of creation and to the divine being. By adopting them, Dionysius increases knowledge. The insistence that they are aspects of a single principle and are united in its creative activity comes, for Aquinas, from Aristotle. Aquinas takes pains to be sure we see that Dionysius is with the Philosopher on this, because there lies the consonance of both with the Catholic faith.</w:t>
      </w:r>
    </w:p>
    <w:p w:rsidR="000F23BE" w:rsidRPr="00C02F2C" w:rsidRDefault="000F23BE" w:rsidP="00A002C5">
      <w:pPr>
        <w:spacing w:after="0" w:line="280" w:lineRule="exact"/>
        <w:contextualSpacing/>
        <w:rPr>
          <w:rFonts w:ascii="Poor Richard" w:hAnsi="Poor Richard" w:cs="Times New Roman"/>
          <w:sz w:val="24"/>
          <w:szCs w:val="24"/>
        </w:rPr>
      </w:pPr>
      <w:r w:rsidRPr="00C02F2C">
        <w:rPr>
          <w:rFonts w:ascii="Poor Richard" w:hAnsi="Poor Richard" w:cs="Times New Roman"/>
          <w:sz w:val="24"/>
          <w:szCs w:val="24"/>
        </w:rPr>
        <w:tab/>
        <w:t xml:space="preserve">The fundamental Platonic distinction which confers benefits and dangers for theology Aquinas states in Chapter IV of </w:t>
      </w:r>
      <w:r w:rsidRPr="00C02F2C">
        <w:rPr>
          <w:rFonts w:ascii="Poor Richard" w:hAnsi="Poor Richard" w:cs="Times New Roman"/>
          <w:i/>
          <w:sz w:val="24"/>
          <w:szCs w:val="24"/>
        </w:rPr>
        <w:t>In De divinis nominibus</w:t>
      </w:r>
      <w:r w:rsidRPr="00C02F2C">
        <w:rPr>
          <w:rFonts w:ascii="Poor Richard" w:hAnsi="Poor Richard" w:cs="Times New Roman"/>
          <w:sz w:val="24"/>
          <w:szCs w:val="24"/>
        </w:rPr>
        <w:t xml:space="preserve"> on the Good. It comes where it does among the names because they are governed by the logic of emanation and “the common principle of all processions is the good.”</w:t>
      </w:r>
      <w:r w:rsidRPr="00C02F2C">
        <w:rPr>
          <w:rStyle w:val="FootnoteReference"/>
          <w:rFonts w:ascii="Poor Richard" w:hAnsi="Poor Richard" w:cs="Times New Roman"/>
          <w:sz w:val="24"/>
          <w:szCs w:val="24"/>
        </w:rPr>
        <w:footnoteReference w:id="115"/>
      </w:r>
      <w:r w:rsidRPr="00C02F2C">
        <w:rPr>
          <w:rFonts w:ascii="Poor Richard" w:hAnsi="Poor Richard" w:cs="Times New Roman"/>
          <w:sz w:val="24"/>
          <w:szCs w:val="24"/>
        </w:rPr>
        <w:t xml:space="preserve"> The treatment is in accord with the Platonic way of thinking as outlined in the </w:t>
      </w:r>
      <w:proofErr w:type="spellStart"/>
      <w:r w:rsidRPr="00C02F2C">
        <w:rPr>
          <w:rFonts w:ascii="Poor Richard" w:hAnsi="Poor Richard" w:cs="Times New Roman"/>
          <w:iCs/>
          <w:sz w:val="24"/>
          <w:szCs w:val="24"/>
        </w:rPr>
        <w:t>Proœmium</w:t>
      </w:r>
      <w:proofErr w:type="spellEnd"/>
      <w:r w:rsidRPr="00C02F2C">
        <w:rPr>
          <w:rFonts w:ascii="Poor Richard" w:hAnsi="Poor Richard" w:cs="Times New Roman"/>
          <w:iCs/>
          <w:sz w:val="24"/>
          <w:szCs w:val="24"/>
        </w:rPr>
        <w:t>:</w:t>
      </w:r>
      <w:r w:rsidRPr="00C02F2C">
        <w:rPr>
          <w:rFonts w:ascii="Poor Richard" w:hAnsi="Poor Richard" w:cs="Times New Roman"/>
          <w:sz w:val="24"/>
          <w:szCs w:val="24"/>
        </w:rPr>
        <w:t xml:space="preserve"> “Because the divine Essence itself is goodness itself, which does not happen in other things: God is good through his own essence and all other things by participation.”</w:t>
      </w:r>
      <w:r w:rsidRPr="00C02F2C">
        <w:rPr>
          <w:rStyle w:val="FootnoteReference"/>
          <w:rFonts w:ascii="Poor Richard" w:hAnsi="Poor Richard" w:cs="Times New Roman"/>
          <w:sz w:val="24"/>
          <w:szCs w:val="24"/>
        </w:rPr>
        <w:footnoteReference w:id="116"/>
      </w:r>
      <w:r w:rsidRPr="00C02F2C">
        <w:rPr>
          <w:rFonts w:ascii="Poor Richard" w:hAnsi="Poor Richard" w:cs="Times New Roman"/>
          <w:sz w:val="24"/>
          <w:szCs w:val="24"/>
        </w:rPr>
        <w:t xml:space="preserve"> Thus, the governing method is clear: “In respect to separate substances, the Platonists distinguish objects of understanding from states of understanding.”</w:t>
      </w:r>
      <w:r w:rsidRPr="00C02F2C">
        <w:rPr>
          <w:rStyle w:val="FootnoteReference"/>
          <w:rFonts w:ascii="Poor Richard" w:hAnsi="Poor Richard" w:cs="Times New Roman"/>
          <w:sz w:val="24"/>
          <w:szCs w:val="24"/>
        </w:rPr>
        <w:footnoteReference w:id="117"/>
      </w:r>
      <w:r w:rsidRPr="00C02F2C">
        <w:rPr>
          <w:rFonts w:ascii="Poor Richard" w:hAnsi="Poor Richard" w:cs="Times New Roman"/>
          <w:sz w:val="24"/>
          <w:szCs w:val="24"/>
        </w:rPr>
        <w:t xml:space="preserve"> Later, when comparing the </w:t>
      </w:r>
      <w:r w:rsidRPr="00C02F2C">
        <w:rPr>
          <w:rFonts w:ascii="Poor Richard" w:hAnsi="Poor Richard" w:cs="Times New Roman"/>
          <w:i/>
          <w:sz w:val="24"/>
          <w:szCs w:val="24"/>
        </w:rPr>
        <w:t xml:space="preserve">Liber </w:t>
      </w:r>
      <w:r w:rsidRPr="00C02F2C">
        <w:rPr>
          <w:rFonts w:ascii="Poor Richard" w:hAnsi="Poor Richard" w:cs="Times New Roman"/>
          <w:sz w:val="24"/>
          <w:szCs w:val="24"/>
        </w:rPr>
        <w:t xml:space="preserve"> and the </w:t>
      </w:r>
      <w:r w:rsidRPr="00C02F2C">
        <w:rPr>
          <w:rFonts w:ascii="Poor Richard" w:hAnsi="Poor Richard" w:cs="Times New Roman"/>
          <w:i/>
          <w:sz w:val="24"/>
          <w:szCs w:val="24"/>
        </w:rPr>
        <w:t>Dionysian corpus</w:t>
      </w:r>
      <w:r w:rsidRPr="00C02F2C">
        <w:rPr>
          <w:rFonts w:ascii="Poor Richard" w:hAnsi="Poor Richard" w:cs="Times New Roman"/>
          <w:sz w:val="24"/>
          <w:szCs w:val="24"/>
        </w:rPr>
        <w:t xml:space="preserve"> with </w:t>
      </w:r>
      <w:r w:rsidRPr="00C02F2C">
        <w:rPr>
          <w:rFonts w:ascii="Poor Richard" w:hAnsi="Poor Richard" w:cs="Times New Roman"/>
          <w:i/>
          <w:sz w:val="24"/>
          <w:szCs w:val="24"/>
        </w:rPr>
        <w:t>The Elements of Theology</w:t>
      </w:r>
      <w:r w:rsidRPr="00C02F2C">
        <w:rPr>
          <w:rFonts w:ascii="Poor Richard" w:hAnsi="Poor Richard" w:cs="Times New Roman"/>
          <w:sz w:val="24"/>
          <w:szCs w:val="24"/>
        </w:rPr>
        <w:t>, Thomas sets out a full picture of the many levels in the Platonic, i.e. Proclean, spiritual cosmos.  The most universal forms are called “gods” because of their universal causality.</w:t>
      </w:r>
      <w:r w:rsidRPr="00C02F2C">
        <w:rPr>
          <w:rStyle w:val="FootnoteReference"/>
          <w:rFonts w:ascii="Poor Richard" w:hAnsi="Poor Richard" w:cs="Times New Roman"/>
          <w:sz w:val="24"/>
          <w:szCs w:val="24"/>
        </w:rPr>
        <w:footnoteReference w:id="118"/>
      </w:r>
      <w:r w:rsidRPr="00C02F2C">
        <w:rPr>
          <w:rFonts w:ascii="Poor Richard" w:hAnsi="Poor Richard" w:cs="Times New Roman"/>
          <w:sz w:val="24"/>
          <w:szCs w:val="24"/>
        </w:rPr>
        <w:t xml:space="preserve"> He tells us that Dionysius corrects this position in the </w:t>
      </w:r>
      <w:r w:rsidRPr="00C02F2C">
        <w:rPr>
          <w:rFonts w:ascii="Poor Richard" w:hAnsi="Poor Richard" w:cs="Times New Roman"/>
          <w:i/>
          <w:sz w:val="24"/>
          <w:szCs w:val="24"/>
        </w:rPr>
        <w:t>Divine Names</w:t>
      </w:r>
      <w:r w:rsidRPr="00C02F2C">
        <w:rPr>
          <w:rFonts w:ascii="Poor Richard" w:hAnsi="Poor Richard" w:cs="Times New Roman"/>
          <w:sz w:val="24"/>
          <w:szCs w:val="24"/>
        </w:rPr>
        <w:t>:</w:t>
      </w:r>
      <w:r w:rsidRPr="00C02F2C">
        <w:rPr>
          <w:rFonts w:ascii="Poor Richard" w:hAnsi="Poor Richard" w:cs="Times New Roman"/>
          <w:sz w:val="24"/>
          <w:szCs w:val="24"/>
          <w:lang w:val="it-IT"/>
        </w:rPr>
        <w:t xml:space="preserve"> </w:t>
      </w:r>
      <w:r w:rsidRPr="00C02F2C">
        <w:rPr>
          <w:rFonts w:ascii="Poor Richard" w:hAnsi="Poor Richard" w:cs="Times New Roman"/>
          <w:sz w:val="24"/>
          <w:szCs w:val="24"/>
        </w:rPr>
        <w:t>“For it must be said that all these [</w:t>
      </w:r>
      <w:r w:rsidRPr="00C02F2C">
        <w:rPr>
          <w:rFonts w:ascii="Poor Richard" w:hAnsi="Poor Richard" w:cs="Times New Roman"/>
          <w:i/>
          <w:sz w:val="24"/>
          <w:szCs w:val="24"/>
        </w:rPr>
        <w:t>per se</w:t>
      </w:r>
      <w:r w:rsidRPr="00C02F2C">
        <w:rPr>
          <w:rFonts w:ascii="Poor Richard" w:hAnsi="Poor Richard" w:cs="Times New Roman"/>
          <w:sz w:val="24"/>
          <w:szCs w:val="24"/>
        </w:rPr>
        <w:t xml:space="preserve"> goodness, </w:t>
      </w:r>
      <w:r w:rsidRPr="00C02F2C">
        <w:rPr>
          <w:rFonts w:ascii="Poor Richard" w:hAnsi="Poor Richard" w:cs="Times New Roman"/>
          <w:i/>
          <w:sz w:val="24"/>
          <w:szCs w:val="24"/>
        </w:rPr>
        <w:t xml:space="preserve">per </w:t>
      </w:r>
      <w:r w:rsidRPr="00C02F2C">
        <w:rPr>
          <w:rFonts w:ascii="Poor Richard" w:hAnsi="Poor Richard" w:cs="Times New Roman"/>
          <w:i/>
          <w:sz w:val="24"/>
          <w:szCs w:val="24"/>
        </w:rPr>
        <w:lastRenderedPageBreak/>
        <w:t>se</w:t>
      </w:r>
      <w:r w:rsidRPr="00C02F2C">
        <w:rPr>
          <w:rFonts w:ascii="Poor Richard" w:hAnsi="Poor Richard" w:cs="Times New Roman"/>
          <w:sz w:val="24"/>
          <w:szCs w:val="24"/>
        </w:rPr>
        <w:t xml:space="preserve"> being, </w:t>
      </w:r>
      <w:r w:rsidRPr="00C02F2C">
        <w:rPr>
          <w:rFonts w:ascii="Poor Richard" w:hAnsi="Poor Richard" w:cs="Times New Roman"/>
          <w:i/>
          <w:sz w:val="24"/>
          <w:szCs w:val="24"/>
        </w:rPr>
        <w:t>per se</w:t>
      </w:r>
      <w:r w:rsidRPr="00C02F2C">
        <w:rPr>
          <w:rFonts w:ascii="Poor Richard" w:hAnsi="Poor Richard" w:cs="Times New Roman"/>
          <w:sz w:val="24"/>
          <w:szCs w:val="24"/>
        </w:rPr>
        <w:t xml:space="preserve"> life] are essentially the one first cause of all from which things participate all perfections of this kind.”</w:t>
      </w:r>
      <w:r w:rsidRPr="00C02F2C">
        <w:rPr>
          <w:rStyle w:val="FootnoteReference"/>
          <w:rFonts w:ascii="Poor Richard" w:hAnsi="Poor Richard" w:cs="Times New Roman"/>
          <w:sz w:val="24"/>
          <w:szCs w:val="24"/>
          <w:lang w:val="it-IT"/>
        </w:rPr>
        <w:footnoteReference w:id="119"/>
      </w:r>
      <w:r w:rsidRPr="00C02F2C">
        <w:rPr>
          <w:rFonts w:ascii="Poor Richard" w:hAnsi="Poor Richard" w:cs="Times New Roman"/>
          <w:sz w:val="24"/>
          <w:szCs w:val="24"/>
        </w:rPr>
        <w:t xml:space="preserve"> Dionysius turns these gods into names of one principle. Aquinas follows him.</w:t>
      </w:r>
      <w:r w:rsidRPr="00C02F2C">
        <w:rPr>
          <w:rStyle w:val="FootnoteReference"/>
          <w:rFonts w:ascii="Poor Richard" w:hAnsi="Poor Richard" w:cs="Times New Roman"/>
          <w:sz w:val="24"/>
          <w:szCs w:val="24"/>
        </w:rPr>
        <w:footnoteReference w:id="120"/>
      </w:r>
    </w:p>
    <w:p w:rsidR="000F23BE" w:rsidRPr="00C02F2C" w:rsidRDefault="000F23BE" w:rsidP="00A002C5">
      <w:pPr>
        <w:spacing w:after="0" w:line="280" w:lineRule="exact"/>
        <w:ind w:firstLine="720"/>
        <w:contextualSpacing/>
        <w:rPr>
          <w:rFonts w:ascii="Poor Richard" w:hAnsi="Poor Richard" w:cs="Times New Roman"/>
          <w:sz w:val="24"/>
          <w:szCs w:val="24"/>
          <w:lang w:val="en-US"/>
        </w:rPr>
      </w:pPr>
      <w:r w:rsidRPr="00C02F2C">
        <w:rPr>
          <w:rFonts w:ascii="Poor Richard" w:hAnsi="Poor Richard" w:cs="Times New Roman"/>
          <w:sz w:val="24"/>
          <w:szCs w:val="24"/>
        </w:rPr>
        <w:t xml:space="preserve">Expositing Dionysius “On Peace,” Thomas discerns Dionysius making the same point about these Platonic “gods,” “creators, as if they operated through themselves for the production of things,” which Albert had made, but without the language of idolatry. Indeed, for Aquinas, taking away what is erroneous, Dionysius brings out what is true in such Platonic talk: “they are speaking of God who is the one </w:t>
      </w:r>
      <w:proofErr w:type="spellStart"/>
      <w:r w:rsidRPr="00C02F2C">
        <w:rPr>
          <w:rFonts w:ascii="Poor Richard" w:hAnsi="Poor Richard" w:cs="Times New Roman"/>
          <w:sz w:val="24"/>
          <w:szCs w:val="24"/>
        </w:rPr>
        <w:t>supersubstantial</w:t>
      </w:r>
      <w:proofErr w:type="spellEnd"/>
      <w:r w:rsidRPr="00C02F2C">
        <w:rPr>
          <w:rFonts w:ascii="Poor Richard" w:hAnsi="Poor Richard" w:cs="Times New Roman"/>
          <w:sz w:val="24"/>
          <w:szCs w:val="24"/>
        </w:rPr>
        <w:t xml:space="preserve"> principle and cause of all; and God is called </w:t>
      </w:r>
      <w:r w:rsidRPr="00C02F2C">
        <w:rPr>
          <w:rFonts w:ascii="Poor Richard" w:hAnsi="Poor Richard" w:cs="Times New Roman"/>
          <w:i/>
          <w:sz w:val="24"/>
          <w:szCs w:val="24"/>
        </w:rPr>
        <w:t>per se</w:t>
      </w:r>
      <w:r w:rsidRPr="00C02F2C">
        <w:rPr>
          <w:rFonts w:ascii="Poor Richard" w:hAnsi="Poor Richard" w:cs="Times New Roman"/>
          <w:sz w:val="24"/>
          <w:szCs w:val="24"/>
        </w:rPr>
        <w:t xml:space="preserve"> life or </w:t>
      </w:r>
      <w:r w:rsidRPr="00C02F2C">
        <w:rPr>
          <w:rFonts w:ascii="Poor Richard" w:hAnsi="Poor Richard" w:cs="Times New Roman"/>
          <w:i/>
          <w:sz w:val="24"/>
          <w:szCs w:val="24"/>
        </w:rPr>
        <w:t>per se</w:t>
      </w:r>
      <w:r w:rsidRPr="00C02F2C">
        <w:rPr>
          <w:rFonts w:ascii="Poor Richard" w:hAnsi="Poor Richard" w:cs="Times New Roman"/>
          <w:sz w:val="24"/>
          <w:szCs w:val="24"/>
        </w:rPr>
        <w:t xml:space="preserve"> being, … because he himself is his own act of living, and his own life, and exceeds all being and life which is participated by creatures, and is the existing principle of living and being for all.”</w:t>
      </w:r>
      <w:r w:rsidRPr="00C02F2C">
        <w:rPr>
          <w:rStyle w:val="FootnoteReference"/>
          <w:rFonts w:ascii="Poor Richard" w:hAnsi="Poor Richard" w:cs="Times New Roman"/>
          <w:sz w:val="24"/>
          <w:szCs w:val="24"/>
        </w:rPr>
        <w:footnoteReference w:id="121"/>
      </w:r>
      <w:r w:rsidRPr="00C02F2C">
        <w:rPr>
          <w:rFonts w:ascii="Poor Richard" w:hAnsi="Poor Richard" w:cs="Times New Roman"/>
          <w:sz w:val="24"/>
          <w:szCs w:val="24"/>
        </w:rPr>
        <w:t xml:space="preserve"> Aquinas makes clear that this divine causality takes place not by a Platonic separation of the </w:t>
      </w:r>
      <w:proofErr w:type="spellStart"/>
      <w:r w:rsidRPr="00C02F2C">
        <w:rPr>
          <w:rFonts w:ascii="Poor Richard" w:hAnsi="Poor Richard" w:cs="Times New Roman"/>
          <w:i/>
          <w:sz w:val="24"/>
          <w:szCs w:val="24"/>
        </w:rPr>
        <w:t>intelligibilia</w:t>
      </w:r>
      <w:proofErr w:type="spellEnd"/>
      <w:r w:rsidRPr="00C02F2C">
        <w:rPr>
          <w:rFonts w:ascii="Poor Richard" w:hAnsi="Poor Richard" w:cs="Times New Roman"/>
          <w:sz w:val="24"/>
          <w:szCs w:val="24"/>
        </w:rPr>
        <w:t xml:space="preserve"> from the </w:t>
      </w:r>
      <w:proofErr w:type="spellStart"/>
      <w:r w:rsidRPr="00C02F2C">
        <w:rPr>
          <w:rFonts w:ascii="Poor Richard" w:hAnsi="Poor Richard" w:cs="Times New Roman"/>
          <w:i/>
          <w:sz w:val="24"/>
          <w:szCs w:val="24"/>
        </w:rPr>
        <w:t>intellectualibus</w:t>
      </w:r>
      <w:proofErr w:type="spellEnd"/>
      <w:r w:rsidRPr="00C02F2C">
        <w:rPr>
          <w:rFonts w:ascii="Poor Richard" w:hAnsi="Poor Richard" w:cs="Times New Roman"/>
          <w:sz w:val="24"/>
          <w:szCs w:val="24"/>
        </w:rPr>
        <w:t>, but because the intelligible object and the intellectual subject are identical in God.</w:t>
      </w:r>
      <w:r w:rsidRPr="00C02F2C">
        <w:rPr>
          <w:rStyle w:val="FootnoteReference"/>
          <w:rFonts w:ascii="Poor Richard" w:hAnsi="Poor Richard" w:cs="Times New Roman"/>
          <w:sz w:val="24"/>
          <w:szCs w:val="24"/>
        </w:rPr>
        <w:footnoteReference w:id="122"/>
      </w:r>
      <w:r w:rsidRPr="00C02F2C">
        <w:rPr>
          <w:rFonts w:ascii="Poor Richard" w:hAnsi="Poor Richard" w:cs="Times New Roman"/>
          <w:sz w:val="24"/>
          <w:szCs w:val="24"/>
        </w:rPr>
        <w:t xml:space="preserve"> This enables God to be the single cause both of the whole common existence and of what is proper to each individual.</w:t>
      </w:r>
      <w:r w:rsidRPr="00C02F2C">
        <w:rPr>
          <w:rStyle w:val="FootnoteReference"/>
          <w:rFonts w:ascii="Poor Richard" w:hAnsi="Poor Richard" w:cs="Times New Roman"/>
          <w:sz w:val="24"/>
          <w:szCs w:val="24"/>
        </w:rPr>
        <w:footnoteReference w:id="123"/>
      </w:r>
      <w:r w:rsidRPr="00C02F2C">
        <w:rPr>
          <w:rFonts w:ascii="Poor Richard" w:hAnsi="Poor Richard" w:cs="Times New Roman"/>
          <w:sz w:val="24"/>
          <w:szCs w:val="24"/>
        </w:rPr>
        <w:t xml:space="preserve"> The two are contained in one act of his self-knowledge. That the Dionysian notion of how God knows is Aristotle’s, Aquinas asserts repeatedly in the </w:t>
      </w:r>
      <w:r w:rsidRPr="00C02F2C">
        <w:rPr>
          <w:rFonts w:ascii="Poor Richard" w:hAnsi="Poor Richard" w:cs="Times New Roman"/>
          <w:i/>
          <w:sz w:val="24"/>
          <w:szCs w:val="24"/>
        </w:rPr>
        <w:t>De Substantiis Separatis</w:t>
      </w:r>
      <w:r w:rsidRPr="00C02F2C">
        <w:rPr>
          <w:rStyle w:val="FootnoteReference"/>
          <w:rFonts w:ascii="Poor Richard" w:hAnsi="Poor Richard" w:cs="Times New Roman"/>
          <w:sz w:val="24"/>
          <w:szCs w:val="24"/>
        </w:rPr>
        <w:footnoteReference w:id="124"/>
      </w:r>
      <w:r w:rsidRPr="00C02F2C">
        <w:rPr>
          <w:rFonts w:ascii="Poor Richard" w:hAnsi="Poor Richard" w:cs="Times New Roman"/>
          <w:sz w:val="24"/>
          <w:szCs w:val="24"/>
        </w:rPr>
        <w:t xml:space="preserve"> and </w:t>
      </w:r>
      <w:r w:rsidRPr="00C02F2C">
        <w:rPr>
          <w:rFonts w:ascii="Poor Richard" w:hAnsi="Poor Richard" w:cs="Times New Roman"/>
          <w:i/>
          <w:sz w:val="24"/>
          <w:szCs w:val="24"/>
          <w:lang w:val="en-US"/>
        </w:rPr>
        <w:t>Super De causis.</w:t>
      </w:r>
      <w:r w:rsidRPr="00C02F2C">
        <w:rPr>
          <w:rStyle w:val="FootnoteReference"/>
          <w:rFonts w:ascii="Poor Richard" w:hAnsi="Poor Richard" w:cs="Times New Roman"/>
          <w:sz w:val="24"/>
          <w:szCs w:val="24"/>
        </w:rPr>
        <w:footnoteReference w:id="125"/>
      </w:r>
    </w:p>
    <w:p w:rsidR="000F23BE" w:rsidRPr="00C02F2C" w:rsidRDefault="000F23BE" w:rsidP="001F782A">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In the latter, Aquinas begins with the Proclean dependence of the hierarchy of intellects on the hierarchy of separate forms, because the intellects participate the separate </w:t>
      </w:r>
      <w:proofErr w:type="spellStart"/>
      <w:r w:rsidRPr="00C02F2C">
        <w:rPr>
          <w:rFonts w:ascii="Poor Richard" w:hAnsi="Poor Richard" w:cs="Times New Roman"/>
          <w:sz w:val="24"/>
          <w:szCs w:val="24"/>
        </w:rPr>
        <w:t>intelligibles</w:t>
      </w:r>
      <w:proofErr w:type="spellEnd"/>
      <w:r w:rsidRPr="00C02F2C">
        <w:rPr>
          <w:rFonts w:ascii="Poor Richard" w:hAnsi="Poor Richard" w:cs="Times New Roman"/>
          <w:sz w:val="24"/>
          <w:szCs w:val="24"/>
        </w:rPr>
        <w:t xml:space="preserve"> in order to understand. “But following the view of Aristotle,” Aquinas writes, “which on this matter is more consonant with the Christian faith,” we do not posit separate forms above intellects “other than the separate good itself to which the whole universe is ordered as to an external good, as is said in Book 12 of the </w:t>
      </w:r>
      <w:r w:rsidRPr="00C02F2C">
        <w:rPr>
          <w:rFonts w:ascii="Poor Richard" w:hAnsi="Poor Richard" w:cs="Times New Roman"/>
          <w:i/>
          <w:sz w:val="24"/>
          <w:szCs w:val="24"/>
        </w:rPr>
        <w:t>Metaphysics</w:t>
      </w:r>
      <w:r w:rsidRPr="00C02F2C">
        <w:rPr>
          <w:rFonts w:ascii="Poor Richard" w:hAnsi="Poor Richard" w:cs="Times New Roman"/>
          <w:sz w:val="24"/>
          <w:szCs w:val="24"/>
        </w:rPr>
        <w:t>.” Separate intellects get what they know from participation in the first separate form, “pure goodness which is God himself.” He encompasses all perfections: “For he alone knows all things through his essence.” Aquinas concludes this passage with Dionysius who says that “from the divine wisdom itself the intelligent and intellectual powers of the angelic minds have simple and blessed understanding.”</w:t>
      </w:r>
      <w:r w:rsidRPr="00C02F2C">
        <w:rPr>
          <w:rStyle w:val="FootnoteReference"/>
          <w:rFonts w:ascii="Poor Richard" w:hAnsi="Poor Richard" w:cs="Times New Roman"/>
          <w:sz w:val="24"/>
          <w:szCs w:val="24"/>
        </w:rPr>
        <w:footnoteReference w:id="126"/>
      </w:r>
    </w:p>
    <w:p w:rsidR="000F23BE" w:rsidRPr="00C02F2C" w:rsidRDefault="000F23BE" w:rsidP="00047D26">
      <w:pPr>
        <w:spacing w:after="0" w:line="280" w:lineRule="exact"/>
        <w:ind w:firstLine="720"/>
        <w:contextualSpacing/>
        <w:rPr>
          <w:rFonts w:ascii="Poor Richard" w:hAnsi="Poor Richard" w:cs="Times New Roman"/>
          <w:iCs/>
          <w:sz w:val="24"/>
          <w:szCs w:val="24"/>
        </w:rPr>
      </w:pPr>
      <w:r w:rsidRPr="00C02F2C">
        <w:rPr>
          <w:rFonts w:ascii="Poor Richard" w:hAnsi="Poor Richard" w:cs="Times New Roman"/>
          <w:sz w:val="24"/>
          <w:szCs w:val="24"/>
        </w:rPr>
        <w:t>Here is what in the Proclean Dionysius is fundamentally Aristotelian, the justification of the beginning point of this essay. Booth’s study of the fate of Aristotle’s “</w:t>
      </w:r>
      <w:proofErr w:type="spellStart"/>
      <w:r w:rsidRPr="00C02F2C">
        <w:rPr>
          <w:rFonts w:ascii="Poor Richard" w:hAnsi="Poor Richard" w:cs="Times New Roman"/>
          <w:sz w:val="24"/>
          <w:szCs w:val="24"/>
        </w:rPr>
        <w:t>aporetic</w:t>
      </w:r>
      <w:proofErr w:type="spellEnd"/>
      <w:r w:rsidRPr="00C02F2C">
        <w:rPr>
          <w:rFonts w:ascii="Poor Richard" w:hAnsi="Poor Richard" w:cs="Times New Roman"/>
          <w:sz w:val="24"/>
          <w:szCs w:val="24"/>
        </w:rPr>
        <w:t xml:space="preserve"> ontology”, where substance is both generic and radically individual, concludes with Thomas’ philosophical theology as “The ‘</w:t>
      </w:r>
      <w:proofErr w:type="spellStart"/>
      <w:r w:rsidRPr="00C02F2C">
        <w:rPr>
          <w:rFonts w:ascii="Poor Richard" w:hAnsi="Poor Richard" w:cs="Times New Roman"/>
          <w:sz w:val="24"/>
          <w:szCs w:val="24"/>
        </w:rPr>
        <w:t>Aufhebung</w:t>
      </w:r>
      <w:proofErr w:type="spellEnd"/>
      <w:r w:rsidRPr="00C02F2C">
        <w:rPr>
          <w:rFonts w:ascii="Poor Richard" w:hAnsi="Poor Richard" w:cs="Times New Roman"/>
          <w:sz w:val="24"/>
          <w:szCs w:val="24"/>
        </w:rPr>
        <w:t>’ of radical Aristotelian ontology into a Pseudodionysian-Proclean ontology of ‘</w:t>
      </w:r>
      <w:proofErr w:type="spellStart"/>
      <w:r w:rsidRPr="00C02F2C">
        <w:rPr>
          <w:rFonts w:ascii="Poor Richard" w:hAnsi="Poor Richard" w:cs="Times New Roman"/>
          <w:sz w:val="24"/>
          <w:szCs w:val="24"/>
        </w:rPr>
        <w:t>Esse</w:t>
      </w:r>
      <w:proofErr w:type="spellEnd"/>
      <w:r w:rsidRPr="00C02F2C">
        <w:rPr>
          <w:rFonts w:ascii="Poor Richard" w:hAnsi="Poor Richard" w:cs="Times New Roman"/>
          <w:sz w:val="24"/>
          <w:szCs w:val="24"/>
        </w:rPr>
        <w:t>’,”</w:t>
      </w:r>
      <w:r w:rsidRPr="00C02F2C">
        <w:rPr>
          <w:rStyle w:val="FootnoteReference"/>
          <w:rFonts w:ascii="Poor Richard" w:hAnsi="Poor Richard" w:cs="Times New Roman"/>
          <w:sz w:val="24"/>
          <w:szCs w:val="24"/>
        </w:rPr>
        <w:footnoteReference w:id="127"/>
      </w:r>
      <w:r w:rsidRPr="00C02F2C">
        <w:rPr>
          <w:rFonts w:ascii="Poor Richard" w:hAnsi="Poor Richard" w:cs="Times New Roman"/>
          <w:sz w:val="24"/>
          <w:szCs w:val="24"/>
        </w:rPr>
        <w:t xml:space="preserve"> developing potentialities in Albert’s synthesis. The direction Proclus gave Platonism, corrected and extended by Islamic and Christian monotheists, most authoritatively in the </w:t>
      </w:r>
      <w:r w:rsidRPr="00C02F2C">
        <w:rPr>
          <w:rFonts w:ascii="Poor Richard" w:hAnsi="Poor Richard" w:cs="Times New Roman"/>
          <w:i/>
          <w:sz w:val="24"/>
          <w:szCs w:val="24"/>
        </w:rPr>
        <w:t>Liber</w:t>
      </w:r>
      <w:r w:rsidRPr="00C02F2C">
        <w:rPr>
          <w:rFonts w:ascii="Poor Richard" w:hAnsi="Poor Richard" w:cs="Times New Roman"/>
          <w:sz w:val="24"/>
          <w:szCs w:val="24"/>
        </w:rPr>
        <w:t xml:space="preserve"> and the </w:t>
      </w:r>
      <w:r w:rsidRPr="00C02F2C">
        <w:rPr>
          <w:rFonts w:ascii="Poor Richard" w:hAnsi="Poor Richard" w:cs="Times New Roman"/>
          <w:i/>
          <w:sz w:val="24"/>
          <w:szCs w:val="24"/>
          <w:lang w:val="en-US"/>
        </w:rPr>
        <w:t xml:space="preserve">Corpus </w:t>
      </w:r>
      <w:proofErr w:type="spellStart"/>
      <w:r w:rsidRPr="00C02F2C">
        <w:rPr>
          <w:rFonts w:ascii="Poor Richard" w:hAnsi="Poor Richard" w:cs="Times New Roman"/>
          <w:i/>
          <w:sz w:val="24"/>
          <w:szCs w:val="24"/>
          <w:lang w:val="en-US"/>
        </w:rPr>
        <w:t>dionysiacum</w:t>
      </w:r>
      <w:proofErr w:type="spellEnd"/>
      <w:r w:rsidRPr="00C02F2C">
        <w:rPr>
          <w:rFonts w:ascii="Poor Richard" w:hAnsi="Poor Richard" w:cs="Times New Roman"/>
          <w:sz w:val="24"/>
          <w:szCs w:val="24"/>
          <w:lang w:val="en-US"/>
        </w:rPr>
        <w:t xml:space="preserve">, enabled Thomas’ recuperation of Aristotle’s ontology of individual substance. “Asserting God himself to be ‘ipsum </w:t>
      </w:r>
      <w:proofErr w:type="spellStart"/>
      <w:r w:rsidRPr="00C02F2C">
        <w:rPr>
          <w:rFonts w:ascii="Poor Richard" w:hAnsi="Poor Richard" w:cs="Times New Roman"/>
          <w:sz w:val="24"/>
          <w:szCs w:val="24"/>
          <w:lang w:val="en-US"/>
        </w:rPr>
        <w:t>esse</w:t>
      </w:r>
      <w:proofErr w:type="spellEnd"/>
      <w:r w:rsidRPr="00C02F2C">
        <w:rPr>
          <w:rFonts w:ascii="Poor Richard" w:hAnsi="Poor Richard" w:cs="Times New Roman"/>
          <w:sz w:val="24"/>
          <w:szCs w:val="24"/>
          <w:lang w:val="en-US"/>
        </w:rPr>
        <w:t>’ in the manner of Pseudo-Dionysius, Thomas saw each thing as directly dependent on him.”</w:t>
      </w:r>
      <w:r w:rsidRPr="00C02F2C">
        <w:rPr>
          <w:rStyle w:val="FootnoteReference"/>
          <w:rFonts w:ascii="Poor Richard" w:hAnsi="Poor Richard" w:cs="Times New Roman"/>
          <w:sz w:val="24"/>
          <w:szCs w:val="24"/>
          <w:lang w:val="en-US"/>
        </w:rPr>
        <w:footnoteReference w:id="128"/>
      </w:r>
      <w:r w:rsidRPr="00C02F2C">
        <w:rPr>
          <w:rFonts w:ascii="Poor Richard" w:hAnsi="Poor Richard" w:cs="Times New Roman"/>
          <w:sz w:val="24"/>
          <w:szCs w:val="24"/>
        </w:rPr>
        <w:t xml:space="preserve"> “Thomas’s ontology should not be regarded as primarily Cryptoproclean, and its openness to Aristotelian thought not a concession, still less a contradiction, but a development of Aristotelian </w:t>
      </w:r>
      <w:proofErr w:type="spellStart"/>
      <w:r w:rsidRPr="00C02F2C">
        <w:rPr>
          <w:rFonts w:ascii="Poor Richard" w:hAnsi="Poor Richard" w:cs="Times New Roman"/>
          <w:sz w:val="24"/>
          <w:szCs w:val="24"/>
        </w:rPr>
        <w:t>virtualities</w:t>
      </w:r>
      <w:proofErr w:type="spellEnd"/>
      <w:r w:rsidRPr="00C02F2C">
        <w:rPr>
          <w:rFonts w:ascii="Poor Richard" w:hAnsi="Poor Richard" w:cs="Times New Roman"/>
          <w:sz w:val="24"/>
          <w:szCs w:val="24"/>
        </w:rPr>
        <w:t xml:space="preserve">, existing particularly in Pseudo-Dionysius’s ontology. Thomas’s Aristotelian ontology is a prolongation and development of Pseudo-Dionysius’s </w:t>
      </w:r>
      <w:proofErr w:type="spellStart"/>
      <w:r w:rsidRPr="00C02F2C">
        <w:rPr>
          <w:rFonts w:ascii="Poor Richard" w:hAnsi="Poor Richard" w:cs="Times New Roman"/>
          <w:sz w:val="24"/>
          <w:szCs w:val="24"/>
        </w:rPr>
        <w:t>Aristotelianisation</w:t>
      </w:r>
      <w:proofErr w:type="spellEnd"/>
      <w:r w:rsidRPr="00C02F2C">
        <w:rPr>
          <w:rFonts w:ascii="Poor Richard" w:hAnsi="Poor Richard" w:cs="Times New Roman"/>
          <w:sz w:val="24"/>
          <w:szCs w:val="24"/>
        </w:rPr>
        <w:t xml:space="preserve"> of Proclus’s </w:t>
      </w:r>
      <w:r w:rsidRPr="00C02F2C">
        <w:rPr>
          <w:rFonts w:ascii="Poor Richard" w:hAnsi="Poor Richard" w:cs="Times New Roman"/>
          <w:sz w:val="24"/>
          <w:szCs w:val="24"/>
        </w:rPr>
        <w:lastRenderedPageBreak/>
        <w:t>ontology.”</w:t>
      </w:r>
      <w:r w:rsidRPr="00C02F2C">
        <w:rPr>
          <w:rStyle w:val="FootnoteReference"/>
          <w:rFonts w:ascii="Poor Richard" w:hAnsi="Poor Richard" w:cs="Times New Roman"/>
          <w:sz w:val="24"/>
          <w:szCs w:val="24"/>
        </w:rPr>
        <w:footnoteReference w:id="129"/>
      </w:r>
      <w:r w:rsidRPr="00C02F2C">
        <w:rPr>
          <w:rFonts w:ascii="Poor Richard" w:hAnsi="Poor Richard" w:cs="Times New Roman"/>
          <w:sz w:val="24"/>
          <w:szCs w:val="24"/>
        </w:rPr>
        <w:t xml:space="preserve"> This judgement expresses the new scholarly consensus: Blankenhorn writes easily of “Proclean-Dionysian” and “Aristotle-Dionysius” fusions.</w:t>
      </w:r>
      <w:r w:rsidRPr="00C02F2C">
        <w:rPr>
          <w:rStyle w:val="FootnoteReference"/>
          <w:rFonts w:ascii="Poor Richard" w:hAnsi="Poor Richard" w:cs="Times New Roman"/>
          <w:sz w:val="24"/>
          <w:szCs w:val="24"/>
        </w:rPr>
        <w:footnoteReference w:id="130"/>
      </w:r>
      <w:r w:rsidRPr="00C02F2C">
        <w:rPr>
          <w:rFonts w:ascii="Poor Richard" w:hAnsi="Poor Richard" w:cs="Times New Roman"/>
          <w:sz w:val="24"/>
          <w:szCs w:val="24"/>
        </w:rPr>
        <w:t xml:space="preserve"> Pasquale </w:t>
      </w:r>
      <w:proofErr w:type="spellStart"/>
      <w:r w:rsidRPr="00C02F2C">
        <w:rPr>
          <w:rFonts w:ascii="Poor Richard" w:hAnsi="Poor Richard" w:cs="Times New Roman"/>
          <w:sz w:val="24"/>
          <w:szCs w:val="24"/>
        </w:rPr>
        <w:t>Porro</w:t>
      </w:r>
      <w:proofErr w:type="spellEnd"/>
      <w:r w:rsidRPr="00C02F2C">
        <w:rPr>
          <w:rFonts w:ascii="Poor Richard" w:hAnsi="Poor Richard" w:cs="Times New Roman"/>
          <w:iCs/>
          <w:sz w:val="24"/>
          <w:szCs w:val="24"/>
        </w:rPr>
        <w:t xml:space="preserve"> asserts that “Thomas ascribes to Pseudo-Dionysius…[what] is actually a combination of Aristotelianism and Pseudo-Dionysius (and indirectly Proclean Neo-Platonism).”</w:t>
      </w:r>
      <w:r w:rsidRPr="00C02F2C">
        <w:rPr>
          <w:rStyle w:val="FootnoteReference"/>
          <w:rFonts w:ascii="Poor Richard" w:hAnsi="Poor Richard" w:cs="Times New Roman"/>
          <w:iCs/>
          <w:sz w:val="24"/>
          <w:szCs w:val="24"/>
        </w:rPr>
        <w:footnoteReference w:id="131"/>
      </w:r>
    </w:p>
    <w:p w:rsidR="000F23BE" w:rsidRPr="00C02F2C" w:rsidRDefault="000F23BE" w:rsidP="001B4A52">
      <w:pPr>
        <w:spacing w:after="0" w:line="280" w:lineRule="exact"/>
        <w:contextualSpacing/>
        <w:rPr>
          <w:rFonts w:ascii="Poor Richard" w:hAnsi="Poor Richard" w:cs="Times New Roman"/>
          <w:sz w:val="24"/>
          <w:szCs w:val="24"/>
        </w:rPr>
      </w:pPr>
    </w:p>
    <w:p w:rsidR="000F23BE" w:rsidRPr="00C02F2C" w:rsidRDefault="000F23BE" w:rsidP="00E00D50">
      <w:pPr>
        <w:pStyle w:val="ListParagraph"/>
        <w:numPr>
          <w:ilvl w:val="0"/>
          <w:numId w:val="4"/>
        </w:numPr>
        <w:spacing w:after="0" w:line="280" w:lineRule="exact"/>
        <w:jc w:val="center"/>
        <w:rPr>
          <w:rFonts w:ascii="Poor Richard" w:hAnsi="Poor Richard" w:cs="Times New Roman"/>
          <w:sz w:val="24"/>
          <w:szCs w:val="24"/>
        </w:rPr>
      </w:pPr>
      <w:bookmarkStart w:id="0" w:name="bless"/>
      <w:bookmarkEnd w:id="0"/>
      <w:r w:rsidRPr="00C02F2C">
        <w:rPr>
          <w:rFonts w:ascii="Poor Richard" w:hAnsi="Poor Richard" w:cs="Times New Roman"/>
          <w:sz w:val="24"/>
          <w:szCs w:val="24"/>
        </w:rPr>
        <w:t>Blessed Darkness</w:t>
      </w:r>
    </w:p>
    <w:p w:rsidR="000F23BE" w:rsidRPr="00C02F2C" w:rsidRDefault="000F23BE" w:rsidP="00BB74C5">
      <w:pPr>
        <w:spacing w:after="0" w:line="280" w:lineRule="exact"/>
        <w:rPr>
          <w:rFonts w:ascii="Poor Richard" w:hAnsi="Poor Richard" w:cs="Times New Roman"/>
          <w:sz w:val="24"/>
          <w:szCs w:val="24"/>
        </w:rPr>
      </w:pPr>
      <w:r w:rsidRPr="00C02F2C">
        <w:rPr>
          <w:rFonts w:ascii="Poor Richard" w:hAnsi="Poor Richard" w:cs="Times New Roman"/>
          <w:sz w:val="24"/>
          <w:szCs w:val="24"/>
        </w:rPr>
        <w:t xml:space="preserve">For Albert and Aquinas, both Aristotle and Dionysius must be negative theologians, as they themselves are, but differently. The differences are signalled by a linguistic fact: Albert uses </w:t>
      </w:r>
      <w:r w:rsidRPr="00C02F2C">
        <w:rPr>
          <w:rFonts w:ascii="Poor Richard" w:hAnsi="Poor Richard" w:cs="Times New Roman"/>
          <w:iCs/>
          <w:sz w:val="24"/>
          <w:szCs w:val="24"/>
        </w:rPr>
        <w:t>the language of theophany prolifically.</w:t>
      </w:r>
      <w:r w:rsidRPr="00C02F2C">
        <w:rPr>
          <w:rStyle w:val="FootnoteReference"/>
          <w:rFonts w:ascii="Poor Richard" w:hAnsi="Poor Richard" w:cs="Times New Roman"/>
          <w:sz w:val="24"/>
          <w:szCs w:val="24"/>
        </w:rPr>
        <w:t xml:space="preserve"> </w:t>
      </w:r>
      <w:r w:rsidRPr="00C02F2C">
        <w:rPr>
          <w:rFonts w:ascii="Poor Richard" w:hAnsi="Poor Richard" w:cs="Times New Roman"/>
          <w:iCs/>
          <w:sz w:val="24"/>
          <w:szCs w:val="24"/>
        </w:rPr>
        <w:t xml:space="preserve">Aquinas uses it once in his entire </w:t>
      </w:r>
      <w:r w:rsidRPr="00C02F2C">
        <w:rPr>
          <w:rFonts w:ascii="Poor Richard" w:hAnsi="Poor Richard" w:cs="Times New Roman"/>
          <w:i/>
          <w:iCs/>
          <w:sz w:val="24"/>
          <w:szCs w:val="24"/>
        </w:rPr>
        <w:t>oeuvre</w:t>
      </w:r>
      <w:r w:rsidRPr="00C02F2C">
        <w:rPr>
          <w:rFonts w:ascii="Poor Richard" w:hAnsi="Poor Richard" w:cs="Times New Roman"/>
          <w:iCs/>
          <w:sz w:val="24"/>
          <w:szCs w:val="24"/>
        </w:rPr>
        <w:t xml:space="preserve">, early in his </w:t>
      </w:r>
      <w:r w:rsidRPr="00C02F2C">
        <w:rPr>
          <w:rFonts w:ascii="Poor Richard" w:hAnsi="Poor Richard" w:cs="Times New Roman"/>
          <w:i/>
          <w:iCs/>
          <w:sz w:val="24"/>
          <w:szCs w:val="24"/>
        </w:rPr>
        <w:t>Sentences Commentary</w:t>
      </w:r>
      <w:r w:rsidRPr="00C02F2C">
        <w:rPr>
          <w:rFonts w:ascii="Poor Richard" w:hAnsi="Poor Richard" w:cs="Times New Roman"/>
          <w:sz w:val="24"/>
          <w:szCs w:val="24"/>
        </w:rPr>
        <w:t>, then never again.</w:t>
      </w:r>
      <w:r w:rsidRPr="00C02F2C">
        <w:rPr>
          <w:rStyle w:val="FootnoteReference"/>
          <w:rFonts w:ascii="Poor Richard" w:hAnsi="Poor Richard" w:cs="Times New Roman"/>
          <w:sz w:val="24"/>
          <w:szCs w:val="24"/>
        </w:rPr>
        <w:t xml:space="preserve"> </w:t>
      </w:r>
      <w:r w:rsidRPr="00C02F2C">
        <w:rPr>
          <w:rStyle w:val="FootnoteReference"/>
          <w:rFonts w:ascii="Poor Richard" w:hAnsi="Poor Richard" w:cs="Times New Roman"/>
          <w:sz w:val="24"/>
          <w:szCs w:val="24"/>
        </w:rPr>
        <w:footnoteReference w:id="132"/>
      </w:r>
      <w:r w:rsidRPr="00C02F2C">
        <w:rPr>
          <w:rFonts w:ascii="Poor Richard" w:hAnsi="Poor Richard" w:cs="Times New Roman"/>
          <w:sz w:val="24"/>
          <w:szCs w:val="24"/>
        </w:rPr>
        <w:t xml:space="preserve"> Albert states the problem which makes his student avoid this language and requires both Dominicans to interpret Dionysius through Aristotle</w:t>
      </w:r>
      <w:r w:rsidRPr="00C02F2C">
        <w:rPr>
          <w:rFonts w:ascii="Poor Richard" w:hAnsi="Poor Richard" w:cs="Times New Roman"/>
          <w:iCs/>
          <w:sz w:val="24"/>
          <w:szCs w:val="24"/>
        </w:rPr>
        <w:t xml:space="preserve">: </w:t>
      </w:r>
      <w:r w:rsidRPr="00C02F2C">
        <w:rPr>
          <w:rFonts w:ascii="Poor Richard" w:hAnsi="Poor Richard" w:cs="Times New Roman"/>
          <w:sz w:val="24"/>
          <w:szCs w:val="24"/>
        </w:rPr>
        <w:t xml:space="preserve">“Dionysius posits </w:t>
      </w:r>
      <w:proofErr w:type="spellStart"/>
      <w:r w:rsidRPr="00C02F2C">
        <w:rPr>
          <w:rFonts w:ascii="Poor Richard" w:hAnsi="Poor Richard" w:cs="Times New Roman"/>
          <w:sz w:val="24"/>
          <w:szCs w:val="24"/>
        </w:rPr>
        <w:t>theophanies</w:t>
      </w:r>
      <w:proofErr w:type="spellEnd"/>
      <w:r w:rsidRPr="00C02F2C">
        <w:rPr>
          <w:rFonts w:ascii="Poor Richard" w:hAnsi="Poor Richard" w:cs="Times New Roman"/>
          <w:sz w:val="24"/>
          <w:szCs w:val="24"/>
        </w:rPr>
        <w:t xml:space="preserve">; a divine theophany is a likeness, not God Himself; however, he says that some of the blessed see God in </w:t>
      </w:r>
      <w:proofErr w:type="spellStart"/>
      <w:r w:rsidRPr="00C02F2C">
        <w:rPr>
          <w:rFonts w:ascii="Poor Richard" w:hAnsi="Poor Richard" w:cs="Times New Roman"/>
          <w:sz w:val="24"/>
          <w:szCs w:val="24"/>
        </w:rPr>
        <w:t>theophanies</w:t>
      </w:r>
      <w:proofErr w:type="spellEnd"/>
      <w:r w:rsidRPr="00C02F2C">
        <w:rPr>
          <w:rFonts w:ascii="Poor Richard" w:hAnsi="Poor Richard" w:cs="Times New Roman"/>
          <w:sz w:val="24"/>
          <w:szCs w:val="24"/>
        </w:rPr>
        <w:t>.”</w:t>
      </w:r>
      <w:r w:rsidRPr="00C02F2C">
        <w:rPr>
          <w:rStyle w:val="FootnoteReference"/>
          <w:rFonts w:ascii="Poor Richard" w:hAnsi="Poor Richard" w:cs="Times New Roman"/>
          <w:sz w:val="24"/>
          <w:szCs w:val="24"/>
        </w:rPr>
        <w:footnoteReference w:id="133"/>
      </w:r>
      <w:r w:rsidRPr="00C02F2C">
        <w:rPr>
          <w:rFonts w:ascii="Poor Richard" w:hAnsi="Poor Richard" w:cs="Times New Roman"/>
          <w:sz w:val="24"/>
          <w:szCs w:val="24"/>
        </w:rPr>
        <w:t xml:space="preserve"> Nonetheless, Albert concludes in this place and consistently </w:t>
      </w:r>
      <w:r w:rsidRPr="00C02F2C">
        <w:rPr>
          <w:rFonts w:ascii="Poor Richard" w:hAnsi="Poor Richard" w:cs="Times New Roman"/>
          <w:iCs/>
          <w:sz w:val="24"/>
          <w:szCs w:val="24"/>
        </w:rPr>
        <w:t>that all angels see God immediately, “both the superior and the lower ones</w:t>
      </w:r>
      <w:r w:rsidRPr="00C02F2C">
        <w:rPr>
          <w:rFonts w:ascii="Poor Richard" w:hAnsi="Poor Richard" w:cs="Times New Roman"/>
          <w:sz w:val="24"/>
          <w:szCs w:val="24"/>
        </w:rPr>
        <w:t>.”</w:t>
      </w:r>
      <w:r w:rsidRPr="00C02F2C">
        <w:rPr>
          <w:rStyle w:val="FootnoteReference"/>
          <w:rFonts w:ascii="Poor Richard" w:hAnsi="Poor Richard" w:cs="Times New Roman"/>
          <w:sz w:val="24"/>
          <w:szCs w:val="24"/>
        </w:rPr>
        <w:footnoteReference w:id="134"/>
      </w:r>
      <w:r w:rsidRPr="00C02F2C">
        <w:rPr>
          <w:rFonts w:ascii="Poor Richard" w:hAnsi="Poor Richard" w:cs="Times New Roman"/>
          <w:sz w:val="24"/>
          <w:szCs w:val="24"/>
        </w:rPr>
        <w:t xml:space="preserve"> Indeed,</w:t>
      </w:r>
      <w:r w:rsidRPr="00C02F2C">
        <w:rPr>
          <w:rFonts w:ascii="Poor Richard" w:hAnsi="Poor Richard" w:cs="Times New Roman"/>
          <w:iCs/>
          <w:sz w:val="24"/>
          <w:szCs w:val="24"/>
        </w:rPr>
        <w:t xml:space="preserve"> “God will be seen </w:t>
      </w:r>
      <w:r w:rsidRPr="00C02F2C">
        <w:rPr>
          <w:rFonts w:ascii="Poor Richard" w:hAnsi="Poor Richard" w:cs="Times New Roman"/>
          <w:i/>
          <w:sz w:val="24"/>
          <w:szCs w:val="24"/>
        </w:rPr>
        <w:t xml:space="preserve">in patria </w:t>
      </w:r>
      <w:r w:rsidRPr="00C02F2C">
        <w:rPr>
          <w:rFonts w:ascii="Poor Richard" w:hAnsi="Poor Richard" w:cs="Times New Roman"/>
          <w:sz w:val="24"/>
          <w:szCs w:val="24"/>
        </w:rPr>
        <w:t>through his essence by angels and the saints, … in the way that he is an object to himself.”</w:t>
      </w:r>
      <w:r w:rsidRPr="00C02F2C">
        <w:rPr>
          <w:rStyle w:val="FootnoteReference"/>
          <w:rFonts w:ascii="Poor Richard" w:hAnsi="Poor Richard" w:cs="Times New Roman"/>
          <w:sz w:val="24"/>
          <w:szCs w:val="24"/>
        </w:rPr>
        <w:footnoteReference w:id="135"/>
      </w:r>
      <w:r w:rsidRPr="00C02F2C">
        <w:rPr>
          <w:rFonts w:ascii="Poor Richard" w:hAnsi="Poor Richard" w:cs="Times New Roman"/>
          <w:sz w:val="24"/>
          <w:szCs w:val="24"/>
        </w:rPr>
        <w:t xml:space="preserve"> </w:t>
      </w:r>
      <w:r w:rsidRPr="00C02F2C">
        <w:rPr>
          <w:rFonts w:ascii="Poor Richard" w:hAnsi="Poor Richard" w:cs="Times New Roman"/>
          <w:iCs/>
          <w:sz w:val="24"/>
          <w:szCs w:val="24"/>
        </w:rPr>
        <w:t>Albert squares this circle, as indicated earlier, by developing the doctrine of created grace. Blankenhorn writes of Albert’s “original contribution” a cornerstone for his new synthesis</w:t>
      </w:r>
      <w:r w:rsidRPr="00C02F2C">
        <w:rPr>
          <w:rFonts w:ascii="Poor Richard" w:hAnsi="Poor Richard" w:cs="Times New Roman"/>
          <w:sz w:val="24"/>
          <w:szCs w:val="24"/>
        </w:rPr>
        <w:t>: “theophany as a double gift of uncreated light that is God’s manifesting himself and a created gift of glory disposing us.”</w:t>
      </w:r>
      <w:r w:rsidRPr="00C02F2C">
        <w:rPr>
          <w:rStyle w:val="FootnoteReference"/>
          <w:rFonts w:ascii="Poor Richard" w:hAnsi="Poor Richard" w:cs="Times New Roman"/>
          <w:sz w:val="24"/>
          <w:szCs w:val="24"/>
        </w:rPr>
        <w:footnoteReference w:id="136"/>
      </w:r>
      <w:r w:rsidRPr="00C02F2C">
        <w:rPr>
          <w:rFonts w:ascii="Poor Richard" w:hAnsi="Poor Richard" w:cs="Times New Roman"/>
          <w:sz w:val="24"/>
          <w:szCs w:val="24"/>
        </w:rPr>
        <w:t xml:space="preserve"> By way of theophany as double gift, Albert gets both mediation and immediacy.</w:t>
      </w:r>
      <w:r w:rsidRPr="00C02F2C">
        <w:rPr>
          <w:rStyle w:val="FootnoteReference"/>
          <w:rFonts w:ascii="Poor Richard" w:hAnsi="Poor Richard" w:cs="Times New Roman"/>
          <w:sz w:val="24"/>
          <w:szCs w:val="24"/>
          <w:lang w:val="fr-CA"/>
        </w:rPr>
        <w:footnoteReference w:id="137"/>
      </w:r>
      <w:r w:rsidRPr="00C02F2C">
        <w:rPr>
          <w:rFonts w:ascii="Poor Richard" w:hAnsi="Poor Richard" w:cs="Times New Roman"/>
          <w:sz w:val="24"/>
          <w:szCs w:val="24"/>
          <w:lang w:val="en-US"/>
        </w:rPr>
        <w:t xml:space="preserve"> </w:t>
      </w:r>
      <w:r w:rsidRPr="00C02F2C">
        <w:rPr>
          <w:rFonts w:ascii="Poor Richard" w:hAnsi="Poor Richard" w:cs="Times New Roman"/>
          <w:sz w:val="24"/>
          <w:szCs w:val="24"/>
        </w:rPr>
        <w:t>Without “</w:t>
      </w:r>
      <w:proofErr w:type="spellStart"/>
      <w:r w:rsidRPr="00C02F2C">
        <w:rPr>
          <w:rFonts w:ascii="Poor Richard" w:hAnsi="Poor Richard" w:cs="Times New Roman"/>
          <w:sz w:val="24"/>
          <w:szCs w:val="24"/>
        </w:rPr>
        <w:t>theophania</w:t>
      </w:r>
      <w:proofErr w:type="spellEnd"/>
      <w:r w:rsidRPr="00C02F2C">
        <w:rPr>
          <w:rFonts w:ascii="Poor Richard" w:hAnsi="Poor Richard" w:cs="Times New Roman"/>
          <w:sz w:val="24"/>
          <w:szCs w:val="24"/>
        </w:rPr>
        <w:t>,” Aquinas will follow Albert on created grace.</w:t>
      </w:r>
    </w:p>
    <w:p w:rsidR="000F23BE" w:rsidRPr="00C02F2C" w:rsidRDefault="000F23BE" w:rsidP="00BB74C5">
      <w:pPr>
        <w:spacing w:after="0"/>
        <w:ind w:firstLine="720"/>
        <w:contextualSpacing/>
        <w:rPr>
          <w:rFonts w:ascii="Poor Richard" w:hAnsi="Poor Richard" w:cs="Times New Roman"/>
          <w:sz w:val="24"/>
          <w:szCs w:val="24"/>
        </w:rPr>
      </w:pPr>
      <w:r w:rsidRPr="00C02F2C">
        <w:rPr>
          <w:rFonts w:ascii="Poor Richard" w:hAnsi="Poor Richard" w:cs="Times New Roman"/>
          <w:sz w:val="24"/>
          <w:szCs w:val="24"/>
        </w:rPr>
        <w:t xml:space="preserve">Although Albert establishes the foundation on which Aquinas built, the weights the two give the knowledge and ignorance of God are different. Albert comes down more strongly for apophatism. It is indicative of the subtle differences that Albert chooses to keep the </w:t>
      </w:r>
      <w:proofErr w:type="spellStart"/>
      <w:r w:rsidRPr="00C02F2C">
        <w:rPr>
          <w:rFonts w:ascii="Poor Richard" w:hAnsi="Poor Richard" w:cs="Times New Roman"/>
          <w:sz w:val="24"/>
          <w:szCs w:val="24"/>
        </w:rPr>
        <w:t>Eriugenean</w:t>
      </w:r>
      <w:proofErr w:type="spellEnd"/>
      <w:r w:rsidRPr="00C02F2C">
        <w:rPr>
          <w:rFonts w:ascii="Poor Richard" w:hAnsi="Poor Richard" w:cs="Times New Roman"/>
          <w:sz w:val="24"/>
          <w:szCs w:val="24"/>
        </w:rPr>
        <w:t>-Dionysian language of theophany and to modify it elaborately and creatively;</w:t>
      </w:r>
      <w:r w:rsidRPr="00C02F2C">
        <w:rPr>
          <w:rStyle w:val="FootnoteReference"/>
          <w:rFonts w:ascii="Poor Richard" w:hAnsi="Poor Richard" w:cs="Times New Roman"/>
          <w:sz w:val="24"/>
          <w:szCs w:val="24"/>
        </w:rPr>
        <w:t xml:space="preserve"> </w:t>
      </w:r>
      <w:r w:rsidRPr="00C02F2C">
        <w:rPr>
          <w:rStyle w:val="FootnoteReference"/>
          <w:rFonts w:ascii="Poor Richard" w:hAnsi="Poor Richard" w:cs="Times New Roman"/>
          <w:sz w:val="24"/>
          <w:szCs w:val="24"/>
        </w:rPr>
        <w:footnoteReference w:id="138"/>
      </w:r>
      <w:r w:rsidRPr="00C02F2C">
        <w:rPr>
          <w:rFonts w:ascii="Poor Richard" w:hAnsi="Poor Richard" w:cs="Times New Roman"/>
          <w:sz w:val="24"/>
          <w:szCs w:val="24"/>
        </w:rPr>
        <w:t xml:space="preserve"> Aquinas drops the language but keeps the radically new doctrine Albert developed.</w:t>
      </w:r>
      <w:bookmarkStart w:id="1" w:name="night"/>
      <w:bookmarkEnd w:id="1"/>
    </w:p>
    <w:p w:rsidR="000F23BE" w:rsidRPr="00C02F2C" w:rsidRDefault="000F23BE" w:rsidP="003B7FC8">
      <w:pPr>
        <w:spacing w:after="0"/>
        <w:ind w:firstLine="720"/>
        <w:contextualSpacing/>
        <w:rPr>
          <w:rFonts w:ascii="Poor Richard" w:hAnsi="Poor Richard" w:cs="Times New Roman"/>
          <w:sz w:val="24"/>
          <w:szCs w:val="24"/>
        </w:rPr>
      </w:pPr>
      <w:r w:rsidRPr="00C02F2C">
        <w:rPr>
          <w:rFonts w:ascii="Poor Richard" w:hAnsi="Poor Richard" w:cs="Times New Roman"/>
          <w:i/>
          <w:sz w:val="24"/>
          <w:szCs w:val="24"/>
        </w:rPr>
        <w:t>Metaphysics</w:t>
      </w:r>
      <w:r w:rsidRPr="00C02F2C">
        <w:rPr>
          <w:rFonts w:ascii="Poor Richard" w:hAnsi="Poor Richard" w:cs="Times New Roman"/>
          <w:sz w:val="24"/>
          <w:szCs w:val="24"/>
        </w:rPr>
        <w:t xml:space="preserve"> 2.1 helped Albert and Thomas judge that Aristotle and Dionysius taught the same about our ignorance of separate substance and for the same reasons. Here Thomas learns that: “the difficulty experienced in knowing the truth is due principally to some weakness on the part of our intellect.”</w:t>
      </w:r>
      <w:r w:rsidRPr="00C02F2C">
        <w:rPr>
          <w:rStyle w:val="FootnoteReference"/>
          <w:rFonts w:ascii="Poor Richard" w:hAnsi="Poor Richard" w:cs="Times New Roman"/>
          <w:sz w:val="24"/>
          <w:szCs w:val="24"/>
        </w:rPr>
        <w:footnoteReference w:id="139"/>
      </w:r>
      <w:r w:rsidRPr="00C02F2C">
        <w:rPr>
          <w:rFonts w:ascii="Poor Richard" w:hAnsi="Poor Richard" w:cs="Times New Roman"/>
          <w:sz w:val="24"/>
          <w:szCs w:val="24"/>
        </w:rPr>
        <w:t xml:space="preserve"> For Aquinas, the consonance of Aristotle and the Platonists includes the incomprehensibility of God. Human reason is too weak, but also the First cannot be included in a genus through which it would be defined and understood.</w:t>
      </w:r>
      <w:r w:rsidRPr="00C02F2C">
        <w:rPr>
          <w:rStyle w:val="FootnoteReference"/>
          <w:rFonts w:ascii="Poor Richard" w:hAnsi="Poor Richard" w:cs="Times New Roman"/>
          <w:sz w:val="24"/>
          <w:szCs w:val="24"/>
        </w:rPr>
        <w:footnoteReference w:id="140"/>
      </w:r>
      <w:r w:rsidRPr="00C02F2C">
        <w:rPr>
          <w:rFonts w:ascii="Poor Richard" w:hAnsi="Poor Richard" w:cs="Times New Roman"/>
          <w:sz w:val="24"/>
          <w:szCs w:val="24"/>
        </w:rPr>
        <w:t xml:space="preserve"> There is also, crucially, an important difference.</w:t>
      </w:r>
    </w:p>
    <w:p w:rsidR="000F23BE" w:rsidRPr="00C02F2C" w:rsidRDefault="000F23BE" w:rsidP="003B7FC8">
      <w:pPr>
        <w:spacing w:after="0"/>
        <w:ind w:firstLine="720"/>
        <w:contextualSpacing/>
        <w:rPr>
          <w:rFonts w:ascii="Poor Richard" w:hAnsi="Poor Richard" w:cs="Times New Roman"/>
          <w:sz w:val="24"/>
          <w:szCs w:val="24"/>
        </w:rPr>
      </w:pPr>
      <w:r w:rsidRPr="00C02F2C">
        <w:rPr>
          <w:rFonts w:ascii="Poor Richard" w:hAnsi="Poor Richard" w:cs="Times New Roman"/>
          <w:sz w:val="24"/>
          <w:szCs w:val="24"/>
        </w:rPr>
        <w:lastRenderedPageBreak/>
        <w:t xml:space="preserve">Aquinas uses Proclus to explain why the </w:t>
      </w:r>
      <w:proofErr w:type="spellStart"/>
      <w:r w:rsidRPr="00C02F2C">
        <w:rPr>
          <w:rFonts w:ascii="Poor Richard" w:hAnsi="Poor Richard" w:cs="Times New Roman"/>
          <w:sz w:val="24"/>
          <w:szCs w:val="24"/>
        </w:rPr>
        <w:t>superessential</w:t>
      </w:r>
      <w:proofErr w:type="spellEnd"/>
      <w:r w:rsidRPr="00C02F2C">
        <w:rPr>
          <w:rFonts w:ascii="Poor Richard" w:hAnsi="Poor Richard" w:cs="Times New Roman"/>
          <w:sz w:val="24"/>
          <w:szCs w:val="24"/>
        </w:rPr>
        <w:t xml:space="preserve"> unity of the Platonic Principle is entirely beyond being known.</w:t>
      </w:r>
      <w:r w:rsidRPr="00C02F2C">
        <w:rPr>
          <w:rStyle w:val="FootnoteReference"/>
          <w:rFonts w:ascii="Poor Richard" w:hAnsi="Poor Richard" w:cs="Times New Roman"/>
          <w:sz w:val="24"/>
          <w:szCs w:val="24"/>
        </w:rPr>
        <w:footnoteReference w:id="141"/>
      </w:r>
      <w:r w:rsidRPr="00C02F2C">
        <w:rPr>
          <w:rFonts w:ascii="Poor Richard" w:hAnsi="Poor Richard" w:cs="Times New Roman"/>
          <w:sz w:val="24"/>
          <w:szCs w:val="24"/>
        </w:rPr>
        <w:t xml:space="preserve"> Both </w:t>
      </w:r>
      <w:r w:rsidRPr="00C02F2C">
        <w:rPr>
          <w:rFonts w:ascii="Poor Richard" w:hAnsi="Poor Richard" w:cs="Times New Roman"/>
          <w:i/>
          <w:sz w:val="24"/>
          <w:szCs w:val="24"/>
        </w:rPr>
        <w:t>In De divinis nominibus</w:t>
      </w:r>
      <w:r w:rsidRPr="00C02F2C">
        <w:rPr>
          <w:rFonts w:ascii="Poor Richard" w:hAnsi="Poor Richard" w:cs="Times New Roman"/>
          <w:sz w:val="24"/>
          <w:szCs w:val="24"/>
        </w:rPr>
        <w:t xml:space="preserve"> and </w:t>
      </w:r>
      <w:r w:rsidRPr="00C02F2C">
        <w:rPr>
          <w:rFonts w:ascii="Poor Richard" w:hAnsi="Poor Richard" w:cs="Times New Roman"/>
          <w:i/>
          <w:sz w:val="24"/>
          <w:szCs w:val="24"/>
        </w:rPr>
        <w:t>Super De causis</w:t>
      </w:r>
      <w:r w:rsidRPr="00C02F2C">
        <w:rPr>
          <w:rFonts w:ascii="Poor Richard" w:hAnsi="Poor Richard" w:cs="Times New Roman"/>
          <w:sz w:val="24"/>
          <w:szCs w:val="24"/>
        </w:rPr>
        <w:t xml:space="preserve"> fix a great gulf between Dionysius, the </w:t>
      </w:r>
      <w:r w:rsidRPr="00C02F2C">
        <w:rPr>
          <w:rFonts w:ascii="Poor Richard" w:hAnsi="Poor Richard" w:cs="Times New Roman"/>
          <w:i/>
          <w:sz w:val="24"/>
          <w:szCs w:val="24"/>
        </w:rPr>
        <w:t>Liber,</w:t>
      </w:r>
      <w:r w:rsidRPr="00C02F2C">
        <w:rPr>
          <w:rFonts w:ascii="Poor Richard" w:hAnsi="Poor Richard" w:cs="Times New Roman"/>
          <w:sz w:val="24"/>
          <w:szCs w:val="24"/>
        </w:rPr>
        <w:t xml:space="preserve"> and Aristotle, on one side, and the </w:t>
      </w:r>
      <w:proofErr w:type="spellStart"/>
      <w:r w:rsidRPr="00C02F2C">
        <w:rPr>
          <w:rFonts w:ascii="Poor Richard" w:hAnsi="Poor Richard" w:cs="Times New Roman"/>
          <w:i/>
          <w:sz w:val="24"/>
          <w:szCs w:val="24"/>
        </w:rPr>
        <w:t>Platonici</w:t>
      </w:r>
      <w:proofErr w:type="spellEnd"/>
      <w:r w:rsidRPr="00C02F2C">
        <w:rPr>
          <w:rFonts w:ascii="Poor Richard" w:hAnsi="Poor Richard" w:cs="Times New Roman"/>
          <w:sz w:val="24"/>
          <w:szCs w:val="24"/>
        </w:rPr>
        <w:t xml:space="preserve">, on the other. The Platonic First is unknowable because it exceeds being. In contrast, “according to the truth of things,” and thus Dionysius, “the first cause is above existing things insofar as it is infinite actual being (ipsum </w:t>
      </w:r>
      <w:proofErr w:type="spellStart"/>
      <w:r w:rsidRPr="00C02F2C">
        <w:rPr>
          <w:rFonts w:ascii="Poor Richard" w:hAnsi="Poor Richard" w:cs="Times New Roman"/>
          <w:sz w:val="24"/>
          <w:szCs w:val="24"/>
        </w:rPr>
        <w:t>esse</w:t>
      </w:r>
      <w:proofErr w:type="spellEnd"/>
      <w:r w:rsidRPr="00C02F2C">
        <w:rPr>
          <w:rFonts w:ascii="Poor Richard" w:hAnsi="Poor Richard" w:cs="Times New Roman"/>
          <w:sz w:val="24"/>
          <w:szCs w:val="24"/>
        </w:rPr>
        <w:t xml:space="preserve"> infinitum).”</w:t>
      </w:r>
      <w:r w:rsidRPr="00C02F2C">
        <w:rPr>
          <w:rStyle w:val="FootnoteReference"/>
          <w:rFonts w:ascii="Poor Richard" w:hAnsi="Poor Richard" w:cs="Times New Roman"/>
          <w:sz w:val="24"/>
          <w:szCs w:val="24"/>
        </w:rPr>
        <w:footnoteReference w:id="142"/>
      </w:r>
      <w:r w:rsidRPr="00C02F2C">
        <w:rPr>
          <w:rFonts w:ascii="Poor Richard" w:hAnsi="Poor Richard" w:cs="Times New Roman"/>
          <w:sz w:val="24"/>
          <w:szCs w:val="24"/>
        </w:rPr>
        <w:t xml:space="preserve"> For Aquinas our ignorance is confined to this present life and the union of soul to this body: “in this present life our intellect is not so joined to God as to see his essence but so that it knows of God what he is not.”</w:t>
      </w:r>
      <w:r w:rsidRPr="00C02F2C">
        <w:rPr>
          <w:rStyle w:val="FootnoteReference"/>
          <w:rFonts w:ascii="Poor Richard" w:hAnsi="Poor Richard" w:cs="Times New Roman"/>
          <w:sz w:val="24"/>
          <w:szCs w:val="24"/>
        </w:rPr>
        <w:footnoteReference w:id="143"/>
      </w:r>
    </w:p>
    <w:p w:rsidR="000F23BE" w:rsidRPr="00C02F2C" w:rsidRDefault="000F23BE" w:rsidP="003A33D5">
      <w:pPr>
        <w:spacing w:after="0" w:line="280" w:lineRule="exact"/>
        <w:ind w:firstLine="720"/>
        <w:contextualSpacing/>
        <w:rPr>
          <w:rFonts w:ascii="Poor Richard" w:hAnsi="Poor Richard" w:cs="Times New Roman"/>
          <w:vanish/>
          <w:sz w:val="24"/>
          <w:szCs w:val="24"/>
          <w:specVanish/>
        </w:rPr>
      </w:pPr>
      <w:r w:rsidRPr="00C02F2C">
        <w:rPr>
          <w:rFonts w:ascii="Poor Richard" w:hAnsi="Poor Richard" w:cs="Times New Roman"/>
          <w:i/>
          <w:sz w:val="24"/>
          <w:szCs w:val="24"/>
        </w:rPr>
        <w:t>Metaphysics</w:t>
      </w:r>
      <w:r w:rsidRPr="00C02F2C">
        <w:rPr>
          <w:rFonts w:ascii="Poor Richard" w:hAnsi="Poor Richard" w:cs="Times New Roman"/>
          <w:sz w:val="24"/>
          <w:szCs w:val="24"/>
        </w:rPr>
        <w:t xml:space="preserve"> 2 brings Aquinas to our starting point, the doctrine Archbishop Peckham condemned as the worst of all; the human soul is by nature the actuality of a body. Thus, “it has a natural aptitude to know the truth about corporeal and sensible things.” They are known by abstracting forms from phantasms, what the human soul is fitted for. “However, by this process, it cannot be elevated to the level of knowing the quiddities of immaterial substances because these are not on the same level as sensible substances. Therefore it is impossible for the human soul, which is united to this kind of body, to apprehend separate substances by knowing what they are.”</w:t>
      </w:r>
      <w:r w:rsidRPr="00C02F2C">
        <w:rPr>
          <w:rStyle w:val="FootnoteReference"/>
          <w:rFonts w:ascii="Poor Richard" w:hAnsi="Poor Richard" w:cs="Times New Roman"/>
          <w:sz w:val="24"/>
          <w:szCs w:val="24"/>
        </w:rPr>
        <w:footnoteReference w:id="144"/>
      </w:r>
      <w:r w:rsidRPr="00C02F2C">
        <w:rPr>
          <w:rFonts w:ascii="Poor Richard" w:hAnsi="Poor Richard" w:cs="Times New Roman"/>
          <w:sz w:val="24"/>
          <w:szCs w:val="24"/>
        </w:rPr>
        <w:t xml:space="preserve"> This certainly “destroys and erodes … everything which Augustine teaches on the eternal laws and the immutable light, the faculties of the soul.”</w:t>
      </w:r>
      <w:r w:rsidRPr="00C02F2C">
        <w:rPr>
          <w:rStyle w:val="FootnoteReference"/>
          <w:rFonts w:ascii="Poor Richard" w:hAnsi="Poor Richard" w:cs="Times New Roman"/>
          <w:sz w:val="24"/>
          <w:szCs w:val="24"/>
        </w:rPr>
        <w:t xml:space="preserve"> </w:t>
      </w:r>
      <w:r w:rsidRPr="00C02F2C">
        <w:rPr>
          <w:rStyle w:val="FootnoteReference"/>
          <w:rFonts w:ascii="Poor Richard" w:hAnsi="Poor Richard" w:cs="Times New Roman"/>
          <w:sz w:val="24"/>
          <w:szCs w:val="24"/>
        </w:rPr>
        <w:footnoteReference w:id="145"/>
      </w:r>
      <w:r w:rsidRPr="00C02F2C">
        <w:rPr>
          <w:rFonts w:ascii="Poor Richard" w:hAnsi="Poor Richard" w:cs="Times New Roman"/>
          <w:sz w:val="24"/>
          <w:szCs w:val="24"/>
        </w:rPr>
        <w:t xml:space="preserve"> Albert and Aquinas were harsh realists. </w:t>
      </w:r>
      <w:r w:rsidR="00510812">
        <w:rPr>
          <w:rFonts w:ascii="Poor Richard" w:hAnsi="Poor Richard" w:cs="Times New Roman"/>
          <w:sz w:val="24"/>
          <w:szCs w:val="24"/>
        </w:rPr>
        <w:t xml:space="preserve">Heresy is by its nature chosen. </w:t>
      </w:r>
      <w:r w:rsidRPr="00C02F2C">
        <w:rPr>
          <w:rFonts w:ascii="Poor Richard" w:hAnsi="Poor Richard" w:cs="Times New Roman"/>
          <w:sz w:val="24"/>
          <w:szCs w:val="24"/>
        </w:rPr>
        <w:t>The</w:t>
      </w:r>
      <w:r w:rsidR="00510812">
        <w:rPr>
          <w:rFonts w:ascii="Poor Richard" w:hAnsi="Poor Richard" w:cs="Times New Roman"/>
          <w:sz w:val="24"/>
          <w:szCs w:val="24"/>
        </w:rPr>
        <w:t xml:space="preserve"> </w:t>
      </w:r>
      <w:r w:rsidRPr="00C02F2C">
        <w:rPr>
          <w:rFonts w:ascii="Poor Richard" w:hAnsi="Poor Richard" w:cs="Times New Roman"/>
          <w:sz w:val="24"/>
          <w:szCs w:val="24"/>
        </w:rPr>
        <w:t xml:space="preserve"> condemnation</w:t>
      </w:r>
      <w:r w:rsidR="00510812">
        <w:rPr>
          <w:rFonts w:ascii="Poor Richard" w:hAnsi="Poor Richard" w:cs="Times New Roman"/>
          <w:sz w:val="24"/>
          <w:szCs w:val="24"/>
        </w:rPr>
        <w:t xml:space="preserve"> of 1283 </w:t>
      </w:r>
      <w:r w:rsidRPr="00C02F2C">
        <w:rPr>
          <w:rFonts w:ascii="Poor Richard" w:hAnsi="Poor Richard" w:cs="Times New Roman"/>
          <w:sz w:val="24"/>
          <w:szCs w:val="24"/>
        </w:rPr>
        <w:t xml:space="preserve"> presupposes that Albert and Thomas chose</w:t>
      </w:r>
      <w:r w:rsidR="00510812">
        <w:rPr>
          <w:rFonts w:ascii="Poor Richard" w:hAnsi="Poor Richard" w:cs="Times New Roman"/>
          <w:sz w:val="24"/>
          <w:szCs w:val="24"/>
        </w:rPr>
        <w:t xml:space="preserve"> their Dionysian </w:t>
      </w:r>
      <w:r w:rsidR="008D2B4A">
        <w:rPr>
          <w:rFonts w:ascii="Poor Richard" w:hAnsi="Poor Richard" w:cs="Times New Roman"/>
          <w:sz w:val="24"/>
          <w:szCs w:val="24"/>
        </w:rPr>
        <w:t xml:space="preserve">- </w:t>
      </w:r>
      <w:bookmarkStart w:id="2" w:name="_GoBack"/>
      <w:bookmarkEnd w:id="2"/>
      <w:r w:rsidR="00510812">
        <w:rPr>
          <w:rFonts w:ascii="Poor Richard" w:hAnsi="Poor Richard" w:cs="Times New Roman"/>
          <w:sz w:val="24"/>
          <w:szCs w:val="24"/>
        </w:rPr>
        <w:t>Aristotelian radical new way, against Augustinian reason and its saints</w:t>
      </w:r>
      <w:r w:rsidRPr="00C02F2C">
        <w:rPr>
          <w:rFonts w:ascii="Poor Richard" w:hAnsi="Poor Richard" w:cs="Times New Roman"/>
          <w:sz w:val="24"/>
          <w:szCs w:val="24"/>
        </w:rPr>
        <w:t xml:space="preserve">. What </w:t>
      </w:r>
      <w:r w:rsidR="00510812">
        <w:rPr>
          <w:rFonts w:ascii="Poor Richard" w:hAnsi="Poor Richard" w:cs="Times New Roman"/>
          <w:sz w:val="24"/>
          <w:szCs w:val="24"/>
        </w:rPr>
        <w:t xml:space="preserve">did they choose? what </w:t>
      </w:r>
      <w:r w:rsidRPr="00C02F2C">
        <w:rPr>
          <w:rFonts w:ascii="Poor Richard" w:hAnsi="Poor Richard" w:cs="Times New Roman"/>
          <w:sz w:val="24"/>
          <w:szCs w:val="24"/>
        </w:rPr>
        <w:t>Paul preached to Dionysius, “the Unknown God.”</w:t>
      </w:r>
    </w:p>
    <w:p w:rsidR="000F23BE" w:rsidRPr="00C02F2C" w:rsidRDefault="000F23BE" w:rsidP="009A0733">
      <w:pPr>
        <w:spacing w:after="0" w:line="280" w:lineRule="exact"/>
        <w:contextualSpacing/>
        <w:rPr>
          <w:rFonts w:ascii="Poor Richard" w:hAnsi="Poor Richard" w:cs="Times New Roman"/>
          <w:sz w:val="24"/>
          <w:szCs w:val="24"/>
        </w:rPr>
      </w:pPr>
    </w:p>
    <w:p w:rsidR="00070CD1" w:rsidRDefault="000F23BE" w:rsidP="009A0733">
      <w:pPr>
        <w:spacing w:after="0" w:line="280" w:lineRule="exact"/>
        <w:ind w:firstLine="720"/>
        <w:contextualSpacing/>
        <w:rPr>
          <w:rFonts w:ascii="Poor Richard" w:hAnsi="Poor Richard" w:cs="Times New Roman"/>
          <w:sz w:val="24"/>
          <w:szCs w:val="24"/>
        </w:rPr>
      </w:pPr>
      <w:r w:rsidRPr="00C02F2C">
        <w:rPr>
          <w:rFonts w:ascii="Poor Richard" w:hAnsi="Poor Richard" w:cs="Times New Roman"/>
          <w:sz w:val="24"/>
          <w:szCs w:val="24"/>
        </w:rPr>
        <w:t>For Aquinas, at the end of the way of negation the wise man remains, “in a kind of darkness of ignorance.” In this life, “by ignorance we are joined in the best way to God, as Dionysius says, and this is the kind of darkness in which God is said to dwell.”</w:t>
      </w:r>
      <w:r w:rsidRPr="00C02F2C">
        <w:rPr>
          <w:rStyle w:val="FootnoteReference"/>
          <w:rFonts w:ascii="Poor Richard" w:hAnsi="Poor Richard" w:cs="Times New Roman"/>
          <w:sz w:val="24"/>
          <w:szCs w:val="24"/>
        </w:rPr>
        <w:footnoteReference w:id="146"/>
      </w:r>
      <w:r w:rsidRPr="00C02F2C">
        <w:rPr>
          <w:rFonts w:ascii="Poor Richard" w:hAnsi="Poor Richard" w:cs="Times New Roman"/>
          <w:sz w:val="24"/>
          <w:szCs w:val="24"/>
        </w:rPr>
        <w:t xml:space="preserve">  Dionysius is a guide to the darkness which is God’s habitation and the most intense light. When commenting on I Timothy, Thomas tells us that the clouds and the darkness are in fact light: “Dionysius answers: ‘all darkness is inaccessible light.’ And hence that which is here called light, and [in Exodus and Psalms] called darkness, is the same; but darkness inasmuch as [God] is not seen, and light inasmuch as he is seen.”</w:t>
      </w:r>
      <w:r w:rsidRPr="00C02F2C">
        <w:rPr>
          <w:rStyle w:val="FootnoteReference"/>
          <w:rFonts w:ascii="Poor Richard" w:hAnsi="Poor Richard" w:cs="Times New Roman"/>
          <w:sz w:val="24"/>
          <w:szCs w:val="24"/>
        </w:rPr>
        <w:footnoteReference w:id="147"/>
      </w:r>
      <w:r w:rsidRPr="00C02F2C">
        <w:rPr>
          <w:rFonts w:ascii="Poor Richard" w:hAnsi="Poor Richard" w:cs="Times New Roman"/>
          <w:sz w:val="24"/>
          <w:szCs w:val="24"/>
        </w:rPr>
        <w:t xml:space="preserve"> </w:t>
      </w:r>
      <w:r w:rsidR="007078E9" w:rsidRPr="00C02F2C">
        <w:rPr>
          <w:rFonts w:ascii="Poor Richard" w:hAnsi="Poor Richard" w:cs="Times New Roman"/>
          <w:sz w:val="24"/>
          <w:szCs w:val="24"/>
        </w:rPr>
        <w:t>Aristotle is not forgotten, the excessive excellence of the divine intelligibility</w:t>
      </w:r>
      <w:r w:rsidR="00F115B1" w:rsidRPr="00C02F2C">
        <w:rPr>
          <w:rFonts w:ascii="Poor Richard" w:hAnsi="Poor Richard" w:cs="Times New Roman"/>
          <w:sz w:val="24"/>
          <w:szCs w:val="24"/>
        </w:rPr>
        <w:t xml:space="preserve"> is “</w:t>
      </w:r>
      <w:r w:rsidR="009D4E27" w:rsidRPr="00C02F2C">
        <w:rPr>
          <w:rFonts w:ascii="Poor Richard" w:hAnsi="Poor Richard" w:cs="Times New Roman"/>
          <w:sz w:val="24"/>
          <w:szCs w:val="24"/>
        </w:rPr>
        <w:t>like the sun to the eyes of a night bird.</w:t>
      </w:r>
      <w:r w:rsidR="007078E9" w:rsidRPr="00C02F2C">
        <w:rPr>
          <w:rFonts w:ascii="Poor Richard" w:hAnsi="Poor Richard" w:cs="Times New Roman"/>
          <w:sz w:val="24"/>
          <w:szCs w:val="24"/>
        </w:rPr>
        <w:t>”</w:t>
      </w:r>
      <w:r w:rsidR="00F115B1" w:rsidRPr="00C02F2C">
        <w:rPr>
          <w:rFonts w:ascii="Poor Richard" w:hAnsi="Poor Richard" w:cs="Times New Roman"/>
          <w:sz w:val="24"/>
          <w:szCs w:val="24"/>
        </w:rPr>
        <w:t xml:space="preserve"> </w:t>
      </w:r>
      <w:r w:rsidR="007078E9" w:rsidRPr="00C02F2C">
        <w:rPr>
          <w:rFonts w:ascii="Poor Richard" w:hAnsi="Poor Richard" w:cs="Times New Roman"/>
          <w:sz w:val="24"/>
          <w:szCs w:val="24"/>
        </w:rPr>
        <w:t>The cloud of darkness is the way into and the place of perfect k</w:t>
      </w:r>
      <w:r w:rsidR="00AB7340" w:rsidRPr="00C02F2C">
        <w:rPr>
          <w:rFonts w:ascii="Poor Richard" w:hAnsi="Poor Richard" w:cs="Times New Roman"/>
          <w:sz w:val="24"/>
          <w:szCs w:val="24"/>
        </w:rPr>
        <w:t>nowledge</w:t>
      </w:r>
      <w:r w:rsidR="00C32E57" w:rsidRPr="00C02F2C">
        <w:rPr>
          <w:rFonts w:ascii="Poor Richard" w:hAnsi="Poor Richard" w:cs="Times New Roman"/>
          <w:sz w:val="24"/>
          <w:szCs w:val="24"/>
        </w:rPr>
        <w:t>.</w:t>
      </w:r>
    </w:p>
    <w:p w:rsidR="00510812" w:rsidRDefault="00510812" w:rsidP="009A0733">
      <w:pPr>
        <w:spacing w:after="0" w:line="280" w:lineRule="exact"/>
        <w:ind w:firstLine="720"/>
        <w:contextualSpacing/>
        <w:rPr>
          <w:rFonts w:ascii="Poor Richard" w:hAnsi="Poor Richard" w:cs="Times New Roman"/>
          <w:sz w:val="24"/>
          <w:szCs w:val="24"/>
        </w:rPr>
      </w:pPr>
    </w:p>
    <w:p w:rsidR="00510812" w:rsidRPr="00C02F2C" w:rsidRDefault="00510812" w:rsidP="009A0733">
      <w:pPr>
        <w:spacing w:after="0" w:line="280" w:lineRule="exact"/>
        <w:ind w:firstLine="720"/>
        <w:contextualSpacing/>
        <w:rPr>
          <w:rFonts w:ascii="Poor Richard" w:hAnsi="Poor Richard" w:cs="Times New Roman"/>
          <w:sz w:val="24"/>
          <w:szCs w:val="24"/>
        </w:rPr>
      </w:pPr>
      <w:r>
        <w:rPr>
          <w:rFonts w:ascii="Poor Richard" w:hAnsi="Poor Richard" w:cs="Times New Roman"/>
          <w:sz w:val="24"/>
          <w:szCs w:val="24"/>
        </w:rPr>
        <w:t>June 3, 2018</w:t>
      </w:r>
    </w:p>
    <w:p w:rsidR="009D4C7B" w:rsidRPr="00C02F2C" w:rsidRDefault="009D4C7B" w:rsidP="009A0733">
      <w:pPr>
        <w:spacing w:after="0" w:line="280" w:lineRule="exact"/>
        <w:ind w:firstLine="720"/>
        <w:contextualSpacing/>
        <w:rPr>
          <w:rFonts w:ascii="Poor Richard" w:hAnsi="Poor Richard" w:cs="Times New Roman"/>
          <w:sz w:val="24"/>
          <w:szCs w:val="24"/>
        </w:rPr>
      </w:pPr>
    </w:p>
    <w:sectPr w:rsidR="009D4C7B" w:rsidRPr="00C02F2C" w:rsidSect="00A03730">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643" w:rsidRDefault="00686643" w:rsidP="00D017EA">
      <w:pPr>
        <w:spacing w:after="0" w:line="240" w:lineRule="auto"/>
      </w:pPr>
      <w:r>
        <w:separator/>
      </w:r>
    </w:p>
  </w:endnote>
  <w:endnote w:type="continuationSeparator" w:id="0">
    <w:p w:rsidR="00686643" w:rsidRDefault="00686643" w:rsidP="00D01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entaur">
    <w:panose1 w:val="020305040502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Poor Richard">
    <w:panose1 w:val="02080502050505020702"/>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48A" w:rsidRDefault="004A74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89757"/>
      <w:docPartObj>
        <w:docPartGallery w:val="Page Numbers (Bottom of Page)"/>
        <w:docPartUnique/>
      </w:docPartObj>
    </w:sdtPr>
    <w:sdtEndPr>
      <w:rPr>
        <w:noProof/>
      </w:rPr>
    </w:sdtEndPr>
    <w:sdtContent>
      <w:p w:rsidR="004A748A" w:rsidRDefault="004A748A">
        <w:pPr>
          <w:pStyle w:val="Footer"/>
          <w:jc w:val="center"/>
        </w:pPr>
        <w:r>
          <w:fldChar w:fldCharType="begin"/>
        </w:r>
        <w:r>
          <w:instrText xml:space="preserve"> PAGE   \* MERGEFORMAT </w:instrText>
        </w:r>
        <w:r>
          <w:fldChar w:fldCharType="separate"/>
        </w:r>
        <w:r w:rsidR="008D2B4A">
          <w:rPr>
            <w:noProof/>
          </w:rPr>
          <w:t>17</w:t>
        </w:r>
        <w:r>
          <w:rPr>
            <w:noProof/>
          </w:rPr>
          <w:fldChar w:fldCharType="end"/>
        </w:r>
      </w:p>
    </w:sdtContent>
  </w:sdt>
  <w:p w:rsidR="004A748A" w:rsidRDefault="004A74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4231893"/>
      <w:docPartObj>
        <w:docPartGallery w:val="Page Numbers (Bottom of Page)"/>
        <w:docPartUnique/>
      </w:docPartObj>
    </w:sdtPr>
    <w:sdtEndPr>
      <w:rPr>
        <w:noProof/>
      </w:rPr>
    </w:sdtEndPr>
    <w:sdtContent>
      <w:p w:rsidR="004A748A" w:rsidRDefault="004A748A">
        <w:pPr>
          <w:pStyle w:val="Footer"/>
          <w:jc w:val="center"/>
        </w:pPr>
        <w:r>
          <w:fldChar w:fldCharType="begin"/>
        </w:r>
        <w:r>
          <w:instrText xml:space="preserve"> PAGE   \* MERGEFORMAT </w:instrText>
        </w:r>
        <w:r>
          <w:fldChar w:fldCharType="separate"/>
        </w:r>
        <w:r w:rsidR="008D2B4A">
          <w:rPr>
            <w:noProof/>
          </w:rPr>
          <w:t>1</w:t>
        </w:r>
        <w:r>
          <w:rPr>
            <w:noProof/>
          </w:rPr>
          <w:fldChar w:fldCharType="end"/>
        </w:r>
      </w:p>
    </w:sdtContent>
  </w:sdt>
  <w:p w:rsidR="004A748A" w:rsidRDefault="004A74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643" w:rsidRDefault="00686643" w:rsidP="00D017EA">
      <w:pPr>
        <w:spacing w:after="0" w:line="240" w:lineRule="auto"/>
      </w:pPr>
      <w:r>
        <w:separator/>
      </w:r>
    </w:p>
  </w:footnote>
  <w:footnote w:type="continuationSeparator" w:id="0">
    <w:p w:rsidR="00686643" w:rsidRDefault="00686643" w:rsidP="00D017EA">
      <w:pPr>
        <w:spacing w:after="0" w:line="240" w:lineRule="auto"/>
      </w:pPr>
      <w:r>
        <w:continuationSeparator/>
      </w:r>
    </w:p>
  </w:footnote>
  <w:footnote w:id="1">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val="es-ES"/>
        </w:rPr>
        <w:t xml:space="preserve">Aquinas, </w:t>
      </w:r>
      <w:r w:rsidRPr="00C02F2C">
        <w:rPr>
          <w:rFonts w:ascii="Poor Richard" w:hAnsi="Poor Richard"/>
          <w:i/>
          <w:lang w:val="es-ES"/>
        </w:rPr>
        <w:t>In Quatuor Libros Sententiarum</w:t>
      </w:r>
      <w:r w:rsidRPr="00C02F2C">
        <w:rPr>
          <w:rFonts w:ascii="Poor Richard" w:hAnsi="Poor Richard"/>
          <w:lang w:val="es-ES"/>
        </w:rPr>
        <w:t xml:space="preserve">, [herein Aquinas, </w:t>
      </w:r>
      <w:r w:rsidRPr="00C02F2C">
        <w:rPr>
          <w:rFonts w:ascii="Poor Richard" w:hAnsi="Poor Richard"/>
          <w:i/>
          <w:lang w:val="es-ES"/>
        </w:rPr>
        <w:t>Super Sent</w:t>
      </w:r>
      <w:r w:rsidRPr="00C02F2C">
        <w:rPr>
          <w:rFonts w:ascii="Poor Richard" w:hAnsi="Poor Richard"/>
          <w:lang w:val="es-ES"/>
        </w:rPr>
        <w:t xml:space="preserve">.], </w:t>
      </w:r>
      <w:r w:rsidRPr="00C02F2C">
        <w:rPr>
          <w:rFonts w:ascii="Poor Richard" w:hAnsi="Poor Richard"/>
        </w:rPr>
        <w:t xml:space="preserve">2 d. 14 q. 1 a. 2 co. For Aquinas, I usually use the online texts at </w:t>
      </w:r>
      <w:hyperlink r:id="rId1" w:history="1">
        <w:r w:rsidRPr="00C02F2C">
          <w:rPr>
            <w:rStyle w:val="Hyperlink"/>
            <w:rFonts w:ascii="Poor Richard" w:hAnsi="Poor Richard"/>
            <w:color w:val="auto"/>
          </w:rPr>
          <w:t>http://www.corpusthomisticum.org</w:t>
        </w:r>
      </w:hyperlink>
      <w:r w:rsidRPr="00C02F2C">
        <w:rPr>
          <w:rStyle w:val="Hyperlink"/>
          <w:rFonts w:ascii="Poor Richard" w:hAnsi="Poor Richard"/>
          <w:color w:val="auto"/>
          <w:u w:val="none"/>
        </w:rPr>
        <w:t>; w</w:t>
      </w:r>
      <w:r w:rsidRPr="00C02F2C">
        <w:rPr>
          <w:rFonts w:ascii="Poor Richard" w:hAnsi="Poor Richard"/>
        </w:rPr>
        <w:t>hen I am using another text, it will be clear from the citation. I am deeply grateful to Dr Evan King for many helps and kindnesses as I wrote this Chapter.</w:t>
      </w:r>
    </w:p>
  </w:footnote>
  <w:footnote w:id="2">
    <w:p w:rsidR="000F23BE" w:rsidRPr="00C02F2C" w:rsidRDefault="000F23BE" w:rsidP="00C17DEB">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J.-P. Torrell, </w:t>
      </w:r>
      <w:r w:rsidRPr="00C02F2C">
        <w:rPr>
          <w:rFonts w:ascii="Poor Richard" w:hAnsi="Poor Richard"/>
          <w:i/>
          <w:lang w:val="fr-CA"/>
        </w:rPr>
        <w:t>Initiation à saint Thomas d’Aquin. Sa personne et son œuvre</w:t>
      </w:r>
      <w:r w:rsidRPr="00C02F2C">
        <w:rPr>
          <w:rFonts w:ascii="Poor Richard" w:hAnsi="Poor Richard"/>
          <w:lang w:val="fr-CA"/>
        </w:rPr>
        <w:t xml:space="preserve"> (Paris / Fribourg: Cerf / Editions Universitaires, 1993), 186.</w:t>
      </w:r>
    </w:p>
  </w:footnote>
  <w:footnote w:id="3">
    <w:p w:rsidR="000F23BE" w:rsidRPr="00C02F2C" w:rsidRDefault="000F23BE" w:rsidP="0007608E">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A subtitle </w:t>
      </w:r>
      <w:r>
        <w:rPr>
          <w:rFonts w:ascii="Poor Richard" w:hAnsi="Poor Richard"/>
          <w:lang w:val="fr-CA"/>
        </w:rPr>
        <w:t xml:space="preserve">in </w:t>
      </w:r>
      <w:r w:rsidRPr="00C02F2C">
        <w:rPr>
          <w:rFonts w:ascii="Poor Richard" w:hAnsi="Poor Richard"/>
          <w:lang w:val="fr-CA"/>
        </w:rPr>
        <w:t xml:space="preserve">A. de Libera,  </w:t>
      </w:r>
      <w:r w:rsidRPr="00C02F2C">
        <w:rPr>
          <w:rFonts w:ascii="Poor Richard" w:hAnsi="Poor Richard"/>
          <w:i/>
          <w:lang w:val="fr-CA"/>
        </w:rPr>
        <w:t>Métaphysique</w:t>
      </w:r>
      <w:r w:rsidRPr="00C02F2C">
        <w:rPr>
          <w:rFonts w:ascii="Poor Richard" w:hAnsi="Poor Richard"/>
          <w:i/>
          <w:lang w:val="la-Latn"/>
        </w:rPr>
        <w:t xml:space="preserve"> et noétique, Albert le Grand</w:t>
      </w:r>
      <w:r w:rsidRPr="00C02F2C">
        <w:rPr>
          <w:rFonts w:ascii="Poor Richard" w:hAnsi="Poor Richard"/>
          <w:iCs/>
          <w:lang w:val="la-Latn"/>
        </w:rPr>
        <w:t xml:space="preserve"> (Paris: Vrin, 2005)</w:t>
      </w:r>
      <w:r w:rsidRPr="00C02F2C">
        <w:rPr>
          <w:rFonts w:ascii="Poor Richard" w:hAnsi="Poor Richard"/>
          <w:iCs/>
          <w:lang w:val="fr-CA"/>
        </w:rPr>
        <w:t>, 239.</w:t>
      </w:r>
      <w:r w:rsidRPr="00C02F2C">
        <w:rPr>
          <w:rFonts w:ascii="Poor Richard" w:hAnsi="Poor Richard"/>
          <w:lang w:val="fr-CA"/>
        </w:rPr>
        <w:t xml:space="preserve"> </w:t>
      </w:r>
    </w:p>
  </w:footnote>
  <w:footnote w:id="4">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Much dating of the lives and the works of Albert and Aquinas remains undetermined and controversial. This hyphenated form indicates an approximation of the consensus.  W. J. Hankey, “The Concord of Aristotle, Proclus, the </w:t>
      </w:r>
      <w:r w:rsidRPr="00C02F2C">
        <w:rPr>
          <w:rFonts w:ascii="Poor Richard" w:hAnsi="Poor Richard"/>
          <w:i/>
        </w:rPr>
        <w:t>Liber de Causis</w:t>
      </w:r>
      <w:r w:rsidRPr="00C02F2C">
        <w:rPr>
          <w:rFonts w:ascii="Poor Richard" w:hAnsi="Poor Richard"/>
        </w:rPr>
        <w:t xml:space="preserve"> &amp; Blessed Dionysius in Thomas Aquinas, Student of Albertus Magnus,” </w:t>
      </w:r>
      <w:r w:rsidRPr="00C02F2C">
        <w:rPr>
          <w:rFonts w:ascii="Poor Richard" w:hAnsi="Poor Richard"/>
          <w:i/>
        </w:rPr>
        <w:t>Dionysius</w:t>
      </w:r>
      <w:r w:rsidRPr="00C02F2C">
        <w:rPr>
          <w:rFonts w:ascii="Poor Richard" w:hAnsi="Poor Richard"/>
        </w:rPr>
        <w:t xml:space="preserve"> 34 (2016): 137–209, considers in detail the dating of Thomas’</w:t>
      </w:r>
      <w:r w:rsidRPr="00C02F2C">
        <w:rPr>
          <w:rFonts w:ascii="Poor Richard" w:hAnsi="Poor Richard"/>
          <w:i/>
        </w:rPr>
        <w:t xml:space="preserve"> In De divinis nominibus</w:t>
      </w:r>
      <w:r w:rsidRPr="00C02F2C">
        <w:rPr>
          <w:rFonts w:ascii="Poor Richard" w:hAnsi="Poor Richard"/>
        </w:rPr>
        <w:t xml:space="preserve"> of Dionysius. I refer to this article to provide scholarly backing beyond what I can give here.</w:t>
      </w:r>
    </w:p>
  </w:footnote>
  <w:footnote w:id="5">
    <w:p w:rsidR="000F23BE" w:rsidRPr="00C02F2C" w:rsidRDefault="000F23BE" w:rsidP="0007608E">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A. de Libera, </w:t>
      </w:r>
      <w:r w:rsidRPr="00C02F2C">
        <w:rPr>
          <w:rFonts w:ascii="Poor Richard" w:hAnsi="Poor Richard"/>
          <w:i/>
          <w:lang w:val="fr-CA"/>
        </w:rPr>
        <w:t>Raison et Foi: Archéologie d’une crise d’Albert le Grand à Jean-Paul II</w:t>
      </w:r>
      <w:r w:rsidRPr="00C02F2C">
        <w:rPr>
          <w:rFonts w:ascii="Poor Richard" w:hAnsi="Poor Richard"/>
          <w:lang w:val="fr-CA"/>
        </w:rPr>
        <w:t xml:space="preserve"> (Paris: Seuil, 2003), 73.</w:t>
      </w:r>
    </w:p>
  </w:footnote>
  <w:footnote w:id="6">
    <w:p w:rsidR="000F23BE" w:rsidRPr="00C02F2C" w:rsidRDefault="000F23BE" w:rsidP="0007608E">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For the dates and order, see Albertus Magnus, </w:t>
      </w:r>
      <w:r w:rsidRPr="00C02F2C">
        <w:rPr>
          <w:rFonts w:ascii="Poor Richard" w:hAnsi="Poor Richard"/>
          <w:i/>
        </w:rPr>
        <w:t xml:space="preserve">Super Dionysium </w:t>
      </w:r>
      <w:r w:rsidRPr="00C02F2C">
        <w:rPr>
          <w:rFonts w:ascii="Poor Richard" w:hAnsi="Poor Richard"/>
        </w:rPr>
        <w:t>De divinis nominibus, ed. P. Simon,</w:t>
      </w:r>
      <w:r w:rsidRPr="00C02F2C">
        <w:rPr>
          <w:rFonts w:ascii="Poor Richard" w:hAnsi="Poor Richard"/>
          <w:lang w:val="la-Latn"/>
        </w:rPr>
        <w:t xml:space="preserve"> </w:t>
      </w:r>
      <w:r w:rsidRPr="00C02F2C">
        <w:rPr>
          <w:rFonts w:ascii="Poor Richard" w:hAnsi="Poor Richard"/>
        </w:rPr>
        <w:t xml:space="preserve">Cologne edition: 37/1 (Aschendorff, 1972) [herein  Albert, </w:t>
      </w:r>
      <w:r w:rsidRPr="00C02F2C">
        <w:rPr>
          <w:rFonts w:ascii="Poor Richard" w:hAnsi="Poor Richard"/>
          <w:i/>
        </w:rPr>
        <w:t xml:space="preserve">Super De divinis nominibus </w:t>
      </w:r>
      <w:r w:rsidRPr="00C02F2C">
        <w:rPr>
          <w:rFonts w:ascii="Poor Richard" w:hAnsi="Poor Richard"/>
        </w:rPr>
        <w:t xml:space="preserve">or </w:t>
      </w:r>
      <w:r w:rsidRPr="00C02F2C">
        <w:rPr>
          <w:rFonts w:ascii="Poor Richard" w:hAnsi="Poor Richard"/>
          <w:i/>
        </w:rPr>
        <w:t>Super DDN</w:t>
      </w:r>
      <w:r w:rsidRPr="00C02F2C">
        <w:rPr>
          <w:rFonts w:ascii="Poor Richard" w:hAnsi="Poor Richard"/>
        </w:rPr>
        <w:t xml:space="preserve">], vi,  with the modifications required by M. Burger, “Thomas Aquinas’s Glosses on the Dionysius Commentaries of Albert the Great in Codex 30 of the Cologne Cathedral Library”, ed. L. Honnefelder, H. Möhle, S. del Barrio, </w:t>
      </w:r>
      <w:r w:rsidRPr="00C02F2C">
        <w:rPr>
          <w:rFonts w:ascii="Poor Richard" w:hAnsi="Poor Richard"/>
          <w:i/>
          <w:iCs/>
        </w:rPr>
        <w:t>Via Alberti. Texte - Quellen - Interpretationen</w:t>
      </w:r>
      <w:r w:rsidRPr="00C02F2C">
        <w:rPr>
          <w:rFonts w:ascii="Poor Richard" w:hAnsi="Poor Richard"/>
        </w:rPr>
        <w:t xml:space="preserve"> (Münster: Aschendorff, 2009), 561–82.</w:t>
      </w:r>
    </w:p>
  </w:footnote>
  <w:footnote w:id="7">
    <w:p w:rsidR="000F23BE" w:rsidRPr="00C02F2C" w:rsidRDefault="000F23BE" w:rsidP="00EA32BC">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rPr>
        <w:t xml:space="preserve"> P. Porro, </w:t>
      </w:r>
      <w:r w:rsidRPr="00C02F2C">
        <w:rPr>
          <w:rFonts w:ascii="Poor Richard" w:hAnsi="Poor Richard"/>
          <w:i/>
          <w:iCs/>
        </w:rPr>
        <w:t>Thomas Aquinas: A Historical and Philosophical Profile</w:t>
      </w:r>
      <w:r w:rsidRPr="00C02F2C">
        <w:rPr>
          <w:rFonts w:ascii="Poor Richard" w:hAnsi="Poor Richard"/>
          <w:iCs/>
        </w:rPr>
        <w:t xml:space="preserve"> (Washington: </w:t>
      </w:r>
      <w:r w:rsidRPr="00C02F2C">
        <w:rPr>
          <w:rFonts w:ascii="Poor Richard" w:hAnsi="Poor Richard"/>
        </w:rPr>
        <w:t xml:space="preserve">Catholic University Press, 2016), 5. </w:t>
      </w:r>
      <w:r w:rsidRPr="00C02F2C">
        <w:rPr>
          <w:rFonts w:ascii="Poor Richard" w:hAnsi="Poor Richard"/>
          <w:lang w:val="fr-CA"/>
        </w:rPr>
        <w:t xml:space="preserve">A. Oliva, </w:t>
      </w:r>
      <w:r w:rsidRPr="00C02F2C">
        <w:rPr>
          <w:rFonts w:ascii="Poor Richard" w:hAnsi="Poor Richard"/>
          <w:i/>
          <w:lang w:val="fr-CA"/>
        </w:rPr>
        <w:t xml:space="preserve">Les dèbuts de l’enseignement de Thomas d’Aquin et sa concenption de la </w:t>
      </w:r>
      <w:r w:rsidRPr="00C02F2C">
        <w:rPr>
          <w:rFonts w:ascii="Poor Richard" w:hAnsi="Poor Richard"/>
          <w:lang w:val="fr-CA"/>
        </w:rPr>
        <w:t>Sacra Doctrina (Paris, Vrin, 2006), 207–24.</w:t>
      </w:r>
    </w:p>
  </w:footnote>
  <w:footnote w:id="8">
    <w:p w:rsidR="000F23BE" w:rsidRPr="00C02F2C" w:rsidRDefault="000F23BE" w:rsidP="00EA32BC">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Burger, “Thomas Aquinas’s,” 562 &amp; 569.</w:t>
      </w:r>
    </w:p>
  </w:footnote>
  <w:footnote w:id="9">
    <w:p w:rsidR="000F23BE" w:rsidRPr="00C02F2C" w:rsidRDefault="000F23BE" w:rsidP="00EA32BC">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Dr Maria Burger to me August 17, 2016, for which I am most grateful.</w:t>
      </w:r>
    </w:p>
  </w:footnote>
  <w:footnote w:id="10">
    <w:p w:rsidR="000F23BE" w:rsidRPr="00C02F2C" w:rsidRDefault="000F23BE" w:rsidP="00EA32BC">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A. Oliva, “Frère Thomas d’Aquin, universitaire,” </w:t>
      </w:r>
      <w:r w:rsidRPr="00C02F2C">
        <w:rPr>
          <w:rFonts w:ascii="Poor Richard" w:hAnsi="Poor Richard"/>
          <w:i/>
          <w:lang w:val="fr-CA"/>
        </w:rPr>
        <w:t xml:space="preserve">Université, Église, Culture. L’Université Catholique au Moyen Âge, </w:t>
      </w:r>
      <w:r w:rsidRPr="00C02F2C">
        <w:rPr>
          <w:rFonts w:ascii="Poor Richard" w:hAnsi="Poor Richard"/>
          <w:lang w:val="fr-CA"/>
        </w:rPr>
        <w:t>éd. P. Hurtubise (Paris, 2007), 233–68 at 235.</w:t>
      </w:r>
    </w:p>
  </w:footnote>
  <w:footnote w:id="11">
    <w:p w:rsidR="000F23BE" w:rsidRPr="00C02F2C" w:rsidRDefault="000F23BE" w:rsidP="00EA32BC">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235.</w:t>
      </w:r>
    </w:p>
  </w:footnote>
  <w:footnote w:id="12">
    <w:p w:rsidR="000F23BE" w:rsidRPr="00040156"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See G. Pini, “The development of Aquinas’s thinking,” </w:t>
      </w:r>
      <w:r w:rsidRPr="00C02F2C">
        <w:rPr>
          <w:rFonts w:ascii="Poor Richard" w:hAnsi="Poor Richard"/>
          <w:i/>
          <w:iCs/>
        </w:rPr>
        <w:t>Oxford Handbook to Aquinas</w:t>
      </w:r>
      <w:r w:rsidRPr="00C02F2C">
        <w:rPr>
          <w:rFonts w:ascii="Poor Richard" w:hAnsi="Poor Richard"/>
        </w:rPr>
        <w:t>, ed. Brian Davies &amp; Eleonore Stump (Oxford: University Press, 2012),  491–510.</w:t>
      </w:r>
      <w:r>
        <w:rPr>
          <w:rFonts w:ascii="Poor Richard" w:hAnsi="Poor Richard"/>
        </w:rPr>
        <w:t xml:space="preserve"> C. Kaczor, “Thomas Aquinas on the Development of Doctrine,” </w:t>
      </w:r>
      <w:r>
        <w:rPr>
          <w:rFonts w:ascii="Poor Richard" w:hAnsi="Poor Richard"/>
          <w:i/>
        </w:rPr>
        <w:t>Theological Studies</w:t>
      </w:r>
      <w:r>
        <w:rPr>
          <w:rFonts w:ascii="Poor Richard" w:hAnsi="Poor Richard"/>
        </w:rPr>
        <w:t xml:space="preserve"> 62(2001): 283-302.</w:t>
      </w:r>
    </w:p>
  </w:footnote>
  <w:footnote w:id="13">
    <w:p w:rsidR="000F23BE" w:rsidRPr="00C02F2C" w:rsidRDefault="000F23BE" w:rsidP="00E47C68">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R.-A. Gauthier in Aquinas, </w:t>
      </w:r>
      <w:r w:rsidRPr="00C02F2C">
        <w:rPr>
          <w:rFonts w:ascii="Poor Richard" w:hAnsi="Poor Richard"/>
          <w:i/>
        </w:rPr>
        <w:t>Expositio Libri Posteriorum</w:t>
      </w:r>
      <w:r w:rsidRPr="00C02F2C">
        <w:rPr>
          <w:rFonts w:ascii="Poor Richard" w:hAnsi="Poor Richard"/>
        </w:rPr>
        <w:t xml:space="preserve">, </w:t>
      </w:r>
      <w:r w:rsidRPr="00C02F2C">
        <w:rPr>
          <w:rFonts w:ascii="Poor Richard" w:hAnsi="Poor Richard"/>
          <w:lang w:val="it-IT"/>
        </w:rPr>
        <w:t>Editio altera, Leonina  1/2 (Rome, 1989), 55*</w:t>
      </w:r>
      <w:r w:rsidRPr="00C02F2C">
        <w:rPr>
          <w:rFonts w:ascii="Poor Richard" w:hAnsi="Poor Richard"/>
        </w:rPr>
        <w:t xml:space="preserve">;  W. J. Hankey, “Why Philosophy Abides for Aquinas,” </w:t>
      </w:r>
      <w:r w:rsidRPr="00C02F2C">
        <w:rPr>
          <w:rFonts w:ascii="Poor Richard" w:hAnsi="Poor Richard"/>
          <w:i/>
        </w:rPr>
        <w:t>The Heythrop Journal</w:t>
      </w:r>
      <w:r w:rsidRPr="00C02F2C">
        <w:rPr>
          <w:rFonts w:ascii="Poor Richard" w:hAnsi="Poor Richard"/>
        </w:rPr>
        <w:t xml:space="preserve"> 42:3 (2001): 329–348 at 331-34; idem, “Thomas’ Neoplatonic Histories: His following of Simplicius,” </w:t>
      </w:r>
      <w:r w:rsidRPr="00C02F2C">
        <w:rPr>
          <w:rFonts w:ascii="Poor Richard" w:hAnsi="Poor Richard"/>
          <w:i/>
        </w:rPr>
        <w:t>Dionysius</w:t>
      </w:r>
      <w:r w:rsidRPr="00C02F2C">
        <w:rPr>
          <w:rFonts w:ascii="Poor Richard" w:hAnsi="Poor Richard"/>
        </w:rPr>
        <w:t xml:space="preserve"> 20 (2002): 153–178 at 161–75.</w:t>
      </w:r>
    </w:p>
  </w:footnote>
  <w:footnote w:id="14">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 J. Hankey, “Aquinas and the Platonists,” </w:t>
      </w:r>
      <w:r w:rsidRPr="00C02F2C">
        <w:rPr>
          <w:rFonts w:ascii="Poor Richard" w:hAnsi="Poor Richard"/>
          <w:i/>
        </w:rPr>
        <w:t>The Platonic Tradition in the Middle Ages:  A Doxographic  Approach</w:t>
      </w:r>
      <w:r w:rsidRPr="00C02F2C">
        <w:rPr>
          <w:rFonts w:ascii="Poor Richard" w:hAnsi="Poor Richard"/>
        </w:rPr>
        <w:t>, ed. S. Gersh and M.J.F.M. Hoenen (Berlin: de Gruyter, 2002), 279–324 at 279-84, 286–88 and 310–25; idem, “The Concord”: passim.</w:t>
      </w:r>
    </w:p>
  </w:footnote>
  <w:footnote w:id="15">
    <w:p w:rsidR="000F23BE" w:rsidRPr="00C02F2C" w:rsidRDefault="000F23BE" w:rsidP="00123AC7">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See B. Blankenhorn, </w:t>
      </w:r>
      <w:r w:rsidRPr="00C02F2C">
        <w:rPr>
          <w:rFonts w:ascii="Poor Richard" w:hAnsi="Poor Richard"/>
          <w:i/>
        </w:rPr>
        <w:t>The Mystery of Union with God: Dionysian Mysticism in Albert the Great and Thomas Aquinas</w:t>
      </w:r>
      <w:r w:rsidRPr="00C02F2C">
        <w:rPr>
          <w:rFonts w:ascii="Poor Richard" w:hAnsi="Poor Richard"/>
        </w:rPr>
        <w:t xml:space="preserve"> (Washington: Catholic University Press, 2015) with its chronological treatment of his throught.</w:t>
      </w:r>
    </w:p>
  </w:footnote>
  <w:footnote w:id="16">
    <w:p w:rsidR="000F23BE" w:rsidRPr="00C02F2C" w:rsidRDefault="000F23BE" w:rsidP="00D51425">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A. de Libera, </w:t>
      </w:r>
      <w:r w:rsidRPr="00C02F2C">
        <w:rPr>
          <w:rFonts w:ascii="Poor Richard" w:hAnsi="Poor Richard"/>
          <w:i/>
          <w:lang w:val="fr-CA"/>
        </w:rPr>
        <w:t xml:space="preserve">Penser au Moyen Âge </w:t>
      </w:r>
      <w:r w:rsidRPr="00C02F2C">
        <w:rPr>
          <w:rFonts w:ascii="Poor Richard" w:hAnsi="Poor Richard"/>
          <w:lang w:val="fr-CA"/>
        </w:rPr>
        <w:t xml:space="preserve">(Paris: Seuil, 1991), 20. </w:t>
      </w:r>
      <w:r w:rsidRPr="00C02F2C">
        <w:rPr>
          <w:rFonts w:ascii="Poor Richard" w:hAnsi="Poor Richard"/>
        </w:rPr>
        <w:t xml:space="preserve">See G. Endress, “The New and Improved Platonic Theology. </w:t>
      </w:r>
      <w:r w:rsidRPr="00C02F2C">
        <w:rPr>
          <w:rFonts w:ascii="Poor Richard" w:hAnsi="Poor Richard"/>
          <w:lang w:val="fr-CA"/>
        </w:rPr>
        <w:t xml:space="preserve">Proclus Arabus and Arabic Islamic Philosophy,” </w:t>
      </w:r>
      <w:r w:rsidRPr="00C02F2C">
        <w:rPr>
          <w:rFonts w:ascii="Poor Richard" w:hAnsi="Poor Richard"/>
          <w:i/>
          <w:lang w:val="fr-CA"/>
        </w:rPr>
        <w:t>Proclus et la Théologie Platonicienne,</w:t>
      </w:r>
      <w:r w:rsidRPr="00C02F2C">
        <w:rPr>
          <w:rFonts w:ascii="Poor Richard" w:hAnsi="Poor Richard"/>
          <w:lang w:val="fr-CA"/>
        </w:rPr>
        <w:t xml:space="preserve"> éd. A.Ph. Segonds et C. Steel ( Leuven / Paris: Presses Universitaires / Belles Lettres, 2000), 553–70.</w:t>
      </w:r>
    </w:p>
  </w:footnote>
  <w:footnote w:id="17">
    <w:p w:rsidR="000F23BE" w:rsidRPr="00C02F2C" w:rsidRDefault="000F23BE" w:rsidP="002766B4">
      <w:pPr>
        <w:pStyle w:val="FootnoteText"/>
        <w:rPr>
          <w:rFonts w:ascii="Poor Richard" w:hAnsi="Poor Richard"/>
          <w:lang w:val="fr-CA"/>
        </w:rPr>
      </w:pPr>
      <w:r w:rsidRPr="00C02F2C">
        <w:rPr>
          <w:rStyle w:val="FootnoteReference"/>
          <w:rFonts w:ascii="Poor Richard" w:hAnsi="Poor Richard"/>
        </w:rPr>
        <w:footnoteRef/>
      </w:r>
      <w:r w:rsidRPr="00C02F2C">
        <w:rPr>
          <w:rFonts w:ascii="Poor Richard" w:hAnsi="Poor Richard"/>
        </w:rPr>
        <w:t xml:space="preserve"> S. Tugwell, </w:t>
      </w:r>
      <w:r w:rsidRPr="00C02F2C">
        <w:rPr>
          <w:rFonts w:ascii="Poor Richard" w:hAnsi="Poor Richard"/>
          <w:i/>
        </w:rPr>
        <w:t>Albert and Thomas. Selected Writings</w:t>
      </w:r>
      <w:r w:rsidRPr="00C02F2C">
        <w:rPr>
          <w:rFonts w:ascii="Poor Richard" w:hAnsi="Poor Richard"/>
        </w:rPr>
        <w:t xml:space="preserve">, The Classics of Western Spirituality (New York: Paulist, 1988), 10. Although slightly out of date, Tugwell’s biography of Albert is the best available in English. </w:t>
      </w:r>
      <w:r w:rsidRPr="00C02F2C">
        <w:rPr>
          <w:rFonts w:ascii="Poor Richard" w:hAnsi="Poor Richard"/>
          <w:lang w:val="fr-CA"/>
        </w:rPr>
        <w:t xml:space="preserve">On the reception of Averroes, see A. de Libera, </w:t>
      </w:r>
      <w:r w:rsidRPr="00C02F2C">
        <w:rPr>
          <w:rFonts w:ascii="Poor Richard" w:hAnsi="Poor Richard"/>
          <w:i/>
          <w:lang w:val="fr-CA"/>
        </w:rPr>
        <w:t>Albert le Grand et  la philosophie</w:t>
      </w:r>
      <w:r w:rsidRPr="00C02F2C">
        <w:rPr>
          <w:rFonts w:ascii="Poor Richard" w:hAnsi="Poor Richard"/>
          <w:lang w:val="fr-CA"/>
        </w:rPr>
        <w:t xml:space="preserve"> (Paris : Vrin, 1990),</w:t>
      </w:r>
      <w:r w:rsidRPr="00C02F2C">
        <w:rPr>
          <w:rFonts w:ascii="Poor Richard" w:hAnsi="Poor Richard"/>
          <w:i/>
          <w:lang w:val="fr-CA"/>
        </w:rPr>
        <w:t xml:space="preserve"> </w:t>
      </w:r>
      <w:r w:rsidRPr="00C02F2C">
        <w:rPr>
          <w:rFonts w:ascii="Poor Richard" w:hAnsi="Poor Richard"/>
          <w:lang w:val="fr-CA"/>
        </w:rPr>
        <w:t xml:space="preserve"> 232.</w:t>
      </w:r>
    </w:p>
  </w:footnote>
  <w:footnote w:id="18">
    <w:p w:rsidR="000F23BE" w:rsidRPr="00C02F2C" w:rsidRDefault="000F23BE" w:rsidP="002766B4">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E. Booth,</w:t>
      </w:r>
      <w:r w:rsidRPr="00C02F2C">
        <w:rPr>
          <w:rFonts w:ascii="Poor Richard" w:hAnsi="Poor Richard"/>
          <w:smallCaps/>
        </w:rPr>
        <w:t xml:space="preserve"> </w:t>
      </w:r>
      <w:r w:rsidRPr="00C02F2C">
        <w:rPr>
          <w:rFonts w:ascii="Poor Richard" w:hAnsi="Poor Richard"/>
        </w:rPr>
        <w:t xml:space="preserve"> </w:t>
      </w:r>
      <w:r w:rsidRPr="00C02F2C">
        <w:rPr>
          <w:rFonts w:ascii="Poor Richard" w:hAnsi="Poor Richard"/>
          <w:i/>
        </w:rPr>
        <w:t>Aristotelian Aporetic Ontology in Islamic and Christian Thinkers</w:t>
      </w:r>
      <w:r w:rsidRPr="00C02F2C">
        <w:rPr>
          <w:rFonts w:ascii="Poor Richard" w:hAnsi="Poor Richard"/>
        </w:rPr>
        <w:t xml:space="preserve"> (Cambridge: University Press, 1983), 161.</w:t>
      </w:r>
    </w:p>
  </w:footnote>
  <w:footnote w:id="19">
    <w:p w:rsidR="000F23BE" w:rsidRPr="00C02F2C" w:rsidRDefault="000F23BE" w:rsidP="00C54FD9">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A. Bertolacci, “Albert’s Use of Avicenna and Islamic Philosophy,” </w:t>
      </w:r>
      <w:r w:rsidRPr="00C02F2C">
        <w:rPr>
          <w:rFonts w:ascii="Poor Richard" w:hAnsi="Poor Richard"/>
          <w:i/>
        </w:rPr>
        <w:t>A Companion to Albert the Great</w:t>
      </w:r>
      <w:r w:rsidRPr="00C02F2C">
        <w:rPr>
          <w:rFonts w:ascii="Poor Richard" w:hAnsi="Poor Richard"/>
        </w:rPr>
        <w:t xml:space="preserve">: </w:t>
      </w:r>
      <w:r w:rsidRPr="00C02F2C">
        <w:rPr>
          <w:rFonts w:ascii="Poor Richard" w:hAnsi="Poor Richard"/>
          <w:i/>
        </w:rPr>
        <w:t>Theology, Philosophy, and the Sciences</w:t>
      </w:r>
      <w:r w:rsidRPr="00C02F2C">
        <w:rPr>
          <w:rFonts w:ascii="Poor Richard" w:hAnsi="Poor Richard"/>
        </w:rPr>
        <w:t>, ed. Irven M. Resnick, Brill’s Companions to the Christian Tradition 38 (Leiden: Brill, 2013), 601-11 at 604.</w:t>
      </w:r>
    </w:p>
  </w:footnote>
  <w:footnote w:id="20">
    <w:p w:rsidR="000F23BE" w:rsidRPr="00C02F2C" w:rsidRDefault="000F23BE" w:rsidP="00C54FD9">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606.</w:t>
      </w:r>
    </w:p>
  </w:footnote>
  <w:footnote w:id="21">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i/>
        </w:rPr>
        <w:t xml:space="preserve">Chartularium Universitatis Parisiensis, </w:t>
      </w:r>
      <w:r w:rsidRPr="00C02F2C">
        <w:rPr>
          <w:rFonts w:ascii="Poor Richard" w:hAnsi="Poor Richard"/>
        </w:rPr>
        <w:t xml:space="preserve">vol. 1, </w:t>
      </w:r>
      <w:r w:rsidR="00270A4B" w:rsidRPr="00510812">
        <w:rPr>
          <w:rFonts w:ascii="Poor Richard" w:hAnsi="Poor Richard"/>
        </w:rPr>
        <w:t>éd</w:t>
      </w:r>
      <w:r w:rsidRPr="00C02F2C">
        <w:rPr>
          <w:rFonts w:ascii="Poor Richard" w:hAnsi="Poor Richard"/>
        </w:rPr>
        <w:t>. H. Denifle (Paris, 1889), §128.</w:t>
      </w:r>
    </w:p>
  </w:footnote>
  <w:footnote w:id="22">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Blankenhorn, </w:t>
      </w:r>
      <w:r w:rsidRPr="00C02F2C">
        <w:rPr>
          <w:rFonts w:ascii="Poor Richard" w:hAnsi="Poor Richard"/>
          <w:i/>
        </w:rPr>
        <w:t>Mystery</w:t>
      </w:r>
      <w:r w:rsidRPr="00C02F2C">
        <w:rPr>
          <w:rFonts w:ascii="Poor Richard" w:hAnsi="Poor Richard"/>
        </w:rPr>
        <w:t>, 102.</w:t>
      </w:r>
    </w:p>
  </w:footnote>
  <w:footnote w:id="23">
    <w:p w:rsidR="000F23BE" w:rsidRPr="00C02F2C" w:rsidRDefault="000F23BE" w:rsidP="00EC0FF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105-7, 114, 116-7.</w:t>
      </w:r>
    </w:p>
  </w:footnote>
  <w:footnote w:id="24">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117-8.</w:t>
      </w:r>
    </w:p>
  </w:footnote>
  <w:footnote w:id="25">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123.</w:t>
      </w:r>
    </w:p>
  </w:footnote>
  <w:footnote w:id="26">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w:t>
      </w:r>
    </w:p>
  </w:footnote>
  <w:footnote w:id="27">
    <w:p w:rsidR="000F23BE" w:rsidRPr="00C02F2C" w:rsidRDefault="000F23BE" w:rsidP="006C7635">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Libera, </w:t>
      </w:r>
      <w:r w:rsidRPr="00C02F2C">
        <w:rPr>
          <w:rFonts w:ascii="Poor Richard" w:hAnsi="Poor Richard"/>
          <w:i/>
        </w:rPr>
        <w:t xml:space="preserve">Albert le Grand, </w:t>
      </w:r>
      <w:r w:rsidRPr="00C02F2C">
        <w:rPr>
          <w:rFonts w:ascii="Poor Richard" w:hAnsi="Poor Richard"/>
        </w:rPr>
        <w:t xml:space="preserve"> 267 and 242.</w:t>
      </w:r>
    </w:p>
  </w:footnote>
  <w:footnote w:id="28">
    <w:p w:rsidR="000F23BE" w:rsidRPr="00C02F2C" w:rsidRDefault="000F23BE" w:rsidP="00D54BAA">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Bertolacci, “Albert’s Use,” 605.</w:t>
      </w:r>
    </w:p>
  </w:footnote>
  <w:footnote w:id="29">
    <w:p w:rsidR="000F23BE" w:rsidRPr="00C02F2C" w:rsidRDefault="000F23BE" w:rsidP="007F71ED">
      <w:pPr>
        <w:pStyle w:val="FootnoteText"/>
        <w:spacing w:line="240" w:lineRule="atLeast"/>
        <w:contextualSpacing/>
        <w:rPr>
          <w:rFonts w:ascii="Poor Richard" w:hAnsi="Poor Richard"/>
          <w:iCs/>
        </w:rPr>
      </w:pPr>
      <w:r w:rsidRPr="00C02F2C">
        <w:rPr>
          <w:rStyle w:val="FootnoteReference"/>
          <w:rFonts w:ascii="Poor Richard" w:hAnsi="Poor Richard"/>
        </w:rPr>
        <w:footnoteRef/>
      </w:r>
      <w:r w:rsidRPr="00C02F2C">
        <w:rPr>
          <w:rFonts w:ascii="Poor Richard" w:hAnsi="Poor Richard"/>
          <w:lang w:val="la-Latn"/>
        </w:rPr>
        <w:t xml:space="preserve"> </w:t>
      </w:r>
      <w:r w:rsidRPr="00C02F2C">
        <w:rPr>
          <w:rFonts w:ascii="Poor Richard" w:hAnsi="Poor Richard"/>
        </w:rPr>
        <w:t xml:space="preserve">T. Bonin, </w:t>
      </w:r>
      <w:r w:rsidRPr="00C02F2C">
        <w:rPr>
          <w:rFonts w:ascii="Poor Richard" w:hAnsi="Poor Richard"/>
          <w:i/>
        </w:rPr>
        <w:t>Creation As Emanation. The Origin of Diversity in Albert the Great's</w:t>
      </w:r>
      <w:r w:rsidRPr="00C02F2C">
        <w:rPr>
          <w:rFonts w:ascii="Poor Richard" w:hAnsi="Poor Richard"/>
        </w:rPr>
        <w:t xml:space="preserve"> On The Causes And The Procession Of The Universe (Notre Dame: University  Press, 2001),</w:t>
      </w:r>
      <w:r w:rsidRPr="00C02F2C">
        <w:rPr>
          <w:rFonts w:ascii="Poor Richard" w:hAnsi="Poor Richard"/>
          <w:i/>
          <w:lang w:val="la-Latn"/>
        </w:rPr>
        <w:t xml:space="preserve"> </w:t>
      </w:r>
      <w:r w:rsidRPr="00C02F2C">
        <w:rPr>
          <w:rFonts w:ascii="Poor Richard" w:hAnsi="Poor Richard"/>
          <w:iCs/>
          <w:lang w:val="la-Latn"/>
        </w:rPr>
        <w:t>5</w:t>
      </w:r>
      <w:r w:rsidRPr="00C02F2C">
        <w:rPr>
          <w:rFonts w:ascii="Poor Richard" w:hAnsi="Poor Richard"/>
          <w:iCs/>
        </w:rPr>
        <w:t xml:space="preserve">. I adopt her dates because they are the most inclusive. She rightly rejects Fauser’s argument for a </w:t>
      </w:r>
      <w:r w:rsidRPr="00C02F2C">
        <w:rPr>
          <w:rFonts w:ascii="Poor Richard" w:hAnsi="Poor Richard"/>
          <w:i/>
          <w:iCs/>
        </w:rPr>
        <w:t xml:space="preserve">terminus ad quem </w:t>
      </w:r>
      <w:r w:rsidRPr="00C02F2C">
        <w:rPr>
          <w:rFonts w:ascii="Poor Richard" w:hAnsi="Poor Richard"/>
          <w:iCs/>
        </w:rPr>
        <w:t xml:space="preserve">of 1268.  </w:t>
      </w:r>
      <w:r w:rsidRPr="00C02F2C">
        <w:rPr>
          <w:rFonts w:ascii="Poor Richard" w:hAnsi="Poor Richard"/>
          <w:iCs/>
          <w:lang w:val="fr-CA"/>
        </w:rPr>
        <w:t xml:space="preserve">See </w:t>
      </w:r>
      <w:r w:rsidRPr="00C02F2C">
        <w:rPr>
          <w:rFonts w:ascii="Poor Richard" w:hAnsi="Poor Richard"/>
          <w:iCs/>
          <w:lang w:val="la-Latn"/>
        </w:rPr>
        <w:t>Albertus</w:t>
      </w:r>
      <w:r w:rsidRPr="00C02F2C">
        <w:rPr>
          <w:rFonts w:ascii="Poor Richard" w:hAnsi="Poor Richard"/>
          <w:lang w:val="la-Latn"/>
        </w:rPr>
        <w:t xml:space="preserve"> Magnus, </w:t>
      </w:r>
      <w:r w:rsidRPr="00C02F2C">
        <w:rPr>
          <w:rFonts w:ascii="Poor Richard" w:hAnsi="Poor Richard"/>
          <w:i/>
          <w:lang w:val="la-Latn"/>
        </w:rPr>
        <w:t>De Causis et Processu Universitatis a Prima Causa</w:t>
      </w:r>
      <w:r w:rsidRPr="00C02F2C">
        <w:rPr>
          <w:rFonts w:ascii="Poor Richard" w:hAnsi="Poor Richard"/>
          <w:lang w:val="la-Latn"/>
        </w:rPr>
        <w:t xml:space="preserve">, ed. W. Fauser, </w:t>
      </w:r>
      <w:r w:rsidRPr="00C02F2C">
        <w:rPr>
          <w:rFonts w:ascii="Poor Richard" w:hAnsi="Poor Richard"/>
        </w:rPr>
        <w:t>Cologne edition:</w:t>
      </w:r>
      <w:r w:rsidRPr="00C02F2C">
        <w:rPr>
          <w:rFonts w:ascii="Poor Richard" w:hAnsi="Poor Richard"/>
          <w:lang w:val="la-Latn"/>
        </w:rPr>
        <w:t xml:space="preserve"> 17/2 (Aschendorff, 1993)</w:t>
      </w:r>
      <w:r w:rsidRPr="00C02F2C">
        <w:rPr>
          <w:rFonts w:ascii="Poor Richard" w:hAnsi="Poor Richard"/>
        </w:rPr>
        <w:t xml:space="preserve"> </w:t>
      </w:r>
      <w:r w:rsidRPr="00C02F2C">
        <w:rPr>
          <w:rFonts w:ascii="Poor Richard" w:hAnsi="Poor Richard"/>
          <w:lang w:val="es-ES"/>
        </w:rPr>
        <w:t xml:space="preserve">[herein  Albert, </w:t>
      </w:r>
      <w:r w:rsidRPr="00C02F2C">
        <w:rPr>
          <w:rFonts w:ascii="Poor Richard" w:hAnsi="Poor Richard"/>
          <w:i/>
          <w:lang w:val="es-ES"/>
        </w:rPr>
        <w:t>De Causis</w:t>
      </w:r>
      <w:r w:rsidRPr="00C02F2C">
        <w:rPr>
          <w:rFonts w:ascii="Poor Richard" w:hAnsi="Poor Richard"/>
          <w:lang w:val="es-ES"/>
        </w:rPr>
        <w:t>]</w:t>
      </w:r>
      <w:r w:rsidRPr="00C02F2C">
        <w:rPr>
          <w:rFonts w:ascii="Poor Richard" w:hAnsi="Poor Richard"/>
          <w:lang w:val="la-Latn"/>
        </w:rPr>
        <w:t>,</w:t>
      </w:r>
      <w:r w:rsidRPr="00C02F2C">
        <w:rPr>
          <w:rFonts w:ascii="Poor Richard" w:hAnsi="Poor Richard"/>
        </w:rPr>
        <w:t xml:space="preserve"> v.</w:t>
      </w:r>
      <w:r w:rsidRPr="00C02F2C">
        <w:rPr>
          <w:rFonts w:ascii="Poor Richard" w:hAnsi="Poor Richard"/>
          <w:iCs/>
        </w:rPr>
        <w:t xml:space="preserve">  1264 to 1267 are the most likely; a later date would  explain why Aquinas and Albert do not refer to each other’s treatments of the </w:t>
      </w:r>
      <w:r w:rsidRPr="00C02F2C">
        <w:rPr>
          <w:rFonts w:ascii="Poor Richard" w:hAnsi="Poor Richard"/>
          <w:i/>
          <w:iCs/>
        </w:rPr>
        <w:t>Liber</w:t>
      </w:r>
      <w:r w:rsidRPr="00C02F2C">
        <w:rPr>
          <w:rFonts w:ascii="Poor Richard" w:hAnsi="Poor Richard"/>
          <w:iCs/>
        </w:rPr>
        <w:t>.</w:t>
      </w:r>
      <w:r w:rsidRPr="00C02F2C">
        <w:rPr>
          <w:rFonts w:ascii="Poor Richard" w:hAnsi="Poor Richard"/>
        </w:rPr>
        <w:t xml:space="preserve"> </w:t>
      </w:r>
    </w:p>
  </w:footnote>
  <w:footnote w:id="30">
    <w:p w:rsidR="000F23BE" w:rsidRPr="00C02F2C" w:rsidRDefault="000F23BE">
      <w:pPr>
        <w:pStyle w:val="FootnoteText"/>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Libera, </w:t>
      </w:r>
      <w:r w:rsidRPr="00C02F2C">
        <w:rPr>
          <w:rFonts w:ascii="Poor Richard" w:hAnsi="Poor Richard"/>
          <w:i/>
          <w:lang w:val="fr-CA"/>
        </w:rPr>
        <w:t>Albert le Grand</w:t>
      </w:r>
      <w:r w:rsidRPr="00C02F2C">
        <w:rPr>
          <w:rFonts w:ascii="Poor Richard" w:hAnsi="Poor Richard"/>
          <w:lang w:val="fr-CA"/>
        </w:rPr>
        <w:t>, 38.</w:t>
      </w:r>
    </w:p>
  </w:footnote>
  <w:footnote w:id="31">
    <w:p w:rsidR="000F23BE" w:rsidRPr="00C02F2C" w:rsidRDefault="000F23BE" w:rsidP="00E2305E">
      <w:pPr>
        <w:pStyle w:val="FootnoteText"/>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De Libera, “Albert le Grand et le platonisme,” 119.</w:t>
      </w:r>
    </w:p>
  </w:footnote>
  <w:footnote w:id="32">
    <w:p w:rsidR="000F23BE" w:rsidRPr="00C02F2C" w:rsidRDefault="000F23BE" w:rsidP="00852A2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Blankenhorn, </w:t>
      </w:r>
      <w:r w:rsidRPr="00C02F2C">
        <w:rPr>
          <w:rFonts w:ascii="Poor Richard" w:hAnsi="Poor Richard"/>
          <w:i/>
        </w:rPr>
        <w:t>Mystery</w:t>
      </w:r>
      <w:r w:rsidRPr="00C02F2C">
        <w:rPr>
          <w:rFonts w:ascii="Poor Richard" w:hAnsi="Poor Richard"/>
        </w:rPr>
        <w:t>,</w:t>
      </w:r>
      <w:r w:rsidRPr="00C02F2C">
        <w:rPr>
          <w:rFonts w:ascii="Poor Richard" w:hAnsi="Poor Richard"/>
          <w:i/>
        </w:rPr>
        <w:t xml:space="preserve"> </w:t>
      </w:r>
      <w:r w:rsidRPr="00C02F2C">
        <w:rPr>
          <w:rFonts w:ascii="Poor Richard" w:hAnsi="Poor Richard"/>
        </w:rPr>
        <w:t>326.</w:t>
      </w:r>
    </w:p>
  </w:footnote>
  <w:footnote w:id="33">
    <w:p w:rsidR="000F23BE" w:rsidRPr="00C02F2C" w:rsidRDefault="000F23BE" w:rsidP="005679FD">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Bonin, </w:t>
      </w:r>
      <w:r w:rsidRPr="00C02F2C">
        <w:rPr>
          <w:rFonts w:ascii="Poor Richard" w:hAnsi="Poor Richard"/>
          <w:i/>
        </w:rPr>
        <w:t xml:space="preserve">Creation , </w:t>
      </w:r>
      <w:r w:rsidRPr="00C02F2C">
        <w:rPr>
          <w:rFonts w:ascii="Poor Richard" w:hAnsi="Poor Richard"/>
          <w:iCs/>
        </w:rPr>
        <w:t>146, note 30.</w:t>
      </w:r>
    </w:p>
  </w:footnote>
  <w:footnote w:id="34">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Aristotle, </w:t>
      </w:r>
      <w:r w:rsidRPr="00C02F2C">
        <w:rPr>
          <w:rFonts w:ascii="Poor Richard" w:hAnsi="Poor Richard"/>
          <w:i/>
        </w:rPr>
        <w:t>Metaphysics</w:t>
      </w:r>
      <w:r w:rsidRPr="00C02F2C">
        <w:rPr>
          <w:rFonts w:ascii="Poor Richard" w:hAnsi="Poor Richard"/>
        </w:rPr>
        <w:t xml:space="preserve">, I.3 984a18, </w:t>
      </w:r>
      <w:r w:rsidRPr="00C02F2C">
        <w:rPr>
          <w:rFonts w:ascii="Poor Richard" w:hAnsi="Poor Richard"/>
          <w:i/>
        </w:rPr>
        <w:t>Physics</w:t>
      </w:r>
      <w:r w:rsidRPr="00C02F2C">
        <w:rPr>
          <w:rFonts w:ascii="Poor Richard" w:hAnsi="Poor Richard"/>
        </w:rPr>
        <w:t xml:space="preserve">, I.10 188b29-30; Aquinas, </w:t>
      </w:r>
      <w:r w:rsidRPr="00C02F2C">
        <w:rPr>
          <w:rFonts w:ascii="Poor Richard" w:hAnsi="Poor Richard"/>
          <w:i/>
        </w:rPr>
        <w:t>Summa Theologiae</w:t>
      </w:r>
      <w:r w:rsidRPr="00C02F2C">
        <w:rPr>
          <w:rFonts w:ascii="Poor Richard" w:hAnsi="Poor Richard"/>
        </w:rPr>
        <w:t xml:space="preserve"> [herein </w:t>
      </w:r>
      <w:r w:rsidRPr="00C02F2C">
        <w:rPr>
          <w:rFonts w:ascii="Poor Richard" w:hAnsi="Poor Richard"/>
          <w:i/>
        </w:rPr>
        <w:t>ST</w:t>
      </w:r>
      <w:r w:rsidRPr="00C02F2C">
        <w:rPr>
          <w:rFonts w:ascii="Poor Richard" w:hAnsi="Poor Richard"/>
        </w:rPr>
        <w:t>]</w:t>
      </w:r>
      <w:r w:rsidRPr="00C02F2C">
        <w:rPr>
          <w:rFonts w:ascii="Poor Richard" w:hAnsi="Poor Richard"/>
          <w:i/>
        </w:rPr>
        <w:t xml:space="preserve">, </w:t>
      </w:r>
      <w:r w:rsidRPr="00C02F2C">
        <w:rPr>
          <w:rFonts w:ascii="Poor Richard" w:hAnsi="Poor Richard"/>
        </w:rPr>
        <w:t>Iª q. 44 a. 2 co.</w:t>
      </w:r>
    </w:p>
  </w:footnote>
  <w:footnote w:id="35">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J. Aertsen, “Aquinas’s Philosophy in its Historical Setting,” </w:t>
      </w:r>
      <w:r w:rsidRPr="00C02F2C">
        <w:rPr>
          <w:rFonts w:ascii="Poor Richard" w:hAnsi="Poor Richard"/>
          <w:i/>
        </w:rPr>
        <w:t>The Cambridge Companion to Aquinas</w:t>
      </w:r>
      <w:r w:rsidRPr="00C02F2C">
        <w:rPr>
          <w:rFonts w:ascii="Poor Richard" w:hAnsi="Poor Richard"/>
        </w:rPr>
        <w:t xml:space="preserve">, ed. N. Kretzmann, E. Stump (Cambridge: University Press, 1993): 12–37 at 28. </w:t>
      </w:r>
      <w:r w:rsidRPr="00C02F2C">
        <w:rPr>
          <w:rFonts w:ascii="Poor Richard" w:hAnsi="Poor Richard"/>
          <w:lang w:val="it-IT"/>
        </w:rPr>
        <w:t xml:space="preserve">His polemical </w:t>
      </w:r>
      <w:r w:rsidRPr="00C02F2C">
        <w:rPr>
          <w:rFonts w:ascii="Poor Richard" w:hAnsi="Poor Richard"/>
          <w:i/>
          <w:lang w:val="it-IT"/>
        </w:rPr>
        <w:t>On the Unity of the Intellect against Parisian Averroïsm</w:t>
      </w:r>
      <w:r w:rsidRPr="00C02F2C">
        <w:rPr>
          <w:rFonts w:ascii="Poor Richard" w:hAnsi="Poor Richard"/>
          <w:lang w:val="it-IT"/>
        </w:rPr>
        <w:t xml:space="preserve"> uses history as argument but does not otherwise fit the pattern I describe. See </w:t>
      </w:r>
      <w:r w:rsidRPr="00C02F2C">
        <w:rPr>
          <w:rFonts w:ascii="Poor Richard" w:hAnsi="Poor Richard"/>
        </w:rPr>
        <w:t>Hankey, “Why Philosophy”: 331-34.</w:t>
      </w:r>
    </w:p>
  </w:footnote>
  <w:footnote w:id="36">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Hankey, “Concord”: 190-201.</w:t>
      </w:r>
    </w:p>
  </w:footnote>
  <w:footnote w:id="37">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De Substantiis Separatis</w:t>
      </w:r>
      <w:r w:rsidRPr="00C02F2C">
        <w:rPr>
          <w:rFonts w:ascii="Poor Richard" w:hAnsi="Poor Richard"/>
        </w:rPr>
        <w:t xml:space="preserve">,  Leonina: 60 (Rome, 1968) [herein </w:t>
      </w:r>
      <w:r w:rsidRPr="00C02F2C">
        <w:rPr>
          <w:rFonts w:ascii="Poor Richard" w:hAnsi="Poor Richard"/>
          <w:i/>
        </w:rPr>
        <w:t>De Substantiis</w:t>
      </w:r>
      <w:r w:rsidRPr="00C02F2C">
        <w:rPr>
          <w:rFonts w:ascii="Poor Richard" w:hAnsi="Poor Richard"/>
        </w:rPr>
        <w:t xml:space="preserve">], 18, D71, lines 3-12.  </w:t>
      </w:r>
    </w:p>
  </w:footnote>
  <w:footnote w:id="38">
    <w:p w:rsidR="000F23BE" w:rsidRPr="00C02F2C" w:rsidRDefault="000F23BE" w:rsidP="00BC600D">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Quaestiones Disputatae De Malo</w:t>
      </w:r>
      <w:r w:rsidRPr="00C02F2C">
        <w:rPr>
          <w:rFonts w:ascii="Poor Richard" w:hAnsi="Poor Richard"/>
        </w:rPr>
        <w:t xml:space="preserve">, Leonina: 23 (Rome / Paris, 1982), q. 16 a. 1 ad 3, 283, lines 389–90. </w:t>
      </w:r>
    </w:p>
  </w:footnote>
  <w:footnote w:id="39">
    <w:p w:rsidR="000F23BE" w:rsidRPr="00C02F2C" w:rsidRDefault="000F23BE" w:rsidP="009A6C38">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Super Librum De Causis Expositio</w:t>
      </w:r>
      <w:r w:rsidRPr="00C02F2C">
        <w:rPr>
          <w:rFonts w:ascii="Poor Richard" w:hAnsi="Poor Richard"/>
        </w:rPr>
        <w:t>, ed. H.-D. Saffrey, 2</w:t>
      </w:r>
      <w:r w:rsidRPr="00C02F2C">
        <w:rPr>
          <w:rFonts w:ascii="Poor Richard" w:hAnsi="Poor Richard"/>
          <w:vertAlign w:val="superscript"/>
        </w:rPr>
        <w:t>nd</w:t>
      </w:r>
      <w:r w:rsidRPr="00C02F2C">
        <w:rPr>
          <w:rFonts w:ascii="Poor Richard" w:hAnsi="Poor Richard"/>
        </w:rPr>
        <w:t xml:space="preserve"> ed. (Paris: Vrin, 2002) [herein </w:t>
      </w:r>
      <w:r w:rsidRPr="00C02F2C">
        <w:rPr>
          <w:rFonts w:ascii="Poor Richard" w:hAnsi="Poor Richard"/>
          <w:i/>
        </w:rPr>
        <w:t>Super De causis or SDC</w:t>
      </w:r>
      <w:r w:rsidRPr="00C02F2C">
        <w:rPr>
          <w:rFonts w:ascii="Poor Richard" w:hAnsi="Poor Richard"/>
        </w:rPr>
        <w:t xml:space="preserve">], prop. 4,  33, lines 11–2. </w:t>
      </w:r>
    </w:p>
  </w:footnote>
  <w:footnote w:id="40">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The term is Booth’s, see </w:t>
      </w:r>
      <w:r w:rsidRPr="00C02F2C">
        <w:rPr>
          <w:rFonts w:ascii="Poor Richard" w:hAnsi="Poor Richard"/>
          <w:i/>
        </w:rPr>
        <w:t>Aristotelian</w:t>
      </w:r>
      <w:r w:rsidRPr="00C02F2C">
        <w:rPr>
          <w:rFonts w:ascii="Poor Richard" w:hAnsi="Poor Richard"/>
        </w:rPr>
        <w:t xml:space="preserve">. </w:t>
      </w:r>
    </w:p>
  </w:footnote>
  <w:footnote w:id="41">
    <w:p w:rsidR="000F23BE" w:rsidRPr="00C02F2C" w:rsidRDefault="000F23BE" w:rsidP="00225D95">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Blankenhorn, </w:t>
      </w:r>
      <w:r w:rsidRPr="00C02F2C">
        <w:rPr>
          <w:rFonts w:ascii="Poor Richard" w:hAnsi="Poor Richard"/>
          <w:i/>
        </w:rPr>
        <w:t>Mystery</w:t>
      </w:r>
      <w:r w:rsidRPr="00C02F2C">
        <w:rPr>
          <w:rFonts w:ascii="Poor Richard" w:hAnsi="Poor Richard"/>
        </w:rPr>
        <w:t>, 157. Albertus Magnus,</w:t>
      </w:r>
      <w:r w:rsidRPr="00C02F2C">
        <w:rPr>
          <w:rFonts w:ascii="Poor Richard" w:hAnsi="Poor Richard"/>
          <w:i/>
        </w:rPr>
        <w:t>Super Dionysii Mysticam Theologiam et Epistulas</w:t>
      </w:r>
      <w:r w:rsidRPr="00C02F2C">
        <w:rPr>
          <w:rFonts w:ascii="Poor Richard" w:hAnsi="Poor Richard"/>
        </w:rPr>
        <w:t xml:space="preserve">, ed. Paul Simon, Cologne edition: 37/2 (Aschendorff, 1978) [herein </w:t>
      </w:r>
      <w:r w:rsidRPr="00C02F2C">
        <w:rPr>
          <w:rFonts w:ascii="Poor Richard" w:hAnsi="Poor Richard"/>
          <w:i/>
        </w:rPr>
        <w:t>Super Mysticam</w:t>
      </w:r>
      <w:r w:rsidRPr="00C02F2C">
        <w:rPr>
          <w:rFonts w:ascii="Poor Richard" w:hAnsi="Poor Richard"/>
        </w:rPr>
        <w:t>], 1, 453, line 10.</w:t>
      </w:r>
    </w:p>
  </w:footnote>
  <w:footnote w:id="42">
    <w:p w:rsidR="000F23BE" w:rsidRPr="00C02F2C" w:rsidRDefault="000F23BE" w:rsidP="00EA32BC">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122.</w:t>
      </w:r>
    </w:p>
  </w:footnote>
  <w:footnote w:id="43">
    <w:p w:rsidR="000F23BE" w:rsidRPr="00C02F2C" w:rsidRDefault="000F23BE" w:rsidP="00225D95">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Libera, </w:t>
      </w:r>
      <w:r w:rsidRPr="00C02F2C">
        <w:rPr>
          <w:rFonts w:ascii="Poor Richard" w:hAnsi="Poor Richard"/>
          <w:i/>
        </w:rPr>
        <w:t>Raison</w:t>
      </w:r>
      <w:r w:rsidRPr="00C02F2C">
        <w:rPr>
          <w:rFonts w:ascii="Poor Richard" w:hAnsi="Poor Richard"/>
        </w:rPr>
        <w:t>, 277–78.</w:t>
      </w:r>
    </w:p>
  </w:footnote>
  <w:footnote w:id="44">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 xml:space="preserve">ST, </w:t>
      </w:r>
      <w:r w:rsidRPr="00C02F2C">
        <w:rPr>
          <w:rFonts w:ascii="Poor Richard" w:hAnsi="Poor Richard"/>
        </w:rPr>
        <w:t xml:space="preserve">Iª q. 1 a. 1; see W.J. Hankey, “Aquinas at the Origins of Secular Humanism? Sources and innovation in </w:t>
      </w:r>
      <w:r w:rsidRPr="00C02F2C">
        <w:rPr>
          <w:rFonts w:ascii="Poor Richard" w:hAnsi="Poor Richard"/>
          <w:i/>
        </w:rPr>
        <w:t>Summa Theologiae</w:t>
      </w:r>
      <w:r w:rsidRPr="00C02F2C">
        <w:rPr>
          <w:rFonts w:ascii="Poor Richard" w:hAnsi="Poor Richard"/>
        </w:rPr>
        <w:t xml:space="preserve"> 1.1.1,” </w:t>
      </w:r>
      <w:r w:rsidRPr="00C02F2C">
        <w:rPr>
          <w:rFonts w:ascii="Poor Richard" w:hAnsi="Poor Richard"/>
          <w:i/>
        </w:rPr>
        <w:t>Nova et Vetera</w:t>
      </w:r>
      <w:r w:rsidRPr="00C02F2C">
        <w:rPr>
          <w:rFonts w:ascii="Poor Richard" w:hAnsi="Poor Richard"/>
        </w:rPr>
        <w:t xml:space="preserve"> 5:1 (2007): 17–40 at 28-34.</w:t>
      </w:r>
    </w:p>
  </w:footnote>
  <w:footnote w:id="45">
    <w:p w:rsidR="000F23BE" w:rsidRPr="00C02F2C" w:rsidRDefault="000F23BE" w:rsidP="000123BC">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Hankey, “Why Philosophy”: 330.</w:t>
      </w:r>
    </w:p>
  </w:footnote>
  <w:footnote w:id="46">
    <w:p w:rsidR="000F23BE" w:rsidRPr="00C02F2C" w:rsidRDefault="000F23BE" w:rsidP="0074414F">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Albert, </w:t>
      </w:r>
      <w:r w:rsidRPr="00C02F2C">
        <w:rPr>
          <w:rFonts w:ascii="Poor Richard" w:hAnsi="Poor Richard"/>
          <w:i/>
        </w:rPr>
        <w:t xml:space="preserve">Epistula Septima </w:t>
      </w:r>
      <w:r w:rsidRPr="00C02F2C">
        <w:rPr>
          <w:rFonts w:ascii="Poor Richard" w:hAnsi="Poor Richard"/>
        </w:rPr>
        <w:t xml:space="preserve"> in </w:t>
      </w:r>
      <w:r w:rsidRPr="00C02F2C">
        <w:rPr>
          <w:rFonts w:ascii="Poor Richard" w:hAnsi="Poor Richard"/>
          <w:i/>
        </w:rPr>
        <w:t>Super Mysticam</w:t>
      </w:r>
      <w:r w:rsidRPr="00C02F2C">
        <w:rPr>
          <w:rFonts w:ascii="Poor Richard" w:hAnsi="Poor Richard"/>
        </w:rPr>
        <w:t>, 504, lines 11-39.</w:t>
      </w:r>
    </w:p>
  </w:footnote>
  <w:footnote w:id="47">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Albertus Magnus, </w:t>
      </w:r>
      <w:r w:rsidRPr="00C02F2C">
        <w:rPr>
          <w:rFonts w:ascii="Poor Richard" w:hAnsi="Poor Richard"/>
          <w:i/>
        </w:rPr>
        <w:t>Summa theologica sive de mirabili scientia Dei</w:t>
      </w:r>
      <w:r w:rsidRPr="00C02F2C">
        <w:rPr>
          <w:rFonts w:ascii="Poor Richard" w:hAnsi="Poor Richard"/>
        </w:rPr>
        <w:t>, ed. D. Siedler, Cologne edition: 34/1 (Aschendorff, 1978), II, 542, lines 24-9.</w:t>
      </w:r>
    </w:p>
  </w:footnote>
  <w:footnote w:id="48">
    <w:p w:rsidR="000F23BE" w:rsidRPr="00C02F2C" w:rsidRDefault="000F23BE" w:rsidP="00991752">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val="it-IT"/>
        </w:rPr>
        <w:t xml:space="preserve">R. D. Crouse, “St. Thomas, St. Albert, Aristotle: </w:t>
      </w:r>
      <w:r w:rsidRPr="00C02F2C">
        <w:rPr>
          <w:rFonts w:ascii="Poor Richard" w:hAnsi="Poor Richard"/>
          <w:i/>
          <w:lang w:val="it-IT"/>
        </w:rPr>
        <w:t>Philosophia Ancilla Theologiae,</w:t>
      </w:r>
      <w:r w:rsidRPr="00C02F2C">
        <w:rPr>
          <w:rFonts w:ascii="Poor Richard" w:hAnsi="Poor Richard"/>
          <w:lang w:val="it-IT"/>
        </w:rPr>
        <w:t xml:space="preserve">” </w:t>
      </w:r>
      <w:r w:rsidRPr="00C02F2C">
        <w:rPr>
          <w:rFonts w:ascii="Poor Richard" w:hAnsi="Poor Richard"/>
          <w:i/>
          <w:lang w:val="it-IT"/>
        </w:rPr>
        <w:t>Atti del Congresso Internazionale Tommaso nel suo settimo centenario</w:t>
      </w:r>
      <w:r w:rsidRPr="00C02F2C">
        <w:rPr>
          <w:rFonts w:ascii="Poor Richard" w:hAnsi="Poor Richard"/>
          <w:lang w:val="it-IT"/>
        </w:rPr>
        <w:t>, i (Napoli: Edizioni Domenicane, 1975), 181–185 at 183.</w:t>
      </w:r>
    </w:p>
  </w:footnote>
  <w:footnote w:id="49">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w:t>
      </w:r>
    </w:p>
  </w:footnote>
  <w:footnote w:id="50">
    <w:p w:rsidR="000F23BE" w:rsidRPr="00C02F2C" w:rsidRDefault="000F23BE">
      <w:pPr>
        <w:pStyle w:val="FootnoteText"/>
        <w:rPr>
          <w:rFonts w:ascii="Poor Richard" w:hAnsi="Poor Richard"/>
          <w:b/>
        </w:rPr>
      </w:pPr>
      <w:r w:rsidRPr="00C02F2C">
        <w:rPr>
          <w:rStyle w:val="FootnoteReference"/>
          <w:rFonts w:ascii="Poor Richard" w:hAnsi="Poor Richard"/>
        </w:rPr>
        <w:footnoteRef/>
      </w:r>
      <w:r w:rsidRPr="00C02F2C">
        <w:rPr>
          <w:rFonts w:ascii="Poor Richard" w:hAnsi="Poor Richard"/>
        </w:rPr>
        <w:t xml:space="preserve"> Libera, </w:t>
      </w:r>
      <w:r w:rsidRPr="00C02F2C">
        <w:rPr>
          <w:rFonts w:ascii="Poor Richard" w:hAnsi="Poor Richard"/>
          <w:i/>
        </w:rPr>
        <w:t>Raison</w:t>
      </w:r>
      <w:r w:rsidRPr="00C02F2C">
        <w:rPr>
          <w:rFonts w:ascii="Poor Richard" w:hAnsi="Poor Richard"/>
        </w:rPr>
        <w:t>, 72.</w:t>
      </w:r>
    </w:p>
  </w:footnote>
  <w:footnote w:id="51">
    <w:p w:rsidR="000F23BE" w:rsidRPr="00C02F2C" w:rsidRDefault="000F23BE" w:rsidP="006A3498">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77.</w:t>
      </w:r>
    </w:p>
  </w:footnote>
  <w:footnote w:id="52">
    <w:p w:rsidR="000F23BE" w:rsidRPr="00C02F2C" w:rsidRDefault="000F23BE" w:rsidP="006A3498">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eastAsia="zh-CN"/>
        </w:rPr>
        <w:t xml:space="preserve">H. Anzulewicz, “The Systematic Theology of Albert the Great,” </w:t>
      </w:r>
      <w:r w:rsidRPr="00C02F2C">
        <w:rPr>
          <w:rFonts w:ascii="Poor Richard" w:hAnsi="Poor Richard"/>
          <w:i/>
        </w:rPr>
        <w:t xml:space="preserve">A Companion to Albert, </w:t>
      </w:r>
      <w:r w:rsidRPr="00C02F2C">
        <w:rPr>
          <w:rFonts w:ascii="Poor Richard" w:hAnsi="Poor Richard"/>
        </w:rPr>
        <w:t xml:space="preserve"> 18.</w:t>
      </w:r>
    </w:p>
  </w:footnote>
  <w:footnote w:id="53">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val="it-IT"/>
        </w:rPr>
        <w:t>Crouse, “St. Thomas,” 184.</w:t>
      </w:r>
    </w:p>
  </w:footnote>
  <w:footnote w:id="54">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w:t>
      </w:r>
    </w:p>
  </w:footnote>
  <w:footnote w:id="55">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eastAsia="zh-CN"/>
        </w:rPr>
        <w:t>Anzulewicz, “The Systematic Theology,” 25.</w:t>
      </w:r>
    </w:p>
  </w:footnote>
  <w:footnote w:id="56">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eastAsia="zh-CN"/>
        </w:rPr>
        <w:t xml:space="preserve">Anzulewicz, “Albert the Great on Metaphysics,” </w:t>
      </w:r>
      <w:r w:rsidRPr="00C02F2C">
        <w:rPr>
          <w:rFonts w:ascii="Poor Richard" w:hAnsi="Poor Richard"/>
          <w:i/>
        </w:rPr>
        <w:t xml:space="preserve">A Companion to Albert, </w:t>
      </w:r>
      <w:r w:rsidRPr="00C02F2C">
        <w:rPr>
          <w:rFonts w:ascii="Poor Richard" w:hAnsi="Poor Richard"/>
        </w:rPr>
        <w:t>555.</w:t>
      </w:r>
    </w:p>
  </w:footnote>
  <w:footnote w:id="57">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Blankenhorn, </w:t>
      </w:r>
      <w:r w:rsidRPr="00C02F2C">
        <w:rPr>
          <w:rFonts w:ascii="Poor Richard" w:hAnsi="Poor Richard"/>
          <w:i/>
        </w:rPr>
        <w:t>Mystery</w:t>
      </w:r>
      <w:r w:rsidRPr="00C02F2C">
        <w:rPr>
          <w:rFonts w:ascii="Poor Richard" w:hAnsi="Poor Richard"/>
        </w:rPr>
        <w:t>, 42 and 34.</w:t>
      </w:r>
    </w:p>
  </w:footnote>
  <w:footnote w:id="58">
    <w:p w:rsidR="000F23BE" w:rsidRPr="00C02F2C" w:rsidRDefault="000F23BE" w:rsidP="00E15E01">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M. Harrington, “The Divine Name of Wisdom In the Dionysian Commentary Tradition,” </w:t>
      </w:r>
      <w:r w:rsidRPr="00C02F2C">
        <w:rPr>
          <w:rFonts w:ascii="Poor Richard" w:hAnsi="Poor Richard"/>
          <w:i/>
        </w:rPr>
        <w:t xml:space="preserve">Dionysius </w:t>
      </w:r>
      <w:r w:rsidRPr="00C02F2C">
        <w:rPr>
          <w:rFonts w:ascii="Poor Richard" w:hAnsi="Poor Richard"/>
        </w:rPr>
        <w:t>35 (2017): 105-33 at 111.</w:t>
      </w:r>
    </w:p>
  </w:footnote>
  <w:footnote w:id="59">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115-6.</w:t>
      </w:r>
    </w:p>
  </w:footnote>
  <w:footnote w:id="60">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116 quoting Albert, </w:t>
      </w:r>
      <w:r w:rsidRPr="00C02F2C">
        <w:rPr>
          <w:rFonts w:ascii="Poor Richard" w:hAnsi="Poor Richard"/>
          <w:i/>
        </w:rPr>
        <w:t xml:space="preserve">Super DDN, </w:t>
      </w:r>
      <w:r w:rsidRPr="00C02F2C">
        <w:rPr>
          <w:rFonts w:ascii="Poor Richard" w:hAnsi="Poor Richard"/>
        </w:rPr>
        <w:t>I, 6, lines 46-50.</w:t>
      </w:r>
    </w:p>
  </w:footnote>
  <w:footnote w:id="61">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117 quoting Aquinas</w:t>
      </w:r>
      <w:r w:rsidRPr="00C02F2C">
        <w:rPr>
          <w:rFonts w:ascii="Poor Richard" w:hAnsi="Poor Richard"/>
          <w:iCs/>
        </w:rPr>
        <w:t xml:space="preserve">, </w:t>
      </w:r>
      <w:r w:rsidRPr="00C02F2C">
        <w:rPr>
          <w:rFonts w:ascii="Poor Richard" w:hAnsi="Poor Richard"/>
          <w:i/>
        </w:rPr>
        <w:t xml:space="preserve">In Librum Beati Dionysii </w:t>
      </w:r>
      <w:r w:rsidRPr="00C02F2C">
        <w:rPr>
          <w:rFonts w:ascii="Poor Richard" w:hAnsi="Poor Richard"/>
        </w:rPr>
        <w:t>De divinis nominibus</w:t>
      </w:r>
      <w:r w:rsidRPr="00C02F2C">
        <w:rPr>
          <w:rFonts w:ascii="Poor Richard" w:hAnsi="Poor Richard"/>
          <w:i/>
        </w:rPr>
        <w:t xml:space="preserve"> Expositio</w:t>
      </w:r>
      <w:r w:rsidRPr="00C02F2C">
        <w:rPr>
          <w:rFonts w:ascii="Poor Richard" w:hAnsi="Poor Richard"/>
        </w:rPr>
        <w:t xml:space="preserve">, ed. C. Pera (Turin: Marietti, 1950) [herein </w:t>
      </w:r>
      <w:r w:rsidRPr="00C02F2C">
        <w:rPr>
          <w:rFonts w:ascii="Poor Richard" w:hAnsi="Poor Richard"/>
          <w:i/>
        </w:rPr>
        <w:t>In De divinis nominibus</w:t>
      </w:r>
      <w:r w:rsidRPr="00C02F2C">
        <w:rPr>
          <w:rFonts w:ascii="Poor Richard" w:hAnsi="Poor Richard"/>
        </w:rPr>
        <w:t xml:space="preserve"> or </w:t>
      </w:r>
      <w:r w:rsidRPr="00C02F2C">
        <w:rPr>
          <w:rFonts w:ascii="Poor Richard" w:hAnsi="Poor Richard"/>
          <w:i/>
        </w:rPr>
        <w:t>In DDN</w:t>
      </w:r>
      <w:r w:rsidRPr="00C02F2C">
        <w:rPr>
          <w:rFonts w:ascii="Poor Richard" w:hAnsi="Poor Richard"/>
        </w:rPr>
        <w:t xml:space="preserve">], I, i, </w:t>
      </w:r>
      <w:r w:rsidRPr="00C02F2C">
        <w:rPr>
          <w:rFonts w:ascii="Poor Richard" w:hAnsi="Poor Richard"/>
          <w:lang w:val="it-IT"/>
        </w:rPr>
        <w:t>§</w:t>
      </w:r>
      <w:r w:rsidRPr="00C02F2C">
        <w:rPr>
          <w:rFonts w:ascii="Poor Richard" w:hAnsi="Poor Richard"/>
        </w:rPr>
        <w:t>11.</w:t>
      </w:r>
    </w:p>
  </w:footnote>
  <w:footnote w:id="62">
    <w:p w:rsidR="000F23BE" w:rsidRPr="00C02F2C" w:rsidRDefault="000F23BE" w:rsidP="00E32360">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lang w:val="fr-CA"/>
        </w:rPr>
        <w:t xml:space="preserve"> A. Oliva, “</w:t>
      </w:r>
      <w:r w:rsidRPr="00C02F2C">
        <w:rPr>
          <w:rFonts w:ascii="Poor Richard" w:hAnsi="Poor Richard"/>
          <w:i/>
          <w:w w:val="90"/>
          <w:lang w:val="fr-CA"/>
        </w:rPr>
        <w:t>Doctrina</w:t>
      </w:r>
      <w:r w:rsidRPr="00C02F2C">
        <w:rPr>
          <w:rFonts w:ascii="Poor Richard" w:hAnsi="Poor Richard"/>
          <w:i/>
          <w:spacing w:val="-7"/>
          <w:w w:val="90"/>
          <w:lang w:val="fr-CA"/>
        </w:rPr>
        <w:t xml:space="preserve"> </w:t>
      </w:r>
      <w:r w:rsidRPr="00C02F2C">
        <w:rPr>
          <w:rFonts w:ascii="Poor Richard" w:hAnsi="Poor Richard"/>
          <w:w w:val="90"/>
          <w:lang w:val="fr-CA"/>
        </w:rPr>
        <w:t>et</w:t>
      </w:r>
      <w:r w:rsidRPr="00C02F2C">
        <w:rPr>
          <w:rFonts w:ascii="Poor Richard" w:hAnsi="Poor Richard"/>
          <w:spacing w:val="-7"/>
          <w:w w:val="90"/>
          <w:lang w:val="fr-CA"/>
        </w:rPr>
        <w:t xml:space="preserve"> </w:t>
      </w:r>
      <w:r w:rsidRPr="00C02F2C">
        <w:rPr>
          <w:rFonts w:ascii="Poor Richard" w:hAnsi="Poor Richard"/>
          <w:i/>
          <w:w w:val="90"/>
          <w:lang w:val="fr-CA"/>
        </w:rPr>
        <w:t>sacra</w:t>
      </w:r>
      <w:r w:rsidRPr="00C02F2C">
        <w:rPr>
          <w:rFonts w:ascii="Poor Richard" w:hAnsi="Poor Richard"/>
          <w:i/>
          <w:spacing w:val="-7"/>
          <w:w w:val="90"/>
          <w:lang w:val="fr-CA"/>
        </w:rPr>
        <w:t xml:space="preserve"> </w:t>
      </w:r>
      <w:r w:rsidRPr="00C02F2C">
        <w:rPr>
          <w:rFonts w:ascii="Poor Richard" w:hAnsi="Poor Richard"/>
          <w:i/>
          <w:w w:val="90"/>
          <w:lang w:val="fr-CA"/>
        </w:rPr>
        <w:t>doctrina</w:t>
      </w:r>
      <w:r w:rsidRPr="00C02F2C">
        <w:rPr>
          <w:rFonts w:ascii="Poor Richard" w:hAnsi="Poor Richard"/>
          <w:i/>
          <w:spacing w:val="-7"/>
          <w:w w:val="90"/>
          <w:lang w:val="fr-CA"/>
        </w:rPr>
        <w:t xml:space="preserve"> </w:t>
      </w:r>
      <w:r w:rsidRPr="00C02F2C">
        <w:rPr>
          <w:rFonts w:ascii="Poor Richard" w:hAnsi="Poor Richard"/>
          <w:w w:val="90"/>
          <w:lang w:val="fr-CA"/>
        </w:rPr>
        <w:t>chez</w:t>
      </w:r>
      <w:r w:rsidRPr="00C02F2C">
        <w:rPr>
          <w:rFonts w:ascii="Poor Richard" w:hAnsi="Poor Richard"/>
          <w:spacing w:val="-15"/>
          <w:w w:val="90"/>
          <w:lang w:val="fr-CA"/>
        </w:rPr>
        <w:t xml:space="preserve"> </w:t>
      </w:r>
      <w:r w:rsidRPr="00C02F2C">
        <w:rPr>
          <w:rFonts w:ascii="Poor Richard" w:hAnsi="Poor Richard"/>
          <w:w w:val="90"/>
          <w:lang w:val="fr-CA"/>
        </w:rPr>
        <w:t>Thomas</w:t>
      </w:r>
      <w:r w:rsidRPr="00C02F2C">
        <w:rPr>
          <w:rFonts w:ascii="Poor Richard" w:hAnsi="Poor Richard"/>
          <w:spacing w:val="-7"/>
          <w:w w:val="90"/>
          <w:lang w:val="fr-CA"/>
        </w:rPr>
        <w:t xml:space="preserve"> </w:t>
      </w:r>
      <w:r w:rsidRPr="00C02F2C">
        <w:rPr>
          <w:rFonts w:ascii="Poor Richard" w:hAnsi="Poor Richard"/>
          <w:w w:val="90"/>
          <w:lang w:val="fr-CA"/>
        </w:rPr>
        <w:t>d’Aquin,</w:t>
      </w:r>
      <w:r w:rsidRPr="00C02F2C">
        <w:rPr>
          <w:rFonts w:ascii="Poor Richard" w:hAnsi="Poor Richard"/>
          <w:lang w:val="fr-CA"/>
        </w:rPr>
        <w:t>”</w:t>
      </w:r>
      <w:r w:rsidRPr="00C02F2C">
        <w:rPr>
          <w:rFonts w:ascii="Poor Richard" w:hAnsi="Poor Richard"/>
          <w:i/>
          <w:w w:val="90"/>
          <w:lang w:val="fr-CA"/>
        </w:rPr>
        <w:t>Vera Doctrina:</w:t>
      </w:r>
      <w:r w:rsidRPr="00C02F2C">
        <w:rPr>
          <w:rFonts w:ascii="Poor Richard" w:hAnsi="Poor Richard"/>
          <w:lang w:val="fr-CA"/>
        </w:rPr>
        <w:t xml:space="preserve"> </w:t>
      </w:r>
      <w:r w:rsidRPr="00C02F2C">
        <w:rPr>
          <w:rFonts w:ascii="Poor Richard" w:hAnsi="Poor Richard"/>
          <w:i/>
          <w:w w:val="90"/>
          <w:lang w:val="fr-CA"/>
        </w:rPr>
        <w:t>Zur Begriffsgeschichte der Lehre von Augustinus bis Descartes</w:t>
      </w:r>
      <w:r w:rsidRPr="00C02F2C">
        <w:rPr>
          <w:rFonts w:ascii="Poor Richard" w:hAnsi="Poor Richard"/>
          <w:w w:val="90"/>
          <w:lang w:val="fr-CA"/>
        </w:rPr>
        <w:t xml:space="preserve">, ed. </w:t>
      </w:r>
      <w:r w:rsidRPr="00C02F2C">
        <w:rPr>
          <w:rFonts w:ascii="Poor Richard" w:hAnsi="Poor Richard"/>
          <w:w w:val="90"/>
        </w:rPr>
        <w:t>P. Büttgen, R. Imbach, U.J. Schneider, H.J. Selderhuis (Wolfenbüttel: Herzog August Bibliothek, 2009), 35-61 at 39-58.</w:t>
      </w:r>
    </w:p>
  </w:footnote>
  <w:footnote w:id="63">
    <w:p w:rsidR="000F23BE" w:rsidRPr="00C02F2C" w:rsidRDefault="000F23BE" w:rsidP="00347779">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Booth,</w:t>
      </w:r>
      <w:r w:rsidRPr="00C02F2C">
        <w:rPr>
          <w:rFonts w:ascii="Poor Richard" w:hAnsi="Poor Richard"/>
          <w:smallCaps/>
        </w:rPr>
        <w:t xml:space="preserve"> </w:t>
      </w:r>
      <w:r w:rsidRPr="00C02F2C">
        <w:rPr>
          <w:rFonts w:ascii="Poor Richard" w:hAnsi="Poor Richard"/>
        </w:rPr>
        <w:t xml:space="preserve"> </w:t>
      </w:r>
      <w:r w:rsidRPr="00C02F2C">
        <w:rPr>
          <w:rFonts w:ascii="Poor Richard" w:hAnsi="Poor Richard"/>
          <w:i/>
        </w:rPr>
        <w:t>Aristotelian</w:t>
      </w:r>
      <w:r w:rsidRPr="00C02F2C">
        <w:rPr>
          <w:rFonts w:ascii="Poor Richard" w:hAnsi="Poor Richard"/>
        </w:rPr>
        <w:t>, 156–204, especially, 161, 166, 182.</w:t>
      </w:r>
    </w:p>
  </w:footnote>
  <w:footnote w:id="64">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E.g. Bonin, </w:t>
      </w:r>
      <w:r w:rsidRPr="00C02F2C">
        <w:rPr>
          <w:rFonts w:ascii="Poor Richard" w:hAnsi="Poor Richard"/>
          <w:i/>
        </w:rPr>
        <w:t>Creation</w:t>
      </w:r>
      <w:r w:rsidRPr="00C02F2C">
        <w:rPr>
          <w:rFonts w:ascii="Poor Richard" w:hAnsi="Poor Richard"/>
        </w:rPr>
        <w:t>, 45.</w:t>
      </w:r>
    </w:p>
  </w:footnote>
  <w:footnote w:id="65">
    <w:p w:rsidR="000F23BE" w:rsidRPr="00C02F2C" w:rsidRDefault="000F23BE" w:rsidP="00CE7AF0">
      <w:pPr>
        <w:pStyle w:val="FootnoteText"/>
        <w:rPr>
          <w:rFonts w:ascii="Poor Richard" w:hAnsi="Poor Richard"/>
        </w:rPr>
      </w:pPr>
      <w:r w:rsidRPr="00C02F2C">
        <w:rPr>
          <w:rStyle w:val="FootnoteReference"/>
          <w:rFonts w:ascii="Poor Richard" w:hAnsi="Poor Richard"/>
          <w:lang w:val="la-Latn"/>
        </w:rPr>
        <w:footnoteRef/>
      </w:r>
      <w:r w:rsidRPr="00C02F2C">
        <w:rPr>
          <w:rFonts w:ascii="Poor Richard" w:hAnsi="Poor Richard"/>
          <w:lang w:val="la-Latn"/>
        </w:rPr>
        <w:t xml:space="preserve"> Albert, </w:t>
      </w:r>
      <w:r w:rsidRPr="00C02F2C">
        <w:rPr>
          <w:rFonts w:ascii="Poor Richard" w:hAnsi="Poor Richard"/>
          <w:i/>
          <w:lang w:val="la-Latn"/>
        </w:rPr>
        <w:t>De Causis</w:t>
      </w:r>
      <w:r w:rsidRPr="00C02F2C">
        <w:rPr>
          <w:rFonts w:ascii="Poor Richard" w:hAnsi="Poor Richard"/>
          <w:lang w:val="la-Latn"/>
        </w:rPr>
        <w:t xml:space="preserve">, </w:t>
      </w:r>
      <w:r w:rsidRPr="00C02F2C">
        <w:rPr>
          <w:rFonts w:ascii="Poor Richard" w:hAnsi="Poor Richard"/>
        </w:rPr>
        <w:t>I</w:t>
      </w:r>
      <w:r w:rsidRPr="00C02F2C">
        <w:rPr>
          <w:rFonts w:ascii="Poor Richard" w:hAnsi="Poor Richard"/>
          <w:lang w:val="la-Latn"/>
        </w:rPr>
        <w:t>, 1, cap. 6, 13, lines 69</w:t>
      </w:r>
      <w:r w:rsidRPr="00C02F2C">
        <w:rPr>
          <w:rFonts w:ascii="Poor Richard" w:hAnsi="Poor Richard"/>
        </w:rPr>
        <w:t>-</w:t>
      </w:r>
      <w:r w:rsidRPr="00C02F2C">
        <w:rPr>
          <w:rFonts w:ascii="Poor Richard" w:hAnsi="Poor Richard"/>
          <w:lang w:val="la-Latn"/>
        </w:rPr>
        <w:t xml:space="preserve">71; </w:t>
      </w:r>
      <w:r w:rsidRPr="00C02F2C">
        <w:rPr>
          <w:rFonts w:ascii="Poor Richard" w:hAnsi="Poor Richard"/>
          <w:iCs/>
        </w:rPr>
        <w:t xml:space="preserve"> see  </w:t>
      </w:r>
      <w:r w:rsidRPr="00C02F2C">
        <w:rPr>
          <w:rFonts w:ascii="Poor Richard" w:hAnsi="Poor Richard"/>
        </w:rPr>
        <w:t>W. J. Hankey</w:t>
      </w:r>
      <w:r w:rsidRPr="00C02F2C">
        <w:rPr>
          <w:rFonts w:ascii="Poor Richard" w:hAnsi="Poor Richard"/>
          <w:i/>
        </w:rPr>
        <w:t xml:space="preserve"> “Ab uno simplici non est nisi unum</w:t>
      </w:r>
      <w:r w:rsidRPr="00C02F2C">
        <w:rPr>
          <w:rFonts w:ascii="Poor Richard" w:hAnsi="Poor Richard"/>
        </w:rPr>
        <w:t xml:space="preserve">: The Place of Natural and Necessary Emanation in Aquinas’ Doctrine of Creation,” </w:t>
      </w:r>
      <w:r w:rsidRPr="00C02F2C">
        <w:rPr>
          <w:rFonts w:ascii="Poor Richard" w:hAnsi="Poor Richard"/>
          <w:i/>
        </w:rPr>
        <w:t>Divine Creation in Ancient, Medieval, and Early Modern Thought</w:t>
      </w:r>
      <w:r w:rsidRPr="00C02F2C">
        <w:rPr>
          <w:rFonts w:ascii="Poor Richard" w:hAnsi="Poor Richard"/>
          <w:iCs/>
        </w:rPr>
        <w:t>, ed. M. Treschow, W. Otten, W. Hannam</w:t>
      </w:r>
      <w:r w:rsidRPr="00C02F2C">
        <w:rPr>
          <w:rFonts w:ascii="Poor Richard" w:hAnsi="Poor Richard"/>
        </w:rPr>
        <w:t xml:space="preserve"> (Leiden: Brill, 2007), 309–33 at 316.</w:t>
      </w:r>
    </w:p>
  </w:footnote>
  <w:footnote w:id="66">
    <w:p w:rsidR="000F23BE" w:rsidRPr="00C02F2C" w:rsidRDefault="000F23BE" w:rsidP="00227CAD">
      <w:pPr>
        <w:pStyle w:val="FootnoteText"/>
        <w:rPr>
          <w:rFonts w:ascii="Poor Richard" w:hAnsi="Poor Richard"/>
          <w:lang w:val="la-Latn"/>
        </w:rPr>
      </w:pPr>
      <w:r w:rsidRPr="00C02F2C">
        <w:rPr>
          <w:rStyle w:val="FootnoteReference"/>
          <w:rFonts w:ascii="Poor Richard" w:hAnsi="Poor Richard"/>
          <w:lang w:val="la-Latn"/>
        </w:rPr>
        <w:footnoteRef/>
      </w:r>
      <w:r w:rsidRPr="00C02F2C">
        <w:rPr>
          <w:rFonts w:ascii="Poor Richard" w:hAnsi="Poor Richard"/>
        </w:rPr>
        <w:t xml:space="preserve"> </w:t>
      </w:r>
      <w:r w:rsidRPr="00C02F2C">
        <w:rPr>
          <w:rFonts w:ascii="Poor Richard" w:hAnsi="Poor Richard"/>
          <w:lang w:val="la-Latn"/>
        </w:rPr>
        <w:t>Ibid.,</w:t>
      </w:r>
      <w:r w:rsidRPr="00C02F2C">
        <w:rPr>
          <w:rFonts w:ascii="Poor Richard" w:hAnsi="Poor Richard"/>
        </w:rPr>
        <w:t xml:space="preserve"> I, 1,</w:t>
      </w:r>
      <w:r w:rsidRPr="00C02F2C">
        <w:rPr>
          <w:rFonts w:ascii="Poor Richard" w:hAnsi="Poor Richard"/>
          <w:lang w:val="la-Latn"/>
        </w:rPr>
        <w:t xml:space="preserve"> cap. 10, 22, line 3</w:t>
      </w:r>
      <w:r w:rsidRPr="00C02F2C">
        <w:rPr>
          <w:rFonts w:ascii="Poor Richard" w:hAnsi="Poor Richard"/>
        </w:rPr>
        <w:t>; I,</w:t>
      </w:r>
      <w:r w:rsidRPr="00C02F2C">
        <w:rPr>
          <w:rFonts w:ascii="Poor Richard" w:hAnsi="Poor Richard"/>
          <w:lang w:val="la-Latn"/>
        </w:rPr>
        <w:t xml:space="preserve"> 4, cap. 8,  55, lines 76-79.</w:t>
      </w:r>
    </w:p>
  </w:footnote>
  <w:footnote w:id="67">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val="la-Latn"/>
        </w:rPr>
        <w:t>Ibid.,</w:t>
      </w:r>
      <w:r w:rsidRPr="00C02F2C">
        <w:rPr>
          <w:rFonts w:ascii="Poor Richard" w:hAnsi="Poor Richard"/>
        </w:rPr>
        <w:t xml:space="preserve"> I, 1,</w:t>
      </w:r>
      <w:r w:rsidRPr="00C02F2C">
        <w:rPr>
          <w:rFonts w:ascii="Poor Richard" w:hAnsi="Poor Richard"/>
          <w:lang w:val="la-Latn"/>
        </w:rPr>
        <w:t xml:space="preserve"> cap. 10, 22, li</w:t>
      </w:r>
      <w:r w:rsidRPr="00C02F2C">
        <w:rPr>
          <w:rFonts w:ascii="Poor Richard" w:hAnsi="Poor Richard"/>
        </w:rPr>
        <w:t xml:space="preserve">nes 4-12. See Bonin, </w:t>
      </w:r>
      <w:r w:rsidRPr="00C02F2C">
        <w:rPr>
          <w:rFonts w:ascii="Poor Richard" w:hAnsi="Poor Richard"/>
          <w:i/>
        </w:rPr>
        <w:t>Creation</w:t>
      </w:r>
      <w:r w:rsidRPr="00C02F2C">
        <w:rPr>
          <w:rFonts w:ascii="Poor Richard" w:hAnsi="Poor Richard"/>
        </w:rPr>
        <w:t>, 13, 37, 76.</w:t>
      </w:r>
    </w:p>
  </w:footnote>
  <w:footnote w:id="68">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val="la-Latn"/>
        </w:rPr>
        <w:t>Ibid.,</w:t>
      </w:r>
      <w:r w:rsidRPr="00C02F2C">
        <w:rPr>
          <w:rFonts w:ascii="Poor Richard" w:hAnsi="Poor Richard"/>
        </w:rPr>
        <w:t xml:space="preserve"> II, 3,</w:t>
      </w:r>
      <w:r w:rsidRPr="00C02F2C">
        <w:rPr>
          <w:rFonts w:ascii="Poor Richard" w:hAnsi="Poor Richard"/>
          <w:lang w:val="la-Latn"/>
        </w:rPr>
        <w:t xml:space="preserve"> cap. </w:t>
      </w:r>
      <w:r w:rsidRPr="00C02F2C">
        <w:rPr>
          <w:rFonts w:ascii="Poor Richard" w:hAnsi="Poor Richard"/>
        </w:rPr>
        <w:t>15, 152</w:t>
      </w:r>
      <w:r w:rsidRPr="00C02F2C">
        <w:rPr>
          <w:rFonts w:ascii="Poor Richard" w:hAnsi="Poor Richard"/>
          <w:lang w:val="la-Latn"/>
        </w:rPr>
        <w:t>, li</w:t>
      </w:r>
      <w:r w:rsidRPr="00C02F2C">
        <w:rPr>
          <w:rFonts w:ascii="Poor Richard" w:hAnsi="Poor Richard"/>
        </w:rPr>
        <w:t>nes 5-6.</w:t>
      </w:r>
    </w:p>
  </w:footnote>
  <w:footnote w:id="69">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Bonin, </w:t>
      </w:r>
      <w:r w:rsidRPr="00C02F2C">
        <w:rPr>
          <w:rFonts w:ascii="Poor Richard" w:hAnsi="Poor Richard"/>
          <w:i/>
        </w:rPr>
        <w:t>Creation</w:t>
      </w:r>
      <w:r w:rsidRPr="00C02F2C">
        <w:rPr>
          <w:rFonts w:ascii="Poor Richard" w:hAnsi="Poor Richard"/>
        </w:rPr>
        <w:t>, 76.</w:t>
      </w:r>
    </w:p>
  </w:footnote>
  <w:footnote w:id="70">
    <w:p w:rsidR="000F23BE" w:rsidRPr="00C02F2C" w:rsidRDefault="000F23BE" w:rsidP="00DE06A3">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In DDN</w:t>
      </w:r>
      <w:r w:rsidRPr="00C02F2C">
        <w:rPr>
          <w:rFonts w:ascii="Poor Richard" w:hAnsi="Poor Richard"/>
          <w:i/>
          <w:lang w:val="la-Latn"/>
        </w:rPr>
        <w:t xml:space="preserve"> </w:t>
      </w:r>
      <w:r w:rsidRPr="00C02F2C">
        <w:rPr>
          <w:rFonts w:ascii="Poor Richard" w:hAnsi="Poor Richard"/>
          <w:lang w:val="la-Latn"/>
        </w:rPr>
        <w:t xml:space="preserve">, </w:t>
      </w:r>
      <w:r w:rsidRPr="00C02F2C">
        <w:rPr>
          <w:rFonts w:ascii="Poor Richard" w:hAnsi="Poor Richard"/>
        </w:rPr>
        <w:t>IV</w:t>
      </w:r>
      <w:r w:rsidRPr="00C02F2C">
        <w:rPr>
          <w:rFonts w:ascii="Poor Richard" w:hAnsi="Poor Richard"/>
          <w:lang w:val="la-Latn"/>
        </w:rPr>
        <w:t>, 1, textus Dionysii, §96</w:t>
      </w:r>
      <w:r w:rsidRPr="00C02F2C">
        <w:rPr>
          <w:rFonts w:ascii="Poor Richard" w:hAnsi="Poor Richard"/>
        </w:rPr>
        <w:t>. PG 3, 693B.</w:t>
      </w:r>
    </w:p>
  </w:footnote>
  <w:footnote w:id="71">
    <w:p w:rsidR="000F23BE" w:rsidRPr="00C02F2C" w:rsidRDefault="000F23BE" w:rsidP="00DE06A3">
      <w:pPr>
        <w:pStyle w:val="FootnoteText"/>
        <w:rPr>
          <w:rFonts w:ascii="Poor Richard" w:hAnsi="Poor Richard"/>
          <w:lang w:val="la-Latn"/>
        </w:rPr>
      </w:pPr>
      <w:r w:rsidRPr="00C02F2C">
        <w:rPr>
          <w:rStyle w:val="FootnoteReference"/>
          <w:rFonts w:ascii="Poor Richard" w:hAnsi="Poor Richard"/>
        </w:rPr>
        <w:footnoteRef/>
      </w:r>
      <w:r w:rsidRPr="00C02F2C">
        <w:rPr>
          <w:rFonts w:ascii="Poor Richard" w:hAnsi="Poor Richard"/>
          <w:lang w:val="la-Latn"/>
        </w:rPr>
        <w:t xml:space="preserve"> Ibid., 4, 1, §271</w:t>
      </w:r>
      <w:r w:rsidRPr="00C02F2C">
        <w:rPr>
          <w:rFonts w:ascii="Poor Richard" w:hAnsi="Poor Richard"/>
        </w:rPr>
        <w:t>.</w:t>
      </w:r>
    </w:p>
  </w:footnote>
  <w:footnote w:id="72">
    <w:p w:rsidR="000F23BE" w:rsidRPr="00C02F2C" w:rsidRDefault="000F23BE">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Albert, </w:t>
      </w:r>
      <w:r w:rsidRPr="00C02F2C">
        <w:rPr>
          <w:rFonts w:ascii="Poor Richard" w:hAnsi="Poor Richard"/>
          <w:i/>
        </w:rPr>
        <w:t>Super DDN</w:t>
      </w:r>
      <w:r w:rsidRPr="00C02F2C">
        <w:rPr>
          <w:rFonts w:ascii="Poor Richard" w:hAnsi="Poor Richard"/>
        </w:rPr>
        <w:t>, 4, 118, lines 12-25.</w:t>
      </w:r>
    </w:p>
  </w:footnote>
  <w:footnote w:id="73">
    <w:p w:rsidR="000F23BE" w:rsidRPr="00C02F2C" w:rsidRDefault="000F23BE" w:rsidP="00DE06A3">
      <w:pPr>
        <w:pStyle w:val="FootnoteText"/>
        <w:rPr>
          <w:rFonts w:ascii="Poor Richard" w:hAnsi="Poor Richard"/>
          <w:lang w:val="la-Latn"/>
        </w:rPr>
      </w:pPr>
      <w:r w:rsidRPr="00C02F2C">
        <w:rPr>
          <w:rStyle w:val="FootnoteReference"/>
          <w:rFonts w:ascii="Poor Richard" w:hAnsi="Poor Richard"/>
        </w:rPr>
        <w:footnoteRef/>
      </w:r>
      <w:r w:rsidRPr="00C02F2C">
        <w:rPr>
          <w:rFonts w:ascii="Poor Richard" w:hAnsi="Poor Richard"/>
          <w:lang w:val="la-Latn"/>
        </w:rPr>
        <w:t xml:space="preserve"> Bonin, </w:t>
      </w:r>
      <w:r w:rsidRPr="00C02F2C">
        <w:rPr>
          <w:rFonts w:ascii="Poor Richard" w:hAnsi="Poor Richard"/>
          <w:i/>
          <w:lang w:val="la-Latn"/>
        </w:rPr>
        <w:t>Creation</w:t>
      </w:r>
      <w:r w:rsidRPr="00C02F2C">
        <w:rPr>
          <w:rFonts w:ascii="Poor Richard" w:hAnsi="Poor Richard"/>
          <w:lang w:val="la-Latn"/>
        </w:rPr>
        <w:t>, 1.</w:t>
      </w:r>
    </w:p>
  </w:footnote>
  <w:footnote w:id="74">
    <w:p w:rsidR="000F23BE" w:rsidRPr="00C02F2C" w:rsidRDefault="000F23BE" w:rsidP="00A95C22">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w:t>
      </w:r>
      <w:r w:rsidRPr="00C02F2C">
        <w:rPr>
          <w:rFonts w:ascii="Poor Richard" w:hAnsi="Poor Richard"/>
          <w:i/>
          <w:lang w:val="fr-CA"/>
        </w:rPr>
        <w:t>Registrum epistolorum fratris Ioannis Peckham</w:t>
      </w:r>
      <w:r w:rsidRPr="00C02F2C">
        <w:rPr>
          <w:rFonts w:ascii="Poor Richard" w:hAnsi="Poor Richard"/>
          <w:lang w:val="fr-CA"/>
        </w:rPr>
        <w:t xml:space="preserve"> in Alain Boureau, </w:t>
      </w:r>
      <w:r w:rsidRPr="00C02F2C">
        <w:rPr>
          <w:rFonts w:ascii="Poor Richard" w:hAnsi="Poor Richard"/>
          <w:i/>
          <w:lang w:val="fr-CA"/>
        </w:rPr>
        <w:t>Théologie, science et censure au XIII</w:t>
      </w:r>
      <w:r w:rsidRPr="00C02F2C">
        <w:rPr>
          <w:rFonts w:ascii="Poor Richard" w:hAnsi="Poor Richard"/>
          <w:i/>
          <w:vertAlign w:val="superscript"/>
          <w:lang w:val="fr-CA"/>
        </w:rPr>
        <w:t>e</w:t>
      </w:r>
      <w:r w:rsidRPr="00C02F2C">
        <w:rPr>
          <w:rFonts w:ascii="Poor Richard" w:hAnsi="Poor Richard"/>
          <w:lang w:val="fr-CA"/>
        </w:rPr>
        <w:t xml:space="preserve"> </w:t>
      </w:r>
      <w:r w:rsidRPr="00C02F2C">
        <w:rPr>
          <w:rFonts w:ascii="Poor Richard" w:hAnsi="Poor Richard"/>
          <w:i/>
          <w:lang w:val="fr-CA"/>
        </w:rPr>
        <w:t>siècle. Le cas de Jean Peckham</w:t>
      </w:r>
      <w:r w:rsidRPr="00C02F2C">
        <w:rPr>
          <w:rFonts w:ascii="Poor Richard" w:hAnsi="Poor Richard"/>
          <w:lang w:val="fr-CA"/>
        </w:rPr>
        <w:t xml:space="preserve"> (Paris: Belles Lettres, 1999), 7–9.</w:t>
      </w:r>
    </w:p>
  </w:footnote>
  <w:footnote w:id="75">
    <w:p w:rsidR="000F23BE" w:rsidRPr="00C02F2C" w:rsidRDefault="000F23BE" w:rsidP="00A95C22">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Blankenhorn, </w:t>
      </w:r>
      <w:r w:rsidRPr="00C02F2C">
        <w:rPr>
          <w:rFonts w:ascii="Poor Richard" w:hAnsi="Poor Richard"/>
          <w:i/>
          <w:lang w:val="fr-CA"/>
        </w:rPr>
        <w:t>Mystery,</w:t>
      </w:r>
      <w:r w:rsidRPr="00C02F2C">
        <w:rPr>
          <w:rFonts w:ascii="Poor Richard" w:hAnsi="Poor Richard"/>
          <w:lang w:val="fr-CA"/>
        </w:rPr>
        <w:t xml:space="preserve"> 221.</w:t>
      </w:r>
    </w:p>
  </w:footnote>
  <w:footnote w:id="76">
    <w:p w:rsidR="000F23BE" w:rsidRPr="00C02F2C" w:rsidRDefault="000F23BE" w:rsidP="0068235A">
      <w:pPr>
        <w:pStyle w:val="FootnoteText"/>
        <w:spacing w:line="240" w:lineRule="atLeast"/>
        <w:contextualSpacing/>
        <w:rPr>
          <w:rFonts w:ascii="Poor Richard" w:hAnsi="Poor Richard"/>
          <w:lang w:val="it-IT"/>
        </w:rPr>
      </w:pPr>
      <w:r w:rsidRPr="00C02F2C">
        <w:rPr>
          <w:rStyle w:val="FootnoteReference"/>
          <w:rFonts w:ascii="Poor Richard" w:hAnsi="Poor Richard"/>
        </w:rPr>
        <w:footnoteRef/>
      </w:r>
      <w:r w:rsidRPr="00C02F2C">
        <w:rPr>
          <w:rFonts w:ascii="Poor Richard" w:hAnsi="Poor Richard"/>
        </w:rPr>
        <w:t xml:space="preserve"> Peckham to the Bishop of Lincoln, </w:t>
      </w:r>
      <w:r w:rsidRPr="00C02F2C">
        <w:rPr>
          <w:rFonts w:ascii="Poor Richard" w:hAnsi="Poor Richard"/>
          <w:i/>
        </w:rPr>
        <w:t xml:space="preserve">Chartularium Universitatis Parisiensis, </w:t>
      </w:r>
      <w:r w:rsidRPr="00C02F2C">
        <w:rPr>
          <w:rFonts w:ascii="Poor Richard" w:hAnsi="Poor Richard"/>
        </w:rPr>
        <w:t xml:space="preserve">vol. 1, </w:t>
      </w:r>
      <w:r w:rsidR="00270A4B" w:rsidRPr="00510812">
        <w:rPr>
          <w:rFonts w:ascii="Poor Richard" w:hAnsi="Poor Richard"/>
        </w:rPr>
        <w:t>éd</w:t>
      </w:r>
      <w:r w:rsidRPr="00C02F2C">
        <w:rPr>
          <w:rFonts w:ascii="Poor Richard" w:hAnsi="Poor Richard"/>
        </w:rPr>
        <w:t>. H. Denifle (Paris, 1889), §523</w:t>
      </w:r>
      <w:r w:rsidRPr="00C02F2C">
        <w:rPr>
          <w:rFonts w:ascii="Poor Richard" w:hAnsi="Poor Richard"/>
          <w:lang w:val="it-IT"/>
        </w:rPr>
        <w:t>.</w:t>
      </w:r>
    </w:p>
  </w:footnote>
  <w:footnote w:id="77">
    <w:p w:rsidR="000F23BE" w:rsidRPr="00C02F2C" w:rsidRDefault="000F23BE" w:rsidP="00EE7D0E">
      <w:pPr>
        <w:pStyle w:val="FootnoteText"/>
        <w:spacing w:line="240" w:lineRule="atLeast"/>
        <w:contextualSpacing/>
        <w:rPr>
          <w:rFonts w:ascii="Poor Richard" w:hAnsi="Poor Richard"/>
          <w:lang w:val="es-ES"/>
        </w:rPr>
      </w:pPr>
      <w:r w:rsidRPr="00C02F2C">
        <w:rPr>
          <w:rStyle w:val="FootnoteReference"/>
          <w:rFonts w:ascii="Poor Richard" w:hAnsi="Poor Richard"/>
        </w:rPr>
        <w:footnoteRef/>
      </w:r>
      <w:r w:rsidRPr="00C02F2C">
        <w:rPr>
          <w:rFonts w:ascii="Poor Richard" w:hAnsi="Poor Richard"/>
        </w:rPr>
        <w:t xml:space="preserve"> Aquinas,</w:t>
      </w:r>
      <w:r w:rsidRPr="00C02F2C">
        <w:rPr>
          <w:rFonts w:ascii="Poor Richard" w:hAnsi="Poor Richard"/>
          <w:lang w:val="es-ES"/>
        </w:rPr>
        <w:t xml:space="preserve"> </w:t>
      </w:r>
      <w:r w:rsidRPr="00C02F2C">
        <w:rPr>
          <w:rFonts w:ascii="Poor Richard" w:hAnsi="Poor Richard"/>
          <w:i/>
          <w:lang w:val="es-ES"/>
        </w:rPr>
        <w:t>Super Sent</w:t>
      </w:r>
      <w:r w:rsidRPr="00C02F2C">
        <w:rPr>
          <w:rFonts w:ascii="Poor Richard" w:hAnsi="Poor Richard"/>
          <w:lang w:val="es-ES"/>
        </w:rPr>
        <w:t>., 2 d. 10 q. 1 a. 2 co.</w:t>
      </w:r>
    </w:p>
  </w:footnote>
  <w:footnote w:id="78">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Booth, </w:t>
      </w:r>
      <w:r w:rsidRPr="00C02F2C">
        <w:rPr>
          <w:rFonts w:ascii="Poor Richard" w:hAnsi="Poor Richard"/>
          <w:i/>
        </w:rPr>
        <w:t>Aristotelian</w:t>
      </w:r>
      <w:r w:rsidR="00270A4B">
        <w:rPr>
          <w:rFonts w:ascii="Poor Richard" w:hAnsi="Poor Richard"/>
        </w:rPr>
        <w:t>, 220–</w:t>
      </w:r>
      <w:r w:rsidRPr="00C02F2C">
        <w:rPr>
          <w:rFonts w:ascii="Poor Richard" w:hAnsi="Poor Richard"/>
        </w:rPr>
        <w:t>21.</w:t>
      </w:r>
    </w:p>
  </w:footnote>
  <w:footnote w:id="79">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See, for example, Albert, </w:t>
      </w:r>
      <w:r w:rsidRPr="00C02F2C">
        <w:rPr>
          <w:rFonts w:ascii="Poor Richard" w:hAnsi="Poor Richard"/>
          <w:i/>
        </w:rPr>
        <w:t>Super DDN</w:t>
      </w:r>
      <w:r w:rsidRPr="00C02F2C">
        <w:rPr>
          <w:rFonts w:ascii="Poor Richard" w:hAnsi="Poor Richard"/>
        </w:rPr>
        <w:t>, 2, 67, line 19–69, line 15; 4, 125, lines 6–20; 4, 144, line 10–155, line 72; especially 4, 148, line 45– 149, line 27; 4, 280, line 67–281, line 54; 9, 392, line 20–393, line 76; 13, 440, line 15– 441, line 63.</w:t>
      </w:r>
    </w:p>
  </w:footnote>
  <w:footnote w:id="80">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lang w:val="es-ES"/>
        </w:rPr>
        <w:t>Super Sent</w:t>
      </w:r>
      <w:r w:rsidRPr="00C02F2C">
        <w:rPr>
          <w:rFonts w:ascii="Poor Richard" w:hAnsi="Poor Richard"/>
          <w:lang w:val="es-ES"/>
        </w:rPr>
        <w:t>., 2 d. 14 q. 1 a. 2 co.</w:t>
      </w:r>
    </w:p>
  </w:footnote>
  <w:footnote w:id="81">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See Appendices 1 and 4 of Hankey, “The Concord”: 204-6, “Albert uniting the </w:t>
      </w:r>
      <w:r w:rsidRPr="00C02F2C">
        <w:rPr>
          <w:rFonts w:ascii="Poor Richard" w:hAnsi="Poor Richard"/>
          <w:i/>
        </w:rPr>
        <w:t>Liber de causis</w:t>
      </w:r>
      <w:r w:rsidRPr="00C02F2C">
        <w:rPr>
          <w:rFonts w:ascii="Poor Richard" w:hAnsi="Poor Richard"/>
        </w:rPr>
        <w:t xml:space="preserve">, Aristotle, and Dionysius in his Dionysian Commentaries. A selection of texts” and “Aquinas and Albert texts attributing the </w:t>
      </w:r>
      <w:r w:rsidRPr="00C02F2C">
        <w:rPr>
          <w:rFonts w:ascii="Poor Richard" w:hAnsi="Poor Richard"/>
          <w:i/>
        </w:rPr>
        <w:t>Liber de causis</w:t>
      </w:r>
      <w:r w:rsidRPr="00C02F2C">
        <w:rPr>
          <w:rFonts w:ascii="Poor Richard" w:hAnsi="Poor Richard"/>
        </w:rPr>
        <w:t xml:space="preserve"> to Aristotle or the Philosopher.”</w:t>
      </w:r>
    </w:p>
  </w:footnote>
  <w:footnote w:id="82">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Blankenhorn, </w:t>
      </w:r>
      <w:r w:rsidRPr="00C02F2C">
        <w:rPr>
          <w:rFonts w:ascii="Poor Richard" w:hAnsi="Poor Richard"/>
          <w:i/>
        </w:rPr>
        <w:t xml:space="preserve">Mystery, </w:t>
      </w:r>
      <w:r w:rsidRPr="00C02F2C">
        <w:rPr>
          <w:rFonts w:ascii="Poor Richard" w:hAnsi="Poor Richard"/>
        </w:rPr>
        <w:t>124.</w:t>
      </w:r>
    </w:p>
  </w:footnote>
  <w:footnote w:id="83">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125.</w:t>
      </w:r>
    </w:p>
  </w:footnote>
  <w:footnote w:id="84">
    <w:p w:rsidR="000F23BE" w:rsidRPr="00C02F2C" w:rsidRDefault="000F23BE" w:rsidP="00C17DEB">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lang w:val="en-US"/>
        </w:rPr>
        <w:t xml:space="preserve"> Albertus Magnus, </w:t>
      </w:r>
      <w:r w:rsidRPr="00C02F2C">
        <w:rPr>
          <w:rFonts w:ascii="Poor Richard" w:hAnsi="Poor Richard" w:cs="Times New Roman"/>
          <w:i/>
          <w:lang w:val="en-US"/>
        </w:rPr>
        <w:t xml:space="preserve">Super </w:t>
      </w:r>
      <w:proofErr w:type="spellStart"/>
      <w:r w:rsidRPr="00C02F2C">
        <w:rPr>
          <w:rFonts w:ascii="Poor Richard" w:hAnsi="Poor Richard" w:cs="Times New Roman"/>
          <w:i/>
          <w:lang w:val="en-US"/>
        </w:rPr>
        <w:t>Dionysium</w:t>
      </w:r>
      <w:proofErr w:type="spellEnd"/>
      <w:r w:rsidRPr="00C02F2C">
        <w:rPr>
          <w:rFonts w:ascii="Poor Richard" w:hAnsi="Poor Richard" w:cs="Times New Roman"/>
          <w:i/>
          <w:lang w:val="en-US"/>
        </w:rPr>
        <w:t xml:space="preserve"> </w:t>
      </w:r>
      <w:r w:rsidRPr="00C02F2C">
        <w:rPr>
          <w:rFonts w:ascii="Poor Richard" w:hAnsi="Poor Richard" w:cs="Times New Roman"/>
          <w:lang w:val="en-US"/>
        </w:rPr>
        <w:t xml:space="preserve">De </w:t>
      </w:r>
      <w:proofErr w:type="spellStart"/>
      <w:r w:rsidRPr="00C02F2C">
        <w:rPr>
          <w:rFonts w:ascii="Poor Richard" w:hAnsi="Poor Richard" w:cs="Times New Roman"/>
          <w:lang w:val="en-US"/>
        </w:rPr>
        <w:t>caelesti</w:t>
      </w:r>
      <w:proofErr w:type="spellEnd"/>
      <w:r w:rsidRPr="00C02F2C">
        <w:rPr>
          <w:rFonts w:ascii="Poor Richard" w:hAnsi="Poor Richard" w:cs="Times New Roman"/>
          <w:lang w:val="en-US"/>
        </w:rPr>
        <w:t xml:space="preserve"> </w:t>
      </w:r>
      <w:proofErr w:type="spellStart"/>
      <w:r w:rsidRPr="00C02F2C">
        <w:rPr>
          <w:rFonts w:ascii="Poor Richard" w:hAnsi="Poor Richard" w:cs="Times New Roman"/>
          <w:lang w:val="en-US"/>
        </w:rPr>
        <w:t>hierarchia</w:t>
      </w:r>
      <w:proofErr w:type="spellEnd"/>
      <w:r w:rsidRPr="00C02F2C">
        <w:rPr>
          <w:rFonts w:ascii="Poor Richard" w:hAnsi="Poor Richard" w:cs="Times New Roman"/>
          <w:lang w:val="en-US"/>
        </w:rPr>
        <w:t xml:space="preserve">, ed. </w:t>
      </w:r>
      <w:r w:rsidRPr="00C02F2C">
        <w:rPr>
          <w:rFonts w:ascii="Poor Richard" w:hAnsi="Poor Richard" w:cs="Times New Roman"/>
        </w:rPr>
        <w:t xml:space="preserve">P. Simon and W. </w:t>
      </w:r>
      <w:proofErr w:type="spellStart"/>
      <w:r w:rsidRPr="00C02F2C">
        <w:rPr>
          <w:rFonts w:ascii="Poor Richard" w:hAnsi="Poor Richard" w:cs="Times New Roman"/>
        </w:rPr>
        <w:t>Kübel</w:t>
      </w:r>
      <w:proofErr w:type="spellEnd"/>
      <w:r w:rsidRPr="00C02F2C">
        <w:rPr>
          <w:rFonts w:ascii="Poor Richard" w:hAnsi="Poor Richard" w:cs="Times New Roman"/>
        </w:rPr>
        <w:t>, Cologne edition:  36/1 (</w:t>
      </w:r>
      <w:proofErr w:type="spellStart"/>
      <w:r w:rsidRPr="00C02F2C">
        <w:rPr>
          <w:rFonts w:ascii="Poor Richard" w:hAnsi="Poor Richard" w:cs="Times New Roman"/>
        </w:rPr>
        <w:t>Aschendorff</w:t>
      </w:r>
      <w:proofErr w:type="spellEnd"/>
      <w:r w:rsidRPr="00C02F2C">
        <w:rPr>
          <w:rFonts w:ascii="Poor Richard" w:hAnsi="Poor Richard" w:cs="Times New Roman"/>
        </w:rPr>
        <w:t xml:space="preserve">, 1993) [herein </w:t>
      </w:r>
      <w:r w:rsidRPr="00C02F2C">
        <w:rPr>
          <w:rFonts w:ascii="Poor Richard" w:hAnsi="Poor Richard" w:cs="Times New Roman"/>
          <w:i/>
        </w:rPr>
        <w:t xml:space="preserve">Super De </w:t>
      </w:r>
      <w:proofErr w:type="spellStart"/>
      <w:r w:rsidRPr="00C02F2C">
        <w:rPr>
          <w:rFonts w:ascii="Poor Richard" w:hAnsi="Poor Richard" w:cs="Times New Roman"/>
          <w:i/>
        </w:rPr>
        <w:t>caelesti</w:t>
      </w:r>
      <w:proofErr w:type="spellEnd"/>
      <w:r w:rsidRPr="00C02F2C">
        <w:rPr>
          <w:rFonts w:ascii="Poor Richard" w:hAnsi="Poor Richard" w:cs="Times New Roman"/>
          <w:i/>
        </w:rPr>
        <w:t xml:space="preserve"> </w:t>
      </w:r>
      <w:r w:rsidRPr="00C02F2C">
        <w:rPr>
          <w:rFonts w:ascii="Poor Richard" w:hAnsi="Poor Richard" w:cs="Times New Roman"/>
        </w:rPr>
        <w:t>], 6, 84, lines 28–32 translated by Blankenhorn. For Aquinas, see Appendix 3 of Hankey, “The Concord”: 205, “Aquinas on Divine Revelation according to our mode of knowing.”</w:t>
      </w:r>
    </w:p>
  </w:footnote>
  <w:footnote w:id="85">
    <w:p w:rsidR="000F23BE" w:rsidRPr="00C02F2C" w:rsidRDefault="000F23BE" w:rsidP="007D06B1">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rPr>
        <w:t xml:space="preserve"> See Appendix 2 of Hankey, “The Concord”: 205, “</w:t>
      </w:r>
      <w:proofErr w:type="spellStart"/>
      <w:r w:rsidRPr="00C02F2C">
        <w:rPr>
          <w:rFonts w:ascii="Poor Richard" w:hAnsi="Poor Richard" w:cs="Times New Roman"/>
          <w:i/>
        </w:rPr>
        <w:t>Caelestial</w:t>
      </w:r>
      <w:proofErr w:type="spellEnd"/>
      <w:r w:rsidRPr="00C02F2C">
        <w:rPr>
          <w:rFonts w:ascii="Poor Richard" w:hAnsi="Poor Richard" w:cs="Times New Roman"/>
          <w:i/>
        </w:rPr>
        <w:t xml:space="preserve"> Hierarchy</w:t>
      </w:r>
      <w:r w:rsidRPr="00C02F2C">
        <w:rPr>
          <w:rFonts w:ascii="Poor Richard" w:hAnsi="Poor Richard" w:cs="Times New Roman"/>
        </w:rPr>
        <w:t xml:space="preserve">: ‘quod </w:t>
      </w:r>
      <w:proofErr w:type="spellStart"/>
      <w:r w:rsidRPr="00C02F2C">
        <w:rPr>
          <w:rFonts w:ascii="Poor Richard" w:hAnsi="Poor Richard" w:cs="Times New Roman"/>
        </w:rPr>
        <w:t>impossibile</w:t>
      </w:r>
      <w:proofErr w:type="spellEnd"/>
      <w:r w:rsidRPr="00C02F2C">
        <w:rPr>
          <w:rFonts w:ascii="Poor Richard" w:hAnsi="Poor Richard" w:cs="Times New Roman"/>
        </w:rPr>
        <w:t xml:space="preserve"> </w:t>
      </w:r>
      <w:proofErr w:type="spellStart"/>
      <w:r w:rsidRPr="00C02F2C">
        <w:rPr>
          <w:rFonts w:ascii="Poor Richard" w:hAnsi="Poor Richard" w:cs="Times New Roman"/>
        </w:rPr>
        <w:t>est</w:t>
      </w:r>
      <w:proofErr w:type="spellEnd"/>
      <w:r w:rsidRPr="00C02F2C">
        <w:rPr>
          <w:rFonts w:ascii="Poor Richard" w:hAnsi="Poor Richard" w:cs="Times New Roman"/>
        </w:rPr>
        <w:t xml:space="preserve"> </w:t>
      </w:r>
      <w:proofErr w:type="spellStart"/>
      <w:r w:rsidRPr="00C02F2C">
        <w:rPr>
          <w:rFonts w:ascii="Poor Richard" w:hAnsi="Poor Richard" w:cs="Times New Roman"/>
        </w:rPr>
        <w:t>nobis</w:t>
      </w:r>
      <w:proofErr w:type="spellEnd"/>
      <w:r w:rsidRPr="00C02F2C">
        <w:rPr>
          <w:rFonts w:ascii="Poor Richard" w:hAnsi="Poor Richard" w:cs="Times New Roman"/>
        </w:rPr>
        <w:t xml:space="preserve"> </w:t>
      </w:r>
      <w:proofErr w:type="spellStart"/>
      <w:r w:rsidRPr="00C02F2C">
        <w:rPr>
          <w:rFonts w:ascii="Poor Richard" w:hAnsi="Poor Richard" w:cs="Times New Roman"/>
        </w:rPr>
        <w:t>aliter</w:t>
      </w:r>
      <w:proofErr w:type="spellEnd"/>
      <w:r w:rsidRPr="00C02F2C">
        <w:rPr>
          <w:rFonts w:ascii="Poor Richard" w:hAnsi="Poor Richard" w:cs="Times New Roman"/>
        </w:rPr>
        <w:t xml:space="preserve"> </w:t>
      </w:r>
      <w:proofErr w:type="spellStart"/>
      <w:r w:rsidRPr="00C02F2C">
        <w:rPr>
          <w:rFonts w:ascii="Poor Richard" w:hAnsi="Poor Richard" w:cs="Times New Roman"/>
        </w:rPr>
        <w:t>lucere</w:t>
      </w:r>
      <w:proofErr w:type="spellEnd"/>
      <w:r w:rsidRPr="00C02F2C">
        <w:rPr>
          <w:rFonts w:ascii="Poor Richard" w:hAnsi="Poor Richard" w:cs="Times New Roman"/>
        </w:rPr>
        <w:t xml:space="preserve"> </w:t>
      </w:r>
      <w:proofErr w:type="spellStart"/>
      <w:r w:rsidRPr="00C02F2C">
        <w:rPr>
          <w:rFonts w:ascii="Poor Richard" w:hAnsi="Poor Richard" w:cs="Times New Roman"/>
        </w:rPr>
        <w:t>divinum</w:t>
      </w:r>
      <w:proofErr w:type="spellEnd"/>
      <w:r w:rsidRPr="00C02F2C">
        <w:rPr>
          <w:rFonts w:ascii="Poor Richard" w:hAnsi="Poor Richard" w:cs="Times New Roman"/>
        </w:rPr>
        <w:t xml:space="preserve"> radium, nisi </w:t>
      </w:r>
      <w:proofErr w:type="spellStart"/>
      <w:r w:rsidRPr="00C02F2C">
        <w:rPr>
          <w:rFonts w:ascii="Poor Richard" w:hAnsi="Poor Richard" w:cs="Times New Roman"/>
        </w:rPr>
        <w:t>varietate</w:t>
      </w:r>
      <w:proofErr w:type="spellEnd"/>
      <w:r w:rsidRPr="00C02F2C">
        <w:rPr>
          <w:rFonts w:ascii="Poor Richard" w:hAnsi="Poor Richard" w:cs="Times New Roman"/>
        </w:rPr>
        <w:t xml:space="preserve"> </w:t>
      </w:r>
      <w:proofErr w:type="spellStart"/>
      <w:r w:rsidRPr="00C02F2C">
        <w:rPr>
          <w:rFonts w:ascii="Poor Richard" w:hAnsi="Poor Richard" w:cs="Times New Roman"/>
        </w:rPr>
        <w:t>sacrorum</w:t>
      </w:r>
      <w:proofErr w:type="spellEnd"/>
      <w:r w:rsidRPr="00C02F2C">
        <w:rPr>
          <w:rFonts w:ascii="Poor Richard" w:hAnsi="Poor Richard" w:cs="Times New Roman"/>
        </w:rPr>
        <w:t xml:space="preserve"> </w:t>
      </w:r>
      <w:proofErr w:type="spellStart"/>
      <w:r w:rsidRPr="00C02F2C">
        <w:rPr>
          <w:rFonts w:ascii="Poor Richard" w:hAnsi="Poor Richard" w:cs="Times New Roman"/>
        </w:rPr>
        <w:t>velaminum</w:t>
      </w:r>
      <w:proofErr w:type="spellEnd"/>
      <w:r w:rsidRPr="00C02F2C">
        <w:rPr>
          <w:rFonts w:ascii="Poor Richard" w:hAnsi="Poor Richard" w:cs="Times New Roman"/>
        </w:rPr>
        <w:t xml:space="preserve"> </w:t>
      </w:r>
      <w:proofErr w:type="spellStart"/>
      <w:r w:rsidRPr="00C02F2C">
        <w:rPr>
          <w:rFonts w:ascii="Poor Richard" w:hAnsi="Poor Richard" w:cs="Times New Roman"/>
        </w:rPr>
        <w:t>circumvelatum</w:t>
      </w:r>
      <w:proofErr w:type="spellEnd"/>
      <w:r w:rsidRPr="00C02F2C">
        <w:rPr>
          <w:rFonts w:ascii="Poor Richard" w:hAnsi="Poor Richard" w:cs="Times New Roman"/>
        </w:rPr>
        <w:t>’ in Aquinas.”</w:t>
      </w:r>
    </w:p>
  </w:footnote>
  <w:footnote w:id="86">
    <w:p w:rsidR="000F23BE" w:rsidRPr="00C02F2C" w:rsidRDefault="000F23BE" w:rsidP="00C17DEB">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rPr>
        <w:t xml:space="preserve"> For example, Aquinas </w:t>
      </w:r>
      <w:r w:rsidRPr="00C02F2C">
        <w:rPr>
          <w:rFonts w:ascii="Poor Richard" w:hAnsi="Poor Richard" w:cs="Times New Roman"/>
          <w:i/>
        </w:rPr>
        <w:t>Super Sent</w:t>
      </w:r>
      <w:r w:rsidRPr="00C02F2C">
        <w:rPr>
          <w:rFonts w:ascii="Poor Richard" w:hAnsi="Poor Richard" w:cs="Times New Roman"/>
        </w:rPr>
        <w:t xml:space="preserve">., 4 d. 49 q. 2 a. 6 ad 3. See Appendix 5 of Hankey, “The Concord”: 206, “Aristotle the Negative Theologian: the ‘oculus </w:t>
      </w:r>
      <w:proofErr w:type="spellStart"/>
      <w:r w:rsidRPr="00C02F2C">
        <w:rPr>
          <w:rFonts w:ascii="Poor Richard" w:hAnsi="Poor Richard" w:cs="Times New Roman"/>
        </w:rPr>
        <w:t>noctuae</w:t>
      </w:r>
      <w:proofErr w:type="spellEnd"/>
      <w:r w:rsidRPr="00C02F2C">
        <w:rPr>
          <w:rFonts w:ascii="Poor Richard" w:hAnsi="Poor Richard" w:cs="Times New Roman"/>
        </w:rPr>
        <w:t xml:space="preserve">’ and the ‘oculus </w:t>
      </w:r>
      <w:proofErr w:type="spellStart"/>
      <w:r w:rsidRPr="00C02F2C">
        <w:rPr>
          <w:rFonts w:ascii="Poor Richard" w:hAnsi="Poor Richard" w:cs="Times New Roman"/>
        </w:rPr>
        <w:t>vespertilionis</w:t>
      </w:r>
      <w:proofErr w:type="spellEnd"/>
      <w:r w:rsidRPr="00C02F2C">
        <w:rPr>
          <w:rFonts w:ascii="Poor Richard" w:hAnsi="Poor Richard" w:cs="Times New Roman"/>
        </w:rPr>
        <w:t>’” for more.</w:t>
      </w:r>
    </w:p>
  </w:footnote>
  <w:footnote w:id="87">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Albert, </w:t>
      </w:r>
      <w:r w:rsidRPr="00C02F2C">
        <w:rPr>
          <w:rFonts w:ascii="Poor Richard" w:hAnsi="Poor Richard"/>
          <w:i/>
        </w:rPr>
        <w:t>Super Mysticam</w:t>
      </w:r>
      <w:r w:rsidRPr="00C02F2C">
        <w:rPr>
          <w:rFonts w:ascii="Poor Richard" w:hAnsi="Poor Richard"/>
        </w:rPr>
        <w:t>, 2, 466, lines 52–58.</w:t>
      </w:r>
    </w:p>
  </w:footnote>
  <w:footnote w:id="88">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2, 467, lines 3–11, Blankenhorn’s translation.</w:t>
      </w:r>
    </w:p>
  </w:footnote>
  <w:footnote w:id="89">
    <w:p w:rsidR="000F23BE" w:rsidRPr="00C02F2C" w:rsidRDefault="000F23BE" w:rsidP="00BB1906">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Aquinas, </w:t>
      </w:r>
      <w:r w:rsidRPr="00C02F2C">
        <w:rPr>
          <w:rStyle w:val="ref"/>
          <w:rFonts w:ascii="Poor Richard" w:hAnsi="Poor Richard"/>
          <w:i/>
          <w:lang w:val="fr-CA"/>
        </w:rPr>
        <w:t>In DDN</w:t>
      </w:r>
      <w:r w:rsidRPr="00C02F2C">
        <w:rPr>
          <w:rStyle w:val="ref"/>
          <w:rFonts w:ascii="Poor Richard" w:hAnsi="Poor Richard"/>
          <w:lang w:val="fr-CA"/>
        </w:rPr>
        <w:t>, pr.</w:t>
      </w:r>
    </w:p>
  </w:footnote>
  <w:footnote w:id="90">
    <w:p w:rsidR="000F23BE" w:rsidRPr="00C02F2C" w:rsidRDefault="000F23BE" w:rsidP="00C17DEB">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Simplicius, </w:t>
      </w:r>
      <w:r w:rsidRPr="00C02F2C">
        <w:rPr>
          <w:rFonts w:ascii="Poor Richard" w:hAnsi="Poor Richard"/>
          <w:i/>
          <w:lang w:val="fr-CA"/>
        </w:rPr>
        <w:t xml:space="preserve">Commentaire sur les Catégories d’Aristote, Traduction de Guillaume de Moerbeke, </w:t>
      </w:r>
      <w:r w:rsidR="00270A4B" w:rsidRPr="00C02F2C">
        <w:rPr>
          <w:rFonts w:ascii="Poor Richard" w:hAnsi="Poor Richard"/>
          <w:lang w:val="fr-CA"/>
        </w:rPr>
        <w:t>éd</w:t>
      </w:r>
      <w:r w:rsidRPr="00C02F2C">
        <w:rPr>
          <w:rFonts w:ascii="Poor Richard" w:hAnsi="Poor Richard"/>
          <w:lang w:val="fr-CA"/>
        </w:rPr>
        <w:t>.</w:t>
      </w:r>
      <w:r w:rsidR="00270A4B">
        <w:rPr>
          <w:rFonts w:ascii="Poor Richard" w:hAnsi="Poor Richard"/>
          <w:lang w:val="fr-CA"/>
        </w:rPr>
        <w:t xml:space="preserve"> </w:t>
      </w:r>
      <w:r w:rsidRPr="00C02F2C">
        <w:rPr>
          <w:rFonts w:ascii="Poor Richard" w:hAnsi="Poor Richard"/>
          <w:lang w:val="fr-CA"/>
        </w:rPr>
        <w:t xml:space="preserve"> A. Pattin, vol. 1 ( Louvain-Paris, 1971), xi.</w:t>
      </w:r>
    </w:p>
  </w:footnote>
  <w:footnote w:id="91">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lang w:val="fr-CA"/>
        </w:rPr>
        <w:t xml:space="preserve"> Carlos Steel, “Guillaume de Moerbeke et saint Thomas,” </w:t>
      </w:r>
      <w:r w:rsidRPr="00C02F2C">
        <w:rPr>
          <w:rFonts w:ascii="Poor Richard" w:hAnsi="Poor Richard"/>
          <w:i/>
          <w:lang w:val="fr-CA"/>
        </w:rPr>
        <w:t>Guillaume de Moerbeke : Recueil d’études à l’occasion du 700</w:t>
      </w:r>
      <w:r w:rsidRPr="00C02F2C">
        <w:rPr>
          <w:rFonts w:ascii="Poor Richard" w:hAnsi="Poor Richard"/>
          <w:i/>
          <w:vertAlign w:val="superscript"/>
          <w:lang w:val="fr-CA"/>
        </w:rPr>
        <w:t xml:space="preserve">e </w:t>
      </w:r>
      <w:r w:rsidRPr="00C02F2C">
        <w:rPr>
          <w:rFonts w:ascii="Poor Richard" w:hAnsi="Poor Richard"/>
          <w:i/>
          <w:lang w:val="fr-CA"/>
        </w:rPr>
        <w:t>anniversaire de sa mort (1286)</w:t>
      </w:r>
      <w:r w:rsidRPr="00C02F2C">
        <w:rPr>
          <w:rFonts w:ascii="Poor Richard" w:hAnsi="Poor Richard"/>
          <w:lang w:val="fr-CA"/>
        </w:rPr>
        <w:t>, éd.</w:t>
      </w:r>
      <w:r w:rsidRPr="00C02F2C">
        <w:rPr>
          <w:rFonts w:ascii="Poor Richard" w:hAnsi="Poor Richard"/>
          <w:i/>
          <w:lang w:val="fr-CA"/>
        </w:rPr>
        <w:t xml:space="preserve"> </w:t>
      </w:r>
      <w:r w:rsidRPr="00C02F2C">
        <w:rPr>
          <w:rFonts w:ascii="Poor Richard" w:hAnsi="Poor Richard"/>
        </w:rPr>
        <w:t>J. Brams, W. Vanhamel (Leuven : University Press, 1989), 57</w:t>
      </w:r>
      <w:r w:rsidRPr="00C02F2C">
        <w:rPr>
          <w:rFonts w:ascii="Poor Richard" w:hAnsi="Poor Richard"/>
          <w:lang w:val="la-Latn"/>
        </w:rPr>
        <w:t>–</w:t>
      </w:r>
      <w:r w:rsidRPr="00C02F2C">
        <w:rPr>
          <w:rFonts w:ascii="Poor Richard" w:hAnsi="Poor Richard"/>
        </w:rPr>
        <w:t>82  at 62</w:t>
      </w:r>
      <w:r w:rsidRPr="00C02F2C">
        <w:rPr>
          <w:rFonts w:ascii="Poor Richard" w:hAnsi="Poor Richard"/>
          <w:lang w:val="la-Latn"/>
        </w:rPr>
        <w:t>–</w:t>
      </w:r>
      <w:r w:rsidRPr="00C02F2C">
        <w:rPr>
          <w:rFonts w:ascii="Poor Richard" w:hAnsi="Poor Richard"/>
        </w:rPr>
        <w:t>65 and 73</w:t>
      </w:r>
      <w:r w:rsidRPr="00C02F2C">
        <w:rPr>
          <w:rFonts w:ascii="Poor Richard" w:hAnsi="Poor Richard"/>
          <w:lang w:val="la-Latn"/>
        </w:rPr>
        <w:t>–</w:t>
      </w:r>
      <w:r w:rsidRPr="00C02F2C">
        <w:rPr>
          <w:rFonts w:ascii="Poor Richard" w:hAnsi="Poor Richard"/>
        </w:rPr>
        <w:t>75; Carlos Steel, “William of Moerbeke, translator of Proclus,” </w:t>
      </w:r>
      <w:r w:rsidRPr="00C02F2C">
        <w:rPr>
          <w:rFonts w:ascii="Poor Richard" w:hAnsi="Poor Richard"/>
          <w:i/>
          <w:iCs/>
        </w:rPr>
        <w:t>Interpreting Proclus</w:t>
      </w:r>
      <w:r w:rsidRPr="00C02F2C">
        <w:rPr>
          <w:rFonts w:ascii="Poor Richard" w:hAnsi="Poor Richard"/>
          <w:iCs/>
        </w:rPr>
        <w:t xml:space="preserve">: </w:t>
      </w:r>
      <w:r w:rsidRPr="00C02F2C">
        <w:rPr>
          <w:rFonts w:ascii="Poor Richard" w:hAnsi="Poor Richard"/>
          <w:i/>
          <w:iCs/>
        </w:rPr>
        <w:t xml:space="preserve">From Antiquity to the Renaissance, </w:t>
      </w:r>
      <w:r w:rsidRPr="00C02F2C">
        <w:rPr>
          <w:rFonts w:ascii="Poor Richard" w:hAnsi="Poor Richard"/>
        </w:rPr>
        <w:t>S.  Gersh, ed.</w:t>
      </w:r>
      <w:r w:rsidRPr="00C02F2C">
        <w:rPr>
          <w:rFonts w:ascii="Poor Richard" w:hAnsi="Poor Richard"/>
          <w:i/>
          <w:iCs/>
        </w:rPr>
        <w:t xml:space="preserve"> </w:t>
      </w:r>
      <w:r w:rsidRPr="00C02F2C">
        <w:rPr>
          <w:rFonts w:ascii="Poor Richard" w:hAnsi="Poor Richard"/>
          <w:iCs/>
        </w:rPr>
        <w:t xml:space="preserve">(Cambridge: </w:t>
      </w:r>
      <w:r w:rsidRPr="00C02F2C">
        <w:rPr>
          <w:rFonts w:ascii="Poor Richard" w:hAnsi="Poor Richard"/>
        </w:rPr>
        <w:t>University Press, 2014),</w:t>
      </w:r>
      <w:r w:rsidRPr="00C02F2C">
        <w:rPr>
          <w:rFonts w:ascii="Poor Richard" w:hAnsi="Poor Richard"/>
          <w:iCs/>
        </w:rPr>
        <w:t xml:space="preserve"> </w:t>
      </w:r>
      <w:r w:rsidRPr="00C02F2C">
        <w:rPr>
          <w:rFonts w:ascii="Poor Richard" w:hAnsi="Poor Richard"/>
        </w:rPr>
        <w:t>255.</w:t>
      </w:r>
    </w:p>
  </w:footnote>
  <w:footnote w:id="92">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w:t>
      </w:r>
      <w:r w:rsidR="00270A4B">
        <w:rPr>
          <w:rFonts w:ascii="Poor Richard" w:hAnsi="Poor Richard"/>
        </w:rPr>
        <w:t xml:space="preserve"> </w:t>
      </w:r>
      <w:r w:rsidRPr="00C02F2C">
        <w:rPr>
          <w:rFonts w:ascii="Poor Richard" w:hAnsi="Poor Richard"/>
          <w:i/>
        </w:rPr>
        <w:t>ST</w:t>
      </w:r>
      <w:r w:rsidRPr="00C02F2C">
        <w:rPr>
          <w:rFonts w:ascii="Poor Richard" w:hAnsi="Poor Richard"/>
        </w:rPr>
        <w:t>,</w:t>
      </w:r>
      <w:r w:rsidRPr="00C02F2C">
        <w:rPr>
          <w:rFonts w:ascii="Poor Richard" w:hAnsi="Poor Richard"/>
          <w:i/>
        </w:rPr>
        <w:t xml:space="preserve"> </w:t>
      </w:r>
      <w:r w:rsidRPr="00C02F2C">
        <w:rPr>
          <w:rFonts w:ascii="Poor Richard" w:hAnsi="Poor Richard"/>
        </w:rPr>
        <w:t>pr.</w:t>
      </w:r>
    </w:p>
  </w:footnote>
  <w:footnote w:id="93">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w:t>
      </w:r>
      <w:r w:rsidR="00270A4B">
        <w:rPr>
          <w:rFonts w:ascii="Poor Richard" w:hAnsi="Poor Richard"/>
        </w:rPr>
        <w:t xml:space="preserve"> </w:t>
      </w:r>
      <w:r w:rsidRPr="00C02F2C">
        <w:rPr>
          <w:rFonts w:ascii="Poor Richard" w:hAnsi="Poor Richard"/>
          <w:i/>
        </w:rPr>
        <w:t>ST</w:t>
      </w:r>
      <w:r w:rsidRPr="00C02F2C">
        <w:rPr>
          <w:rFonts w:ascii="Poor Richard" w:hAnsi="Poor Richard"/>
        </w:rPr>
        <w:t xml:space="preserve">, Iª q. 1 a. 1 ad 2. </w:t>
      </w:r>
      <w:r w:rsidRPr="00C02F2C">
        <w:rPr>
          <w:rFonts w:ascii="Poor Richard" w:hAnsi="Poor Richard"/>
          <w:iCs/>
        </w:rPr>
        <w:t xml:space="preserve">Aquinas, </w:t>
      </w:r>
      <w:r w:rsidRPr="00C02F2C">
        <w:rPr>
          <w:rFonts w:ascii="Poor Richard" w:hAnsi="Poor Richard"/>
          <w:i/>
        </w:rPr>
        <w:t>In DDN</w:t>
      </w:r>
      <w:r w:rsidRPr="00C02F2C">
        <w:rPr>
          <w:rFonts w:ascii="Poor Richard" w:hAnsi="Poor Richard"/>
        </w:rPr>
        <w:t xml:space="preserve">, I, i, </w:t>
      </w:r>
      <w:r w:rsidRPr="00C02F2C">
        <w:rPr>
          <w:rFonts w:ascii="Poor Richard" w:hAnsi="Poor Richard"/>
          <w:lang w:val="it-IT"/>
        </w:rPr>
        <w:t>§</w:t>
      </w:r>
      <w:r w:rsidRPr="00C02F2C">
        <w:rPr>
          <w:rFonts w:ascii="Poor Richard" w:hAnsi="Poor Richard"/>
        </w:rPr>
        <w:t>13.</w:t>
      </w:r>
    </w:p>
  </w:footnote>
  <w:footnote w:id="94">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Blankenhorn, </w:t>
      </w:r>
      <w:r w:rsidRPr="00C02F2C">
        <w:rPr>
          <w:rFonts w:ascii="Poor Richard" w:hAnsi="Poor Richard"/>
          <w:i/>
        </w:rPr>
        <w:t>Mystery</w:t>
      </w:r>
      <w:r w:rsidRPr="00C02F2C">
        <w:rPr>
          <w:rFonts w:ascii="Poor Richard" w:hAnsi="Poor Richard"/>
        </w:rPr>
        <w:t>, 323.</w:t>
      </w:r>
    </w:p>
  </w:footnote>
  <w:footnote w:id="95">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w:t>
      </w:r>
      <w:r w:rsidR="00270A4B">
        <w:rPr>
          <w:rFonts w:ascii="Poor Richard" w:hAnsi="Poor Richard"/>
        </w:rPr>
        <w:t xml:space="preserve"> </w:t>
      </w:r>
      <w:r w:rsidRPr="00C02F2C">
        <w:rPr>
          <w:rFonts w:ascii="Poor Richard" w:hAnsi="Poor Richard"/>
          <w:i/>
        </w:rPr>
        <w:t>ST</w:t>
      </w:r>
      <w:r w:rsidRPr="00C02F2C">
        <w:rPr>
          <w:rFonts w:ascii="Poor Richard" w:hAnsi="Poor Richard"/>
        </w:rPr>
        <w:t>, Iª q. 1 a. 1 co.</w:t>
      </w:r>
    </w:p>
  </w:footnote>
  <w:footnote w:id="96">
    <w:p w:rsidR="000F23BE" w:rsidRPr="00C02F2C" w:rsidRDefault="000F23BE" w:rsidP="00791A2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 xml:space="preserve">In DDN, </w:t>
      </w:r>
      <w:r w:rsidRPr="00C02F2C">
        <w:rPr>
          <w:rFonts w:ascii="Poor Richard" w:hAnsi="Poor Richard"/>
        </w:rPr>
        <w:t xml:space="preserve">XIII, iii, </w:t>
      </w:r>
      <w:r w:rsidRPr="00C02F2C">
        <w:rPr>
          <w:rFonts w:ascii="Poor Richard" w:hAnsi="Poor Richard"/>
          <w:lang w:val="it-IT"/>
        </w:rPr>
        <w:t xml:space="preserve">§ </w:t>
      </w:r>
      <w:r w:rsidRPr="00C02F2C">
        <w:rPr>
          <w:rFonts w:ascii="Poor Richard" w:hAnsi="Poor Richard"/>
        </w:rPr>
        <w:t>986.</w:t>
      </w:r>
    </w:p>
  </w:footnote>
  <w:footnote w:id="97">
    <w:p w:rsidR="000F23BE" w:rsidRPr="00C02F2C" w:rsidRDefault="000F23BE" w:rsidP="00F719EF">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rPr>
        <w:t xml:space="preserve"> Albert,</w:t>
      </w:r>
      <w:r w:rsidRPr="00C02F2C">
        <w:rPr>
          <w:rFonts w:ascii="Poor Richard" w:hAnsi="Poor Richard" w:cs="Times New Roman"/>
          <w:i/>
        </w:rPr>
        <w:t xml:space="preserve"> Super DDN </w:t>
      </w:r>
      <w:r w:rsidRPr="00C02F2C">
        <w:rPr>
          <w:rFonts w:ascii="Poor Richard" w:hAnsi="Poor Richard" w:cs="Times New Roman"/>
        </w:rPr>
        <w:t>, 1,  2, lines 37</w:t>
      </w:r>
      <w:r w:rsidRPr="00C02F2C">
        <w:rPr>
          <w:rFonts w:ascii="Poor Richard" w:hAnsi="Poor Richard" w:cs="Times New Roman"/>
          <w:lang w:val="it-IT"/>
        </w:rPr>
        <w:t>–</w:t>
      </w:r>
      <w:r w:rsidRPr="00C02F2C">
        <w:rPr>
          <w:rFonts w:ascii="Poor Richard" w:hAnsi="Poor Richard" w:cs="Times New Roman"/>
        </w:rPr>
        <w:t>48 (</w:t>
      </w:r>
      <w:proofErr w:type="spellStart"/>
      <w:r w:rsidRPr="00C02F2C">
        <w:rPr>
          <w:rStyle w:val="ref"/>
          <w:rFonts w:ascii="Poor Richard" w:hAnsi="Poor Richard" w:cs="Times New Roman"/>
        </w:rPr>
        <w:t>Blankenhorn’s</w:t>
      </w:r>
      <w:proofErr w:type="spellEnd"/>
      <w:r w:rsidRPr="00C02F2C">
        <w:rPr>
          <w:rStyle w:val="ref"/>
          <w:rFonts w:ascii="Poor Richard" w:hAnsi="Poor Richard" w:cs="Times New Roman"/>
        </w:rPr>
        <w:t xml:space="preserve"> translation),</w:t>
      </w:r>
    </w:p>
  </w:footnote>
  <w:footnote w:id="98">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w:t>
      </w:r>
      <w:r w:rsidR="00270A4B">
        <w:rPr>
          <w:rFonts w:ascii="Poor Richard" w:hAnsi="Poor Richard"/>
        </w:rPr>
        <w:t xml:space="preserve"> </w:t>
      </w:r>
      <w:r w:rsidRPr="00C02F2C">
        <w:rPr>
          <w:rFonts w:ascii="Poor Richard" w:hAnsi="Poor Richard"/>
          <w:i/>
        </w:rPr>
        <w:t>ST</w:t>
      </w:r>
      <w:r w:rsidRPr="00C02F2C">
        <w:rPr>
          <w:rFonts w:ascii="Poor Richard" w:hAnsi="Poor Richard"/>
        </w:rPr>
        <w:t>, Iª, q. 14, pr.</w:t>
      </w:r>
    </w:p>
  </w:footnote>
  <w:footnote w:id="99">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In DDN,</w:t>
      </w:r>
      <w:r w:rsidRPr="00C02F2C">
        <w:rPr>
          <w:rFonts w:ascii="Poor Richard" w:hAnsi="Poor Richard"/>
        </w:rPr>
        <w:t xml:space="preserve"> II, ii, §143. See also, II, ii, §135.</w:t>
      </w:r>
    </w:p>
  </w:footnote>
  <w:footnote w:id="100">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In DDN,</w:t>
      </w:r>
      <w:r w:rsidRPr="00C02F2C">
        <w:rPr>
          <w:rFonts w:ascii="Poor Richard" w:hAnsi="Poor Richard"/>
        </w:rPr>
        <w:t xml:space="preserve"> XIII, iii, §989; XIII, ii, §980; XIII, iii, </w:t>
      </w:r>
      <w:r w:rsidRPr="00C02F2C">
        <w:rPr>
          <w:rFonts w:ascii="Poor Richard" w:hAnsi="Poor Richard"/>
          <w:lang w:val="it-IT"/>
        </w:rPr>
        <w:t xml:space="preserve">§ </w:t>
      </w:r>
      <w:r w:rsidRPr="00C02F2C">
        <w:rPr>
          <w:rFonts w:ascii="Poor Richard" w:hAnsi="Poor Richard"/>
        </w:rPr>
        <w:t xml:space="preserve">986. W.J. Hankey, “The Conversion of God in Aquinas’ </w:t>
      </w:r>
      <w:r w:rsidRPr="00C02F2C">
        <w:rPr>
          <w:rFonts w:ascii="Poor Richard" w:hAnsi="Poor Richard"/>
          <w:i/>
        </w:rPr>
        <w:t>Summa theologiae</w:t>
      </w:r>
      <w:r w:rsidRPr="00C02F2C">
        <w:rPr>
          <w:rFonts w:ascii="Poor Richard" w:hAnsi="Poor Richard"/>
        </w:rPr>
        <w:t xml:space="preserve">: Being’s Trinitarian and Incarnational Self Disclosure,” </w:t>
      </w:r>
      <w:r w:rsidRPr="00C02F2C">
        <w:rPr>
          <w:rFonts w:ascii="Poor Richard" w:hAnsi="Poor Richard"/>
          <w:i/>
        </w:rPr>
        <w:t>Dionysius</w:t>
      </w:r>
      <w:r w:rsidRPr="00C02F2C">
        <w:rPr>
          <w:rFonts w:ascii="Poor Richard" w:hAnsi="Poor Richard"/>
        </w:rPr>
        <w:t xml:space="preserve"> 35 (2017): 132–70 at 147, 151-54.</w:t>
      </w:r>
    </w:p>
  </w:footnote>
  <w:footnote w:id="101">
    <w:p w:rsidR="000F23BE" w:rsidRPr="00C02F2C" w:rsidRDefault="000F23BE" w:rsidP="00F719EF">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rPr>
        <w:t xml:space="preserve"> See Aquinas, </w:t>
      </w:r>
      <w:r w:rsidRPr="00C02F2C">
        <w:rPr>
          <w:rFonts w:ascii="Poor Richard" w:hAnsi="Poor Richard" w:cs="Times New Roman"/>
          <w:i/>
        </w:rPr>
        <w:t>In DDN,</w:t>
      </w:r>
      <w:r w:rsidRPr="00C02F2C">
        <w:rPr>
          <w:rFonts w:ascii="Poor Richard" w:hAnsi="Poor Richard" w:cs="Times New Roman"/>
          <w:lang w:val="it-IT"/>
        </w:rPr>
        <w:t xml:space="preserve"> </w:t>
      </w:r>
      <w:r w:rsidRPr="00C02F2C">
        <w:rPr>
          <w:rFonts w:ascii="Poor Richard" w:hAnsi="Poor Richard" w:cs="Times New Roman"/>
          <w:lang w:val="it-IT"/>
        </w:rPr>
        <w:t xml:space="preserve">I, i, §§ 1–3; II, i, § 110, §121, §§126–7; II, ii, §141–2. W. J. Hankey, </w:t>
      </w:r>
      <w:r w:rsidRPr="00C02F2C">
        <w:rPr>
          <w:rFonts w:ascii="Poor Richard" w:hAnsi="Poor Richard" w:cs="Times New Roman"/>
        </w:rPr>
        <w:t xml:space="preserve">“The </w:t>
      </w:r>
      <w:r w:rsidRPr="00C02F2C">
        <w:rPr>
          <w:rFonts w:ascii="Poor Richard" w:hAnsi="Poor Richard" w:cs="Times New Roman"/>
          <w:i/>
        </w:rPr>
        <w:t xml:space="preserve">De </w:t>
      </w:r>
      <w:proofErr w:type="spellStart"/>
      <w:r w:rsidRPr="00C02F2C">
        <w:rPr>
          <w:rFonts w:ascii="Poor Richard" w:hAnsi="Poor Richard" w:cs="Times New Roman"/>
          <w:i/>
        </w:rPr>
        <w:t>Trinitate</w:t>
      </w:r>
      <w:proofErr w:type="spellEnd"/>
      <w:r w:rsidRPr="00C02F2C">
        <w:rPr>
          <w:rFonts w:ascii="Poor Richard" w:hAnsi="Poor Richard" w:cs="Times New Roman"/>
        </w:rPr>
        <w:t xml:space="preserve"> of St. Boethius and the Structure of St. Thomas’ </w:t>
      </w:r>
      <w:r w:rsidRPr="00C02F2C">
        <w:rPr>
          <w:rFonts w:ascii="Poor Richard" w:hAnsi="Poor Richard" w:cs="Times New Roman"/>
          <w:i/>
        </w:rPr>
        <w:t>Summa Theologiae</w:t>
      </w:r>
      <w:r w:rsidRPr="00C02F2C">
        <w:rPr>
          <w:rFonts w:ascii="Poor Richard" w:hAnsi="Poor Richard" w:cs="Times New Roman"/>
        </w:rPr>
        <w:t xml:space="preserve">,” </w:t>
      </w:r>
      <w:proofErr w:type="spellStart"/>
      <w:r w:rsidRPr="00C02F2C">
        <w:rPr>
          <w:rFonts w:ascii="Poor Richard" w:hAnsi="Poor Richard" w:cs="Times New Roman"/>
          <w:i/>
        </w:rPr>
        <w:t>Atti</w:t>
      </w:r>
      <w:proofErr w:type="spellEnd"/>
      <w:r w:rsidRPr="00C02F2C">
        <w:rPr>
          <w:rFonts w:ascii="Poor Richard" w:hAnsi="Poor Richard" w:cs="Times New Roman"/>
          <w:i/>
        </w:rPr>
        <w:t xml:space="preserve"> del </w:t>
      </w:r>
      <w:proofErr w:type="spellStart"/>
      <w:r w:rsidRPr="00C02F2C">
        <w:rPr>
          <w:rFonts w:ascii="Poor Richard" w:hAnsi="Poor Richard" w:cs="Times New Roman"/>
          <w:i/>
        </w:rPr>
        <w:t>Congresso</w:t>
      </w:r>
      <w:proofErr w:type="spellEnd"/>
      <w:r w:rsidRPr="00C02F2C">
        <w:rPr>
          <w:rFonts w:ascii="Poor Richard" w:hAnsi="Poor Richard" w:cs="Times New Roman"/>
          <w:i/>
        </w:rPr>
        <w:t xml:space="preserve"> </w:t>
      </w:r>
      <w:proofErr w:type="spellStart"/>
      <w:r w:rsidRPr="00C02F2C">
        <w:rPr>
          <w:rFonts w:ascii="Poor Richard" w:hAnsi="Poor Richard" w:cs="Times New Roman"/>
          <w:i/>
        </w:rPr>
        <w:t>Internazionale</w:t>
      </w:r>
      <w:proofErr w:type="spellEnd"/>
      <w:r w:rsidRPr="00C02F2C">
        <w:rPr>
          <w:rFonts w:ascii="Poor Richard" w:hAnsi="Poor Richard" w:cs="Times New Roman"/>
          <w:i/>
        </w:rPr>
        <w:t xml:space="preserve"> di </w:t>
      </w:r>
      <w:proofErr w:type="spellStart"/>
      <w:r w:rsidRPr="00C02F2C">
        <w:rPr>
          <w:rFonts w:ascii="Poor Richard" w:hAnsi="Poor Richard" w:cs="Times New Roman"/>
          <w:i/>
        </w:rPr>
        <w:t>Studi</w:t>
      </w:r>
      <w:proofErr w:type="spellEnd"/>
      <w:r w:rsidRPr="00C02F2C">
        <w:rPr>
          <w:rFonts w:ascii="Poor Richard" w:hAnsi="Poor Richard" w:cs="Times New Roman"/>
          <w:i/>
        </w:rPr>
        <w:t xml:space="preserve"> </w:t>
      </w:r>
      <w:proofErr w:type="spellStart"/>
      <w:r w:rsidRPr="00C02F2C">
        <w:rPr>
          <w:rFonts w:ascii="Poor Richard" w:hAnsi="Poor Richard" w:cs="Times New Roman"/>
          <w:i/>
        </w:rPr>
        <w:t>Boeziani</w:t>
      </w:r>
      <w:proofErr w:type="spellEnd"/>
      <w:r w:rsidRPr="00C02F2C">
        <w:rPr>
          <w:rFonts w:ascii="Poor Richard" w:hAnsi="Poor Richard" w:cs="Times New Roman"/>
        </w:rPr>
        <w:t xml:space="preserve">, ed. L. </w:t>
      </w:r>
      <w:proofErr w:type="spellStart"/>
      <w:r w:rsidRPr="00C02F2C">
        <w:rPr>
          <w:rFonts w:ascii="Poor Richard" w:hAnsi="Poor Richard" w:cs="Times New Roman"/>
        </w:rPr>
        <w:t>Obertello</w:t>
      </w:r>
      <w:proofErr w:type="spellEnd"/>
      <w:r w:rsidRPr="00C02F2C">
        <w:rPr>
          <w:rFonts w:ascii="Poor Richard" w:hAnsi="Poor Richard" w:cs="Times New Roman"/>
        </w:rPr>
        <w:t xml:space="preserve"> (Roma:  Herder, 1981), 367–75 at 371; G. Emery, </w:t>
      </w:r>
      <w:r w:rsidRPr="00C02F2C">
        <w:rPr>
          <w:rFonts w:ascii="Poor Richard" w:hAnsi="Poor Richard" w:cs="Times New Roman"/>
          <w:i/>
        </w:rPr>
        <w:t>The Trinitarian Theology of Saint Thomas Aquinas</w:t>
      </w:r>
      <w:r w:rsidRPr="00C02F2C">
        <w:rPr>
          <w:rFonts w:ascii="Poor Richard" w:hAnsi="Poor Richard" w:cs="Times New Roman"/>
        </w:rPr>
        <w:t xml:space="preserve"> (Oxford: University Press, 2007), 46</w:t>
      </w:r>
      <w:r w:rsidRPr="00C02F2C">
        <w:rPr>
          <w:rFonts w:ascii="Poor Richard" w:hAnsi="Poor Richard" w:cs="Times New Roman"/>
          <w:lang w:val="it-IT"/>
        </w:rPr>
        <w:t>–</w:t>
      </w:r>
      <w:r w:rsidRPr="00C02F2C">
        <w:rPr>
          <w:rFonts w:ascii="Poor Richard" w:hAnsi="Poor Richard" w:cs="Times New Roman"/>
        </w:rPr>
        <w:t xml:space="preserve">7; Blankenhorn, </w:t>
      </w:r>
      <w:r w:rsidRPr="00C02F2C">
        <w:rPr>
          <w:rFonts w:ascii="Poor Richard" w:hAnsi="Poor Richard" w:cs="Times New Roman"/>
          <w:i/>
        </w:rPr>
        <w:t>Mystery</w:t>
      </w:r>
      <w:r w:rsidRPr="00C02F2C">
        <w:rPr>
          <w:rFonts w:ascii="Poor Richard" w:hAnsi="Poor Richard" w:cs="Times New Roman"/>
        </w:rPr>
        <w:t>, 322.</w:t>
      </w:r>
    </w:p>
  </w:footnote>
  <w:footnote w:id="102">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w:t>
      </w:r>
      <w:r w:rsidR="00270A4B">
        <w:rPr>
          <w:rFonts w:ascii="Poor Richard" w:hAnsi="Poor Richard"/>
        </w:rPr>
        <w:t xml:space="preserve"> </w:t>
      </w:r>
      <w:r w:rsidRPr="00C02F2C">
        <w:rPr>
          <w:rFonts w:ascii="Poor Richard" w:hAnsi="Poor Richard"/>
          <w:i/>
        </w:rPr>
        <w:t>ST</w:t>
      </w:r>
      <w:r w:rsidRPr="00C02F2C">
        <w:rPr>
          <w:rFonts w:ascii="Poor Richard" w:hAnsi="Poor Richard"/>
        </w:rPr>
        <w:t xml:space="preserve">, Iª q. 75 pr.; Aquinas, </w:t>
      </w:r>
      <w:r w:rsidRPr="00C02F2C">
        <w:rPr>
          <w:rFonts w:ascii="Poor Richard" w:hAnsi="Poor Richard"/>
          <w:i/>
        </w:rPr>
        <w:t>De Substantiis,</w:t>
      </w:r>
      <w:r w:rsidRPr="00C02F2C">
        <w:rPr>
          <w:rFonts w:ascii="Poor Richard" w:hAnsi="Poor Richard"/>
        </w:rPr>
        <w:t xml:space="preserve"> cap. 20, D79, lines 304–10.</w:t>
      </w:r>
    </w:p>
  </w:footnote>
  <w:footnote w:id="103">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See W.J. Hankey, </w:t>
      </w:r>
      <w:r w:rsidRPr="00C02F2C">
        <w:rPr>
          <w:rFonts w:ascii="Poor Richard" w:hAnsi="Poor Richard"/>
          <w:i/>
        </w:rPr>
        <w:t>God in Himself, Aquinas’ Doctrine of God as Expounded in the Summa Theologiae</w:t>
      </w:r>
      <w:r w:rsidRPr="00C02F2C">
        <w:rPr>
          <w:rFonts w:ascii="Poor Richard" w:hAnsi="Poor Richard"/>
        </w:rPr>
        <w:t xml:space="preserve"> (Oxford:  University Press, 1987 / 2000), 3–12; idem, “Aquinas and the Platonists,” 319.</w:t>
      </w:r>
    </w:p>
  </w:footnote>
  <w:footnote w:id="104">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w:t>
      </w:r>
      <w:r w:rsidR="00270A4B">
        <w:rPr>
          <w:rFonts w:ascii="Poor Richard" w:hAnsi="Poor Richard"/>
        </w:rPr>
        <w:t xml:space="preserve"> </w:t>
      </w:r>
      <w:r w:rsidRPr="00C02F2C">
        <w:rPr>
          <w:rFonts w:ascii="Poor Richard" w:hAnsi="Poor Richard"/>
          <w:i/>
        </w:rPr>
        <w:t>ST,</w:t>
      </w:r>
      <w:r w:rsidRPr="00C02F2C">
        <w:rPr>
          <w:rFonts w:ascii="Poor Richard" w:hAnsi="Poor Richard"/>
        </w:rPr>
        <w:t xml:space="preserve"> Iª q. 1 a. 1 co &amp; ad 2 and Iª q. 1 a. 8 ad 2.</w:t>
      </w:r>
    </w:p>
  </w:footnote>
  <w:footnote w:id="105">
    <w:p w:rsidR="000F23BE" w:rsidRPr="00C02F2C" w:rsidRDefault="000F23BE" w:rsidP="00F719EF">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iCs/>
        </w:rPr>
        <w:t xml:space="preserve"> </w:t>
      </w:r>
      <w:r w:rsidRPr="00C02F2C">
        <w:rPr>
          <w:rFonts w:ascii="Poor Richard" w:hAnsi="Poor Richard"/>
        </w:rPr>
        <w:t xml:space="preserve">R. Schenk,  “From Providence to Grace: Thomas Aquinas and the Platonisms of the Mid-thirteenth Century,” </w:t>
      </w:r>
      <w:r w:rsidRPr="00C02F2C">
        <w:rPr>
          <w:rFonts w:ascii="Poor Richard" w:hAnsi="Poor Richard"/>
          <w:i/>
        </w:rPr>
        <w:t>Nova et Vetera</w:t>
      </w:r>
      <w:r w:rsidRPr="00C02F2C">
        <w:rPr>
          <w:rFonts w:ascii="Poor Richard" w:hAnsi="Poor Richard"/>
        </w:rPr>
        <w:t xml:space="preserve"> 3:2 (2005): 307–320 at </w:t>
      </w:r>
      <w:r w:rsidRPr="00C02F2C">
        <w:rPr>
          <w:rFonts w:ascii="Poor Richard" w:hAnsi="Poor Richard"/>
          <w:iCs/>
        </w:rPr>
        <w:t>311–20.</w:t>
      </w:r>
    </w:p>
  </w:footnote>
  <w:footnote w:id="106">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Albert, </w:t>
      </w:r>
      <w:r w:rsidRPr="00C02F2C">
        <w:rPr>
          <w:rFonts w:ascii="Poor Richard" w:hAnsi="Poor Richard"/>
          <w:i/>
          <w:iCs/>
        </w:rPr>
        <w:t>Super DDN</w:t>
      </w:r>
      <w:r w:rsidRPr="00C02F2C">
        <w:rPr>
          <w:rFonts w:ascii="Poor Richard" w:hAnsi="Poor Richard"/>
          <w:iCs/>
        </w:rPr>
        <w:t>,  11, 424, line 80</w:t>
      </w:r>
      <w:r w:rsidRPr="00C02F2C">
        <w:rPr>
          <w:rFonts w:ascii="Poor Richard" w:hAnsi="Poor Richard"/>
          <w:lang w:val="la-Latn"/>
        </w:rPr>
        <w:t>–</w:t>
      </w:r>
      <w:r w:rsidRPr="00C02F2C">
        <w:rPr>
          <w:rFonts w:ascii="Poor Richard" w:hAnsi="Poor Richard"/>
          <w:iCs/>
        </w:rPr>
        <w:t xml:space="preserve">425, line 36; </w:t>
      </w:r>
      <w:r w:rsidRPr="00C02F2C">
        <w:rPr>
          <w:rFonts w:ascii="Poor Richard" w:hAnsi="Poor Richard"/>
        </w:rPr>
        <w:t xml:space="preserve">Blankenhorn, </w:t>
      </w:r>
      <w:r w:rsidRPr="00C02F2C">
        <w:rPr>
          <w:rFonts w:ascii="Poor Richard" w:hAnsi="Poor Richard"/>
          <w:i/>
        </w:rPr>
        <w:t xml:space="preserve">Mystery, </w:t>
      </w:r>
      <w:r w:rsidRPr="00C02F2C">
        <w:rPr>
          <w:rFonts w:ascii="Poor Richard" w:hAnsi="Poor Richard"/>
        </w:rPr>
        <w:t>326, n22.</w:t>
      </w:r>
    </w:p>
  </w:footnote>
  <w:footnote w:id="107">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w:t>
      </w:r>
      <w:r w:rsidRPr="00C02F2C">
        <w:rPr>
          <w:rFonts w:ascii="Poor Richard" w:hAnsi="Poor Richard"/>
          <w:iCs/>
        </w:rPr>
        <w:t>11, 423, lines 69</w:t>
      </w:r>
      <w:r w:rsidRPr="00C02F2C">
        <w:rPr>
          <w:rFonts w:ascii="Poor Richard" w:hAnsi="Poor Richard"/>
          <w:lang w:val="la-Latn"/>
        </w:rPr>
        <w:t>–</w:t>
      </w:r>
      <w:r w:rsidRPr="00C02F2C">
        <w:rPr>
          <w:rFonts w:ascii="Poor Richard" w:hAnsi="Poor Richard"/>
          <w:iCs/>
        </w:rPr>
        <w:t>72.</w:t>
      </w:r>
    </w:p>
  </w:footnote>
  <w:footnote w:id="108">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w:t>
      </w:r>
      <w:r w:rsidRPr="00C02F2C">
        <w:rPr>
          <w:rFonts w:ascii="Poor Richard" w:hAnsi="Poor Richard"/>
          <w:iCs/>
        </w:rPr>
        <w:t>11, 424, line 83</w:t>
      </w:r>
      <w:r w:rsidRPr="00C02F2C">
        <w:rPr>
          <w:rFonts w:ascii="Poor Richard" w:hAnsi="Poor Richard"/>
          <w:lang w:val="la-Latn"/>
        </w:rPr>
        <w:t>–</w:t>
      </w:r>
      <w:r w:rsidRPr="00C02F2C">
        <w:rPr>
          <w:rFonts w:ascii="Poor Richard" w:hAnsi="Poor Richard"/>
        </w:rPr>
        <w:t>425, line 30.</w:t>
      </w:r>
    </w:p>
  </w:footnote>
  <w:footnote w:id="109">
    <w:p w:rsidR="000F23BE" w:rsidRPr="00C02F2C" w:rsidRDefault="000F23BE" w:rsidP="005E6786">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See Hankey, “The Concord”: 164-89.</w:t>
      </w:r>
    </w:p>
  </w:footnote>
  <w:footnote w:id="110">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In DDN,</w:t>
      </w:r>
      <w:r w:rsidRPr="00C02F2C">
        <w:rPr>
          <w:rFonts w:ascii="Poor Richard" w:hAnsi="Poor Richard"/>
        </w:rPr>
        <w:t xml:space="preserve"> pr.</w:t>
      </w:r>
    </w:p>
  </w:footnote>
  <w:footnote w:id="111">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XIII, iii, §§ 993–94.</w:t>
      </w:r>
    </w:p>
  </w:footnote>
  <w:footnote w:id="112">
    <w:p w:rsidR="000F23BE" w:rsidRPr="00C02F2C" w:rsidRDefault="000F23BE" w:rsidP="00C17DEB">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rPr>
        <w:t xml:space="preserve"> Ibid., IV, ii, §§ 295–98, and Appendix 7, Hankey, “The Concord”: 209, “Aquinas on Plato and the </w:t>
      </w:r>
      <w:proofErr w:type="spellStart"/>
      <w:r w:rsidRPr="00C02F2C">
        <w:rPr>
          <w:rFonts w:ascii="Poor Richard" w:hAnsi="Poor Richard" w:cs="Times New Roman"/>
        </w:rPr>
        <w:t>Platonici</w:t>
      </w:r>
      <w:proofErr w:type="spellEnd"/>
      <w:r w:rsidRPr="00C02F2C">
        <w:rPr>
          <w:rFonts w:ascii="Poor Richard" w:hAnsi="Poor Richard" w:cs="Times New Roman"/>
        </w:rPr>
        <w:t xml:space="preserve"> on Non-being, Privation, Matter and Evil.”</w:t>
      </w:r>
    </w:p>
  </w:footnote>
  <w:footnote w:id="113">
    <w:p w:rsidR="000F23BE" w:rsidRPr="00C02F2C" w:rsidRDefault="000F23BE" w:rsidP="00C17DEB">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lang w:val="it-IT"/>
        </w:rPr>
        <w:t xml:space="preserve"> </w:t>
      </w:r>
      <w:r w:rsidRPr="00C02F2C">
        <w:rPr>
          <w:rFonts w:ascii="Poor Richard" w:hAnsi="Poor Richard" w:cs="Times New Roman"/>
          <w:lang w:val="it-IT"/>
        </w:rPr>
        <w:t xml:space="preserve">Aquinas, </w:t>
      </w:r>
      <w:r w:rsidRPr="00C02F2C">
        <w:rPr>
          <w:rFonts w:ascii="Poor Richard" w:hAnsi="Poor Richard" w:cs="Times New Roman"/>
          <w:i/>
          <w:lang w:val="it-IT"/>
        </w:rPr>
        <w:t>In DDN,</w:t>
      </w:r>
      <w:r w:rsidRPr="00C02F2C">
        <w:rPr>
          <w:rFonts w:ascii="Poor Richard" w:hAnsi="Poor Richard" w:cs="Times New Roman"/>
          <w:lang w:val="it-IT"/>
        </w:rPr>
        <w:t xml:space="preserve"> pr.</w:t>
      </w:r>
      <w:r w:rsidRPr="00C02F2C">
        <w:rPr>
          <w:rStyle w:val="ref"/>
          <w:rFonts w:ascii="Poor Richard" w:hAnsi="Poor Richard" w:cs="Times New Roman"/>
          <w:lang w:val="it-IT"/>
        </w:rPr>
        <w:t xml:space="preserve"> </w:t>
      </w:r>
    </w:p>
  </w:footnote>
  <w:footnote w:id="114">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V, i, § 634.</w:t>
      </w:r>
    </w:p>
  </w:footnote>
  <w:footnote w:id="115">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IV, i, § 261.</w:t>
      </w:r>
    </w:p>
  </w:footnote>
  <w:footnote w:id="116">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IV, i, § 269.</w:t>
      </w:r>
    </w:p>
  </w:footnote>
  <w:footnote w:id="117">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IV, i, § 276.</w:t>
      </w:r>
    </w:p>
  </w:footnote>
  <w:footnote w:id="118">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SDC</w:t>
      </w:r>
      <w:r w:rsidRPr="00C02F2C">
        <w:rPr>
          <w:rFonts w:ascii="Poor Richard" w:hAnsi="Poor Richard"/>
        </w:rPr>
        <w:t>, prop. 3, 18, lines 8–23.</w:t>
      </w:r>
    </w:p>
  </w:footnote>
  <w:footnote w:id="119">
    <w:p w:rsidR="000F23BE" w:rsidRPr="00C02F2C" w:rsidRDefault="000F23BE" w:rsidP="00C17DEB">
      <w:pPr>
        <w:pStyle w:val="FootnoteText"/>
        <w:spacing w:line="240" w:lineRule="atLeast"/>
        <w:contextualSpacing/>
        <w:rPr>
          <w:rFonts w:ascii="Poor Richard" w:hAnsi="Poor Richard"/>
          <w:lang w:val="it-IT"/>
        </w:rPr>
      </w:pPr>
      <w:r w:rsidRPr="00C02F2C">
        <w:rPr>
          <w:rStyle w:val="FootnoteReference"/>
          <w:rFonts w:ascii="Poor Richard" w:hAnsi="Poor Richard"/>
        </w:rPr>
        <w:footnoteRef/>
      </w:r>
      <w:r w:rsidRPr="00C02F2C">
        <w:rPr>
          <w:rFonts w:ascii="Poor Richard" w:hAnsi="Poor Richard"/>
          <w:lang w:val="it-IT"/>
        </w:rPr>
        <w:t xml:space="preserve"> Ibid., prop. 3, 20, lines 5–11.</w:t>
      </w:r>
    </w:p>
  </w:footnote>
  <w:footnote w:id="120">
    <w:p w:rsidR="000F23BE" w:rsidRPr="00C02F2C" w:rsidRDefault="000F23BE" w:rsidP="00C17DEB">
      <w:pPr>
        <w:pStyle w:val="FootnoteText"/>
        <w:spacing w:line="240" w:lineRule="atLeast"/>
        <w:contextualSpacing/>
        <w:rPr>
          <w:rFonts w:ascii="Poor Richard" w:hAnsi="Poor Richard"/>
          <w:lang w:val="it-IT"/>
        </w:rPr>
      </w:pPr>
      <w:r w:rsidRPr="00C02F2C">
        <w:rPr>
          <w:rStyle w:val="FootnoteReference"/>
          <w:rFonts w:ascii="Poor Richard" w:hAnsi="Poor Richard"/>
        </w:rPr>
        <w:footnoteRef/>
      </w:r>
      <w:r w:rsidRPr="00C02F2C">
        <w:rPr>
          <w:rFonts w:ascii="Poor Richard" w:hAnsi="Poor Richard"/>
          <w:lang w:val="it-IT"/>
        </w:rPr>
        <w:t xml:space="preserve"> Aquinas, </w:t>
      </w:r>
      <w:r w:rsidRPr="00C02F2C">
        <w:rPr>
          <w:rFonts w:ascii="Poor Richard" w:hAnsi="Poor Richard"/>
          <w:i/>
          <w:lang w:val="it-IT"/>
        </w:rPr>
        <w:t>In DDN,</w:t>
      </w:r>
      <w:r w:rsidRPr="00C02F2C">
        <w:rPr>
          <w:rFonts w:ascii="Poor Richard" w:hAnsi="Poor Richard"/>
          <w:lang w:val="it-IT"/>
        </w:rPr>
        <w:t xml:space="preserve"> V, i, § 613.</w:t>
      </w:r>
    </w:p>
  </w:footnote>
  <w:footnote w:id="121">
    <w:p w:rsidR="000F23BE" w:rsidRPr="00C02F2C" w:rsidRDefault="000F23BE" w:rsidP="00C17DEB">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rPr>
        <w:t xml:space="preserve"> </w:t>
      </w:r>
      <w:r w:rsidRPr="00C02F2C">
        <w:rPr>
          <w:rFonts w:ascii="Poor Richard" w:hAnsi="Poor Richard" w:cs="Times New Roman"/>
          <w:lang w:val="it-IT"/>
        </w:rPr>
        <w:t>Ibid.,</w:t>
      </w:r>
      <w:r w:rsidRPr="00C02F2C">
        <w:rPr>
          <w:rFonts w:ascii="Poor Richard" w:hAnsi="Poor Richard" w:cs="Times New Roman"/>
        </w:rPr>
        <w:t xml:space="preserve"> XI, iv, §§ 933–34.</w:t>
      </w:r>
    </w:p>
  </w:footnote>
  <w:footnote w:id="122">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val="it-IT"/>
        </w:rPr>
        <w:t>Ibid.,</w:t>
      </w:r>
      <w:r w:rsidRPr="00C02F2C">
        <w:rPr>
          <w:rFonts w:ascii="Poor Richard" w:hAnsi="Poor Richard"/>
        </w:rPr>
        <w:t xml:space="preserve"> V, iii, §665.</w:t>
      </w:r>
    </w:p>
  </w:footnote>
  <w:footnote w:id="123">
    <w:p w:rsidR="000F23BE" w:rsidRPr="00C02F2C" w:rsidRDefault="000F23BE" w:rsidP="00C17DEB">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w:t>
      </w:r>
      <w:r w:rsidRPr="00C02F2C">
        <w:rPr>
          <w:rFonts w:ascii="Poor Richard" w:hAnsi="Poor Richard"/>
          <w:lang w:val="it-IT"/>
        </w:rPr>
        <w:t>Ibid.,</w:t>
      </w:r>
      <w:r w:rsidRPr="00C02F2C">
        <w:rPr>
          <w:rFonts w:ascii="Poor Richard" w:hAnsi="Poor Richard"/>
          <w:lang w:val="fr-CA"/>
        </w:rPr>
        <w:t xml:space="preserve"> V, iii, §664.</w:t>
      </w:r>
    </w:p>
  </w:footnote>
  <w:footnote w:id="124">
    <w:p w:rsidR="000F23BE" w:rsidRPr="00C02F2C" w:rsidRDefault="000F23BE" w:rsidP="00A002C5">
      <w:pPr>
        <w:pStyle w:val="FootnoteText"/>
        <w:spacing w:line="240" w:lineRule="atLeast"/>
        <w:contextualSpacing/>
        <w:rPr>
          <w:rFonts w:ascii="Poor Richard" w:hAnsi="Poor Richard"/>
          <w:lang w:val="fr-CA"/>
        </w:rPr>
      </w:pPr>
      <w:r w:rsidRPr="00C02F2C">
        <w:rPr>
          <w:rStyle w:val="FootnoteReference"/>
          <w:rFonts w:ascii="Poor Richard" w:hAnsi="Poor Richard"/>
        </w:rPr>
        <w:footnoteRef/>
      </w:r>
      <w:r w:rsidRPr="00C02F2C">
        <w:rPr>
          <w:rFonts w:ascii="Poor Richard" w:hAnsi="Poor Richard"/>
          <w:lang w:val="fr-CA"/>
        </w:rPr>
        <w:t xml:space="preserve"> Aquinas, </w:t>
      </w:r>
      <w:r w:rsidRPr="00C02F2C">
        <w:rPr>
          <w:rFonts w:ascii="Poor Richard" w:hAnsi="Poor Richard"/>
          <w:i/>
          <w:lang w:val="fr-CA"/>
        </w:rPr>
        <w:t>De Substantiis,</w:t>
      </w:r>
      <w:r w:rsidRPr="00C02F2C">
        <w:rPr>
          <w:rFonts w:ascii="Poor Richard" w:hAnsi="Poor Richard"/>
          <w:lang w:val="fr-CA"/>
        </w:rPr>
        <w:t xml:space="preserve"> cap. 4, D 47, lines 15–19.</w:t>
      </w:r>
    </w:p>
  </w:footnote>
  <w:footnote w:id="125">
    <w:p w:rsidR="000F23BE" w:rsidRPr="00C02F2C" w:rsidRDefault="000F23BE" w:rsidP="00AB64A7">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lang w:val="it-IT"/>
        </w:rPr>
        <w:t xml:space="preserve"> E.g., </w:t>
      </w:r>
      <w:r w:rsidRPr="00C02F2C">
        <w:rPr>
          <w:rFonts w:ascii="Poor Richard" w:hAnsi="Poor Richard"/>
          <w:lang w:val="fr-CA"/>
        </w:rPr>
        <w:t xml:space="preserve">Aquinas, </w:t>
      </w:r>
      <w:r w:rsidRPr="00C02F2C">
        <w:rPr>
          <w:rFonts w:ascii="Poor Richard" w:hAnsi="Poor Richard"/>
          <w:i/>
          <w:lang w:val="fr-CA"/>
        </w:rPr>
        <w:t>SDC</w:t>
      </w:r>
      <w:r w:rsidRPr="00C02F2C">
        <w:rPr>
          <w:rFonts w:ascii="Poor Richard" w:hAnsi="Poor Richard"/>
          <w:lang w:val="fr-CA"/>
        </w:rPr>
        <w:t xml:space="preserve">, prop. </w:t>
      </w:r>
      <w:r w:rsidRPr="00C02F2C">
        <w:rPr>
          <w:rFonts w:ascii="Poor Richard" w:hAnsi="Poor Richard"/>
        </w:rPr>
        <w:t>3, 24, lines 4–12 &amp; prop. 13, 83, lines 8–17.</w:t>
      </w:r>
    </w:p>
  </w:footnote>
  <w:footnote w:id="126">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val="it-IT"/>
        </w:rPr>
        <w:t>Ibid.,</w:t>
      </w:r>
      <w:r w:rsidRPr="00C02F2C">
        <w:rPr>
          <w:rFonts w:ascii="Poor Richard" w:hAnsi="Poor Richard"/>
        </w:rPr>
        <w:t xml:space="preserve"> prop. 10, 67, line 19–68, line 16.</w:t>
      </w:r>
    </w:p>
  </w:footnote>
  <w:footnote w:id="127">
    <w:p w:rsidR="000F23BE" w:rsidRPr="00C02F2C" w:rsidRDefault="000F23BE" w:rsidP="00047D26">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Booth, </w:t>
      </w:r>
      <w:r w:rsidRPr="00C02F2C">
        <w:rPr>
          <w:rFonts w:ascii="Poor Richard" w:hAnsi="Poor Richard"/>
          <w:i/>
        </w:rPr>
        <w:t>Aristotelian</w:t>
      </w:r>
      <w:r w:rsidRPr="00C02F2C">
        <w:rPr>
          <w:rFonts w:ascii="Poor Richard" w:hAnsi="Poor Richard"/>
        </w:rPr>
        <w:t>, 205.</w:t>
      </w:r>
    </w:p>
  </w:footnote>
  <w:footnote w:id="128">
    <w:p w:rsidR="000F23BE" w:rsidRPr="00C02F2C" w:rsidRDefault="000F23BE" w:rsidP="00047D26">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215.</w:t>
      </w:r>
    </w:p>
  </w:footnote>
  <w:footnote w:id="129">
    <w:p w:rsidR="000F23BE" w:rsidRPr="00C02F2C" w:rsidRDefault="000F23BE" w:rsidP="00047D26">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218; R.A. te Velde, </w:t>
      </w:r>
      <w:r w:rsidRPr="00C02F2C">
        <w:rPr>
          <w:rFonts w:ascii="Poor Richard" w:hAnsi="Poor Richard"/>
          <w:i/>
        </w:rPr>
        <w:t>Participation and Substantiality in Thomas Aquinas</w:t>
      </w:r>
      <w:r w:rsidRPr="00C02F2C">
        <w:rPr>
          <w:rFonts w:ascii="Poor Richard" w:hAnsi="Poor Richard"/>
        </w:rPr>
        <w:t xml:space="preserve"> (Leiden:  Brill, 1995), 257–65 has Dionysius play the same role for Aquinas. See W. J. Hankey, “Denys and Aquinas:  Antimodern Cold and Postmodern Hot,” </w:t>
      </w:r>
      <w:r w:rsidRPr="00C02F2C">
        <w:rPr>
          <w:rFonts w:ascii="Poor Richard" w:hAnsi="Poor Richard"/>
          <w:i/>
        </w:rPr>
        <w:t>Christian Origins: Theology, rhetoric and community</w:t>
      </w:r>
      <w:r w:rsidRPr="00C02F2C">
        <w:rPr>
          <w:rFonts w:ascii="Poor Richard" w:hAnsi="Poor Richard"/>
        </w:rPr>
        <w:t>, ed. L. Ayres, G. Jones (London:  Routledge, 1998), 139–84 at 171–72.</w:t>
      </w:r>
    </w:p>
  </w:footnote>
  <w:footnote w:id="130">
    <w:p w:rsidR="000F23BE" w:rsidRPr="00C02F2C" w:rsidRDefault="000F23BE" w:rsidP="00047D26">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Blankenhorn, </w:t>
      </w:r>
      <w:r w:rsidRPr="00C02F2C">
        <w:rPr>
          <w:rFonts w:ascii="Poor Richard" w:hAnsi="Poor Richard"/>
          <w:i/>
        </w:rPr>
        <w:t>Mystery,</w:t>
      </w:r>
      <w:r w:rsidRPr="00C02F2C">
        <w:rPr>
          <w:rFonts w:ascii="Poor Richard" w:hAnsi="Poor Richard"/>
        </w:rPr>
        <w:t xml:space="preserve"> 124, 222–23.</w:t>
      </w:r>
    </w:p>
  </w:footnote>
  <w:footnote w:id="131">
    <w:p w:rsidR="000F23BE" w:rsidRPr="00C02F2C" w:rsidRDefault="000F23BE" w:rsidP="00047D26">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Porro, </w:t>
      </w:r>
      <w:r w:rsidRPr="00C02F2C">
        <w:rPr>
          <w:rFonts w:ascii="Poor Richard" w:hAnsi="Poor Richard"/>
          <w:i/>
        </w:rPr>
        <w:t>Thomas</w:t>
      </w:r>
      <w:r w:rsidRPr="00C02F2C">
        <w:rPr>
          <w:rFonts w:ascii="Poor Richard" w:hAnsi="Poor Richard"/>
        </w:rPr>
        <w:t>, 253.</w:t>
      </w:r>
    </w:p>
  </w:footnote>
  <w:footnote w:id="132">
    <w:p w:rsidR="000F23BE" w:rsidRPr="00C02F2C" w:rsidRDefault="000F23BE" w:rsidP="004A748A">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rPr>
        <w:t xml:space="preserve"> Blankenhorn, </w:t>
      </w:r>
      <w:r w:rsidRPr="00C02F2C">
        <w:rPr>
          <w:rFonts w:ascii="Poor Richard" w:hAnsi="Poor Richard" w:cs="Times New Roman"/>
          <w:i/>
        </w:rPr>
        <w:t xml:space="preserve">Mystery, </w:t>
      </w:r>
      <w:r w:rsidRPr="00C02F2C">
        <w:rPr>
          <w:rFonts w:ascii="Poor Richard" w:hAnsi="Poor Richard" w:cs="Times New Roman"/>
        </w:rPr>
        <w:t>101–10.</w:t>
      </w:r>
    </w:p>
  </w:footnote>
  <w:footnote w:id="133">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Albert, </w:t>
      </w:r>
      <w:r w:rsidRPr="00C02F2C">
        <w:rPr>
          <w:rFonts w:ascii="Poor Richard" w:hAnsi="Poor Richard"/>
          <w:i/>
        </w:rPr>
        <w:t>Quaestiones</w:t>
      </w:r>
      <w:r w:rsidRPr="00C02F2C">
        <w:rPr>
          <w:rFonts w:ascii="Poor Richard" w:hAnsi="Poor Richard"/>
        </w:rPr>
        <w:t>, ed. A. Fries, W. Kübel, H. Anzulewicz, Cologne edition: 25/ 2 (Aschendorff, 1993), 95, lines 21–3.</w:t>
      </w:r>
    </w:p>
  </w:footnote>
  <w:footnote w:id="134">
    <w:p w:rsidR="000F23BE" w:rsidRPr="00C02F2C" w:rsidRDefault="000F23BE" w:rsidP="00C17DEB">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rPr>
        <w:t xml:space="preserve"> Ibid., 95, lines 43–4.</w:t>
      </w:r>
    </w:p>
  </w:footnote>
  <w:footnote w:id="135">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98, lines 32–5.</w:t>
      </w:r>
    </w:p>
  </w:footnote>
  <w:footnote w:id="136">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Blankenhorn, </w:t>
      </w:r>
      <w:r w:rsidRPr="00C02F2C">
        <w:rPr>
          <w:rFonts w:ascii="Poor Richard" w:hAnsi="Poor Richard"/>
          <w:i/>
        </w:rPr>
        <w:t>Mystery,</w:t>
      </w:r>
      <w:r w:rsidRPr="00C02F2C">
        <w:rPr>
          <w:rFonts w:ascii="Poor Richard" w:hAnsi="Poor Richard"/>
        </w:rPr>
        <w:t xml:space="preserve"> 102.</w:t>
      </w:r>
    </w:p>
  </w:footnote>
  <w:footnote w:id="137">
    <w:p w:rsidR="000F23BE" w:rsidRPr="00C02F2C" w:rsidRDefault="000F23BE" w:rsidP="00650209">
      <w:pPr>
        <w:spacing w:after="0"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rPr>
        <w:t xml:space="preserve"> See Albert, </w:t>
      </w:r>
      <w:proofErr w:type="spellStart"/>
      <w:r w:rsidRPr="00C02F2C">
        <w:rPr>
          <w:rFonts w:ascii="Poor Richard" w:hAnsi="Poor Richard" w:cs="Times New Roman"/>
          <w:i/>
        </w:rPr>
        <w:t>Quaestiones</w:t>
      </w:r>
      <w:proofErr w:type="spellEnd"/>
      <w:r w:rsidRPr="00C02F2C">
        <w:rPr>
          <w:rFonts w:ascii="Poor Richard" w:hAnsi="Poor Richard" w:cs="Times New Roman"/>
        </w:rPr>
        <w:t>, 95, lines 55–61.</w:t>
      </w:r>
    </w:p>
  </w:footnote>
  <w:footnote w:id="138">
    <w:p w:rsidR="000F23BE" w:rsidRPr="00C02F2C" w:rsidRDefault="000F23BE" w:rsidP="00650209">
      <w:pPr>
        <w:pStyle w:val="FootnoteText"/>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For details, see Hankey, “Concord”: 177-83 and 207-8: Appendix 6 “</w:t>
      </w:r>
      <w:r w:rsidRPr="00C02F2C">
        <w:rPr>
          <w:rFonts w:ascii="Poor Richard" w:hAnsi="Poor Richard"/>
          <w:iCs/>
        </w:rPr>
        <w:t xml:space="preserve">Albert and Aquinas in their commentaries </w:t>
      </w:r>
      <w:r w:rsidRPr="00C02F2C">
        <w:rPr>
          <w:rFonts w:ascii="Poor Richard" w:hAnsi="Poor Richard"/>
          <w:i/>
          <w:iCs/>
        </w:rPr>
        <w:t xml:space="preserve">On the Divine Names </w:t>
      </w:r>
      <w:r w:rsidRPr="00C02F2C">
        <w:rPr>
          <w:rFonts w:ascii="Poor Richard" w:hAnsi="Poor Richard"/>
          <w:iCs/>
        </w:rPr>
        <w:t xml:space="preserve">on knowledge of </w:t>
      </w:r>
      <w:r w:rsidRPr="00C02F2C">
        <w:rPr>
          <w:rFonts w:ascii="Poor Richard" w:hAnsi="Poor Richard"/>
          <w:i/>
          <w:iCs/>
        </w:rPr>
        <w:t>quia est</w:t>
      </w:r>
      <w:r w:rsidRPr="00C02F2C">
        <w:rPr>
          <w:rFonts w:ascii="Poor Richard" w:hAnsi="Poor Richard"/>
          <w:iCs/>
        </w:rPr>
        <w:t xml:space="preserve"> and </w:t>
      </w:r>
      <w:r w:rsidRPr="00C02F2C">
        <w:rPr>
          <w:rFonts w:ascii="Poor Richard" w:hAnsi="Poor Richard"/>
          <w:i/>
          <w:iCs/>
        </w:rPr>
        <w:t>quid est</w:t>
      </w:r>
      <w:r w:rsidRPr="00C02F2C">
        <w:rPr>
          <w:rFonts w:ascii="Poor Richard" w:hAnsi="Poor Richard"/>
          <w:iCs/>
        </w:rPr>
        <w:t xml:space="preserve"> in respect to God.”</w:t>
      </w:r>
    </w:p>
  </w:footnote>
  <w:footnote w:id="139">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w:t>
      </w:r>
      <w:r w:rsidRPr="00C02F2C">
        <w:rPr>
          <w:rFonts w:ascii="Poor Richard" w:hAnsi="Poor Richard"/>
          <w:lang w:val="it-IT"/>
        </w:rPr>
        <w:t xml:space="preserve">Aquinas, </w:t>
      </w:r>
      <w:r w:rsidRPr="00C02F2C">
        <w:rPr>
          <w:rFonts w:ascii="Poor Richard" w:hAnsi="Poor Richard"/>
          <w:i/>
          <w:lang w:val="it-IT"/>
        </w:rPr>
        <w:t>In duodecim libros Metaphysicorum Aristotelis Expositio</w:t>
      </w:r>
      <w:r w:rsidRPr="00C02F2C">
        <w:rPr>
          <w:rFonts w:ascii="Poor Richard" w:hAnsi="Poor Richard"/>
          <w:lang w:val="it-IT"/>
        </w:rPr>
        <w:t>, ed. M.R. Cathala, R.M. Spiazzi (Turin : Marietti, 1964),</w:t>
      </w:r>
      <w:r w:rsidRPr="00C02F2C">
        <w:rPr>
          <w:rFonts w:ascii="Poor Richard" w:hAnsi="Poor Richard"/>
        </w:rPr>
        <w:t xml:space="preserve"> II, i, §282.</w:t>
      </w:r>
    </w:p>
  </w:footnote>
  <w:footnote w:id="140">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lang w:val="fr-CA"/>
        </w:rPr>
        <w:t xml:space="preserve"> Aquinas, </w:t>
      </w:r>
      <w:r w:rsidRPr="00C02F2C">
        <w:rPr>
          <w:rFonts w:ascii="Poor Richard" w:hAnsi="Poor Richard"/>
          <w:i/>
          <w:lang w:val="fr-CA"/>
        </w:rPr>
        <w:t>Super Boetium de Trinitate</w:t>
      </w:r>
      <w:r w:rsidRPr="00C02F2C">
        <w:rPr>
          <w:rFonts w:ascii="Poor Richard" w:hAnsi="Poor Richard"/>
          <w:lang w:val="fr-CA"/>
        </w:rPr>
        <w:t xml:space="preserve">, ed. </w:t>
      </w:r>
      <w:r w:rsidRPr="00C02F2C">
        <w:rPr>
          <w:rFonts w:ascii="Poor Richard" w:hAnsi="Poor Richard"/>
        </w:rPr>
        <w:t xml:space="preserve">Fratrum Praedicatorum,  Leonina:  50 (Rome / Paris, 1992), 6.4 </w:t>
      </w:r>
      <w:r w:rsidRPr="00C02F2C">
        <w:rPr>
          <w:rFonts w:ascii="Poor Richard" w:hAnsi="Poor Richard"/>
          <w:i/>
        </w:rPr>
        <w:t>corpus</w:t>
      </w:r>
      <w:r w:rsidRPr="00C02F2C">
        <w:rPr>
          <w:rFonts w:ascii="Poor Richard" w:hAnsi="Poor Richard"/>
        </w:rPr>
        <w:t xml:space="preserve">,  170, lines 112–3; idem, </w:t>
      </w:r>
      <w:r w:rsidRPr="00C02F2C">
        <w:rPr>
          <w:rFonts w:ascii="Poor Richard" w:hAnsi="Poor Richard"/>
          <w:i/>
        </w:rPr>
        <w:t>Expositio Posteriorum</w:t>
      </w:r>
      <w:r w:rsidRPr="00C02F2C">
        <w:rPr>
          <w:rFonts w:ascii="Poor Richard" w:hAnsi="Poor Richard"/>
        </w:rPr>
        <w:t xml:space="preserve">, I, ii, 11, lines 35–6; idem, </w:t>
      </w:r>
      <w:r w:rsidRPr="00C02F2C">
        <w:rPr>
          <w:rFonts w:ascii="Poor Richard" w:hAnsi="Poor Richard"/>
          <w:i/>
        </w:rPr>
        <w:t>In DDN</w:t>
      </w:r>
      <w:r w:rsidRPr="00C02F2C">
        <w:rPr>
          <w:rFonts w:ascii="Poor Richard" w:hAnsi="Poor Richard"/>
        </w:rPr>
        <w:t>, I, ii, §51.</w:t>
      </w:r>
    </w:p>
  </w:footnote>
  <w:footnote w:id="141">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SDC</w:t>
      </w:r>
      <w:r w:rsidRPr="00C02F2C">
        <w:rPr>
          <w:rFonts w:ascii="Poor Richard" w:hAnsi="Poor Richard"/>
        </w:rPr>
        <w:t>, prop. 6, p. 44.</w:t>
      </w:r>
    </w:p>
  </w:footnote>
  <w:footnote w:id="142">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Ibid, prop. 6, 47, lines 8–22. Aquinas, </w:t>
      </w:r>
      <w:r w:rsidRPr="00C02F2C">
        <w:rPr>
          <w:rFonts w:ascii="Poor Richard" w:hAnsi="Poor Richard"/>
          <w:i/>
        </w:rPr>
        <w:t>In DDN</w:t>
      </w:r>
      <w:r w:rsidRPr="00C02F2C">
        <w:rPr>
          <w:rFonts w:ascii="Poor Richard" w:hAnsi="Poor Richard"/>
        </w:rPr>
        <w:t>,</w:t>
      </w:r>
      <w:r w:rsidRPr="00C02F2C">
        <w:rPr>
          <w:rFonts w:ascii="Poor Richard" w:hAnsi="Poor Richard"/>
          <w:i/>
        </w:rPr>
        <w:t xml:space="preserve"> </w:t>
      </w:r>
      <w:r w:rsidRPr="00C02F2C">
        <w:rPr>
          <w:rFonts w:ascii="Poor Richard" w:hAnsi="Poor Richard"/>
        </w:rPr>
        <w:t>XIII, 3, §§ 993–94.</w:t>
      </w:r>
    </w:p>
  </w:footnote>
  <w:footnote w:id="143">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In DDN</w:t>
      </w:r>
      <w:r w:rsidRPr="00C02F2C">
        <w:rPr>
          <w:rFonts w:ascii="Poor Richard" w:hAnsi="Poor Richard"/>
        </w:rPr>
        <w:t>, XIII, 3,</w:t>
      </w:r>
      <w:r w:rsidRPr="00C02F2C">
        <w:rPr>
          <w:rFonts w:ascii="Poor Richard" w:hAnsi="Poor Richard"/>
          <w:i/>
        </w:rPr>
        <w:t xml:space="preserve"> </w:t>
      </w:r>
      <w:r w:rsidRPr="00C02F2C">
        <w:rPr>
          <w:rFonts w:ascii="Poor Richard" w:hAnsi="Poor Richard"/>
        </w:rPr>
        <w:t>§996.</w:t>
      </w:r>
    </w:p>
  </w:footnote>
  <w:footnote w:id="144">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 </w:t>
      </w:r>
      <w:r w:rsidRPr="00C02F2C">
        <w:rPr>
          <w:rFonts w:ascii="Poor Richard" w:hAnsi="Poor Richard"/>
          <w:i/>
        </w:rPr>
        <w:t xml:space="preserve">In Metaphysicorum, </w:t>
      </w:r>
      <w:r w:rsidRPr="00C02F2C">
        <w:rPr>
          <w:rFonts w:ascii="Poor Richard" w:hAnsi="Poor Richard"/>
        </w:rPr>
        <w:t>II, i, §285.</w:t>
      </w:r>
    </w:p>
  </w:footnote>
  <w:footnote w:id="145">
    <w:p w:rsidR="000F23BE" w:rsidRPr="00C02F2C" w:rsidRDefault="000F23BE" w:rsidP="00061A28">
      <w:pPr>
        <w:pStyle w:val="FootnoteText"/>
        <w:spacing w:line="240" w:lineRule="atLeast"/>
        <w:contextualSpacing/>
        <w:rPr>
          <w:rFonts w:ascii="Poor Richard" w:hAnsi="Poor Richard"/>
          <w:lang w:val="it-IT"/>
        </w:rPr>
      </w:pPr>
      <w:r w:rsidRPr="00C02F2C">
        <w:rPr>
          <w:rStyle w:val="FootnoteReference"/>
          <w:rFonts w:ascii="Poor Richard" w:hAnsi="Poor Richard"/>
        </w:rPr>
        <w:footnoteRef/>
      </w:r>
      <w:r w:rsidRPr="00C02F2C">
        <w:rPr>
          <w:rFonts w:ascii="Poor Richard" w:hAnsi="Poor Richard"/>
        </w:rPr>
        <w:t xml:space="preserve"> Peckham to the Bishop of Lincoln, §523</w:t>
      </w:r>
      <w:r w:rsidRPr="00C02F2C">
        <w:rPr>
          <w:rFonts w:ascii="Poor Richard" w:hAnsi="Poor Richard"/>
          <w:lang w:val="it-IT"/>
        </w:rPr>
        <w:t>.</w:t>
      </w:r>
    </w:p>
  </w:footnote>
  <w:footnote w:id="146">
    <w:p w:rsidR="000F23BE" w:rsidRPr="00C02F2C" w:rsidRDefault="000F23BE" w:rsidP="00C17DEB">
      <w:pPr>
        <w:pStyle w:val="FootnoteText"/>
        <w:spacing w:line="240" w:lineRule="atLeast"/>
        <w:contextualSpacing/>
        <w:rPr>
          <w:rFonts w:ascii="Poor Richard" w:hAnsi="Poor Richard"/>
        </w:rPr>
      </w:pPr>
      <w:r w:rsidRPr="00C02F2C">
        <w:rPr>
          <w:rStyle w:val="FootnoteReference"/>
          <w:rFonts w:ascii="Poor Richard" w:hAnsi="Poor Richard"/>
        </w:rPr>
        <w:footnoteRef/>
      </w:r>
      <w:r w:rsidRPr="00C02F2C">
        <w:rPr>
          <w:rFonts w:ascii="Poor Richard" w:hAnsi="Poor Richard"/>
        </w:rPr>
        <w:t xml:space="preserve"> Aquinas,</w:t>
      </w:r>
      <w:r w:rsidRPr="00C02F2C">
        <w:rPr>
          <w:rFonts w:ascii="Poor Richard" w:hAnsi="Poor Richard"/>
          <w:i/>
        </w:rPr>
        <w:t xml:space="preserve"> Super Sent</w:t>
      </w:r>
      <w:r w:rsidRPr="00C02F2C">
        <w:rPr>
          <w:rFonts w:ascii="Poor Richard" w:hAnsi="Poor Richard"/>
        </w:rPr>
        <w:t xml:space="preserve">., 1 d. 8 q. 1 a. 1 ad 4. See Blankenhorn, </w:t>
      </w:r>
      <w:r w:rsidRPr="00C02F2C">
        <w:rPr>
          <w:rFonts w:ascii="Poor Richard" w:hAnsi="Poor Richard"/>
          <w:i/>
        </w:rPr>
        <w:t>Mystery,</w:t>
      </w:r>
      <w:r w:rsidRPr="00C02F2C">
        <w:rPr>
          <w:rFonts w:ascii="Poor Richard" w:hAnsi="Poor Richard"/>
        </w:rPr>
        <w:t xml:space="preserve"> 358.</w:t>
      </w:r>
    </w:p>
  </w:footnote>
  <w:footnote w:id="147">
    <w:p w:rsidR="000F23BE" w:rsidRPr="00C02F2C" w:rsidRDefault="000F23BE" w:rsidP="00C04C69">
      <w:pPr>
        <w:spacing w:line="240" w:lineRule="atLeast"/>
        <w:contextualSpacing/>
        <w:rPr>
          <w:rFonts w:ascii="Poor Richard" w:hAnsi="Poor Richard" w:cs="Times New Roman"/>
        </w:rPr>
      </w:pPr>
      <w:r w:rsidRPr="00C02F2C">
        <w:rPr>
          <w:rStyle w:val="FootnoteReference"/>
          <w:rFonts w:ascii="Poor Richard" w:hAnsi="Poor Richard" w:cs="Times New Roman"/>
        </w:rPr>
        <w:footnoteRef/>
      </w:r>
      <w:r w:rsidRPr="00C02F2C">
        <w:rPr>
          <w:rFonts w:ascii="Poor Richard" w:hAnsi="Poor Richard" w:cs="Times New Roman"/>
        </w:rPr>
        <w:t xml:space="preserve"> Aquinas, </w:t>
      </w:r>
      <w:r w:rsidRPr="00C02F2C">
        <w:rPr>
          <w:rFonts w:ascii="Poor Richard" w:hAnsi="Poor Richard" w:cs="Times New Roman"/>
          <w:i/>
        </w:rPr>
        <w:t xml:space="preserve">Super I </w:t>
      </w:r>
      <w:proofErr w:type="spellStart"/>
      <w:r w:rsidRPr="00C02F2C">
        <w:rPr>
          <w:rFonts w:ascii="Poor Richard" w:hAnsi="Poor Richard" w:cs="Times New Roman"/>
          <w:i/>
        </w:rPr>
        <w:t>Epistolam</w:t>
      </w:r>
      <w:proofErr w:type="spellEnd"/>
      <w:r w:rsidRPr="00C02F2C">
        <w:rPr>
          <w:rFonts w:ascii="Poor Richard" w:hAnsi="Poor Richard" w:cs="Times New Roman"/>
          <w:i/>
        </w:rPr>
        <w:t xml:space="preserve"> B. Pauli ad </w:t>
      </w:r>
      <w:proofErr w:type="spellStart"/>
      <w:r w:rsidRPr="00C02F2C">
        <w:rPr>
          <w:rFonts w:ascii="Poor Richard" w:hAnsi="Poor Richard" w:cs="Times New Roman"/>
          <w:i/>
        </w:rPr>
        <w:t>Timotheum</w:t>
      </w:r>
      <w:proofErr w:type="spellEnd"/>
      <w:r w:rsidRPr="00C02F2C">
        <w:rPr>
          <w:rFonts w:ascii="Poor Richard" w:hAnsi="Poor Richard" w:cs="Times New Roman"/>
          <w:i/>
        </w:rPr>
        <w:t xml:space="preserve"> </w:t>
      </w:r>
      <w:proofErr w:type="spellStart"/>
      <w:r w:rsidRPr="00C02F2C">
        <w:rPr>
          <w:rFonts w:ascii="Poor Richard" w:hAnsi="Poor Richard" w:cs="Times New Roman"/>
          <w:i/>
        </w:rPr>
        <w:t>lectura</w:t>
      </w:r>
      <w:proofErr w:type="spellEnd"/>
      <w:r w:rsidRPr="00C02F2C">
        <w:rPr>
          <w:rFonts w:ascii="Poor Richard" w:hAnsi="Poor Richard" w:cs="Times New Roman"/>
        </w:rPr>
        <w:t xml:space="preserve">, </w:t>
      </w:r>
      <w:proofErr w:type="spellStart"/>
      <w:r w:rsidRPr="00C02F2C">
        <w:rPr>
          <w:rFonts w:ascii="Poor Richard" w:hAnsi="Poor Richard" w:cs="Times New Roman"/>
        </w:rPr>
        <w:t>Textum</w:t>
      </w:r>
      <w:proofErr w:type="spellEnd"/>
      <w:r w:rsidRPr="00C02F2C">
        <w:rPr>
          <w:rFonts w:ascii="Poor Richard" w:hAnsi="Poor Richard" w:cs="Times New Roman"/>
        </w:rPr>
        <w:t xml:space="preserve"> </w:t>
      </w:r>
      <w:proofErr w:type="spellStart"/>
      <w:r w:rsidRPr="00C02F2C">
        <w:rPr>
          <w:rFonts w:ascii="Poor Richard" w:hAnsi="Poor Richard" w:cs="Times New Roman"/>
        </w:rPr>
        <w:t>Taurini</w:t>
      </w:r>
      <w:proofErr w:type="spellEnd"/>
      <w:r w:rsidRPr="00C02F2C">
        <w:rPr>
          <w:rFonts w:ascii="Poor Richard" w:hAnsi="Poor Richard" w:cs="Times New Roman"/>
        </w:rPr>
        <w:t xml:space="preserve"> 1953 </w:t>
      </w:r>
      <w:proofErr w:type="spellStart"/>
      <w:r w:rsidRPr="00C02F2C">
        <w:rPr>
          <w:rFonts w:ascii="Poor Richard" w:hAnsi="Poor Richard" w:cs="Times New Roman"/>
        </w:rPr>
        <w:t>editum</w:t>
      </w:r>
      <w:proofErr w:type="spellEnd"/>
      <w:r w:rsidRPr="00C02F2C">
        <w:rPr>
          <w:rFonts w:ascii="Poor Richard" w:hAnsi="Poor Richard" w:cs="Times New Roman"/>
        </w:rPr>
        <w:t xml:space="preserve">, cap. 6, 3. See Blankenhorn, </w:t>
      </w:r>
      <w:r w:rsidRPr="00C02F2C">
        <w:rPr>
          <w:rFonts w:ascii="Poor Richard" w:hAnsi="Poor Richard" w:cs="Times New Roman"/>
          <w:i/>
        </w:rPr>
        <w:t>Mystery,</w:t>
      </w:r>
      <w:r w:rsidRPr="00C02F2C">
        <w:rPr>
          <w:rFonts w:ascii="Poor Richard" w:hAnsi="Poor Richard" w:cs="Times New Roman"/>
        </w:rPr>
        <w:t xml:space="preserve"> 372–73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48A" w:rsidRDefault="004A74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48A" w:rsidRDefault="004A74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48A" w:rsidRDefault="004A74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7A1E"/>
    <w:multiLevelType w:val="hybridMultilevel"/>
    <w:tmpl w:val="3EC207A6"/>
    <w:lvl w:ilvl="0" w:tplc="0409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3AD24332"/>
    <w:multiLevelType w:val="hybridMultilevel"/>
    <w:tmpl w:val="D7240FB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534F3D48"/>
    <w:multiLevelType w:val="hybridMultilevel"/>
    <w:tmpl w:val="1B9C9C1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73F54F0C"/>
    <w:multiLevelType w:val="hybridMultilevel"/>
    <w:tmpl w:val="F5A68F4E"/>
    <w:lvl w:ilvl="0" w:tplc="2D5698C6">
      <w:start w:val="1"/>
      <w:numFmt w:val="upperRoman"/>
      <w:lvlText w:val="%1."/>
      <w:lvlJc w:val="left"/>
      <w:pPr>
        <w:ind w:left="1080" w:hanging="720"/>
      </w:pPr>
      <w:rPr>
        <w:rFonts w:hint="default"/>
        <w:i w:val="0"/>
        <w:lang w:val="en-CA"/>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CE81CEF"/>
    <w:multiLevelType w:val="hybridMultilevel"/>
    <w:tmpl w:val="D7240FB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isplayBackgroundShape/>
  <w:proofState w:spelling="clean"/>
  <w:defaultTabStop w:val="720"/>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4D02"/>
    <w:rsid w:val="000010E7"/>
    <w:rsid w:val="00001105"/>
    <w:rsid w:val="00002B48"/>
    <w:rsid w:val="00003B4A"/>
    <w:rsid w:val="00007318"/>
    <w:rsid w:val="000113FF"/>
    <w:rsid w:val="00011B37"/>
    <w:rsid w:val="0001225C"/>
    <w:rsid w:val="000123BC"/>
    <w:rsid w:val="000123D0"/>
    <w:rsid w:val="00012DA7"/>
    <w:rsid w:val="000135BB"/>
    <w:rsid w:val="00014191"/>
    <w:rsid w:val="000144A2"/>
    <w:rsid w:val="00014ECA"/>
    <w:rsid w:val="00015389"/>
    <w:rsid w:val="00015569"/>
    <w:rsid w:val="000210DB"/>
    <w:rsid w:val="00021EB1"/>
    <w:rsid w:val="0003020D"/>
    <w:rsid w:val="000310E5"/>
    <w:rsid w:val="0003427F"/>
    <w:rsid w:val="000351FD"/>
    <w:rsid w:val="0003583F"/>
    <w:rsid w:val="000370C5"/>
    <w:rsid w:val="000375E9"/>
    <w:rsid w:val="00037623"/>
    <w:rsid w:val="00037D51"/>
    <w:rsid w:val="00040156"/>
    <w:rsid w:val="00041ECC"/>
    <w:rsid w:val="000421BE"/>
    <w:rsid w:val="00042413"/>
    <w:rsid w:val="00043F9F"/>
    <w:rsid w:val="00045235"/>
    <w:rsid w:val="00046117"/>
    <w:rsid w:val="00047770"/>
    <w:rsid w:val="00047D26"/>
    <w:rsid w:val="00047E2F"/>
    <w:rsid w:val="0005048A"/>
    <w:rsid w:val="00050510"/>
    <w:rsid w:val="00050661"/>
    <w:rsid w:val="000508D2"/>
    <w:rsid w:val="0005096E"/>
    <w:rsid w:val="00051D91"/>
    <w:rsid w:val="00052184"/>
    <w:rsid w:val="00053E58"/>
    <w:rsid w:val="00054A6B"/>
    <w:rsid w:val="00055501"/>
    <w:rsid w:val="00055CA0"/>
    <w:rsid w:val="00055DC7"/>
    <w:rsid w:val="00055FF3"/>
    <w:rsid w:val="00056133"/>
    <w:rsid w:val="000562DA"/>
    <w:rsid w:val="000567F3"/>
    <w:rsid w:val="000600A3"/>
    <w:rsid w:val="00060951"/>
    <w:rsid w:val="00060BE6"/>
    <w:rsid w:val="00061535"/>
    <w:rsid w:val="00061A28"/>
    <w:rsid w:val="00061DDC"/>
    <w:rsid w:val="00061F03"/>
    <w:rsid w:val="0006219F"/>
    <w:rsid w:val="00062D7E"/>
    <w:rsid w:val="000648D6"/>
    <w:rsid w:val="00064C12"/>
    <w:rsid w:val="00064D79"/>
    <w:rsid w:val="00065403"/>
    <w:rsid w:val="0006682D"/>
    <w:rsid w:val="000675B2"/>
    <w:rsid w:val="00067928"/>
    <w:rsid w:val="00067DDD"/>
    <w:rsid w:val="00070CD1"/>
    <w:rsid w:val="0007115F"/>
    <w:rsid w:val="0007188D"/>
    <w:rsid w:val="00071A82"/>
    <w:rsid w:val="00072785"/>
    <w:rsid w:val="000731DC"/>
    <w:rsid w:val="000751B0"/>
    <w:rsid w:val="00075D91"/>
    <w:rsid w:val="0007608E"/>
    <w:rsid w:val="00076681"/>
    <w:rsid w:val="00076A17"/>
    <w:rsid w:val="00077D3B"/>
    <w:rsid w:val="00083A21"/>
    <w:rsid w:val="00083DE2"/>
    <w:rsid w:val="000847AE"/>
    <w:rsid w:val="00085195"/>
    <w:rsid w:val="00087199"/>
    <w:rsid w:val="00087894"/>
    <w:rsid w:val="000927EA"/>
    <w:rsid w:val="00092978"/>
    <w:rsid w:val="00094001"/>
    <w:rsid w:val="00094D52"/>
    <w:rsid w:val="00095509"/>
    <w:rsid w:val="000961A0"/>
    <w:rsid w:val="00096C0F"/>
    <w:rsid w:val="00097686"/>
    <w:rsid w:val="000A12FE"/>
    <w:rsid w:val="000A192A"/>
    <w:rsid w:val="000A326D"/>
    <w:rsid w:val="000A4B11"/>
    <w:rsid w:val="000A4CF9"/>
    <w:rsid w:val="000A5DBB"/>
    <w:rsid w:val="000A634A"/>
    <w:rsid w:val="000A63A6"/>
    <w:rsid w:val="000A7C72"/>
    <w:rsid w:val="000B3C02"/>
    <w:rsid w:val="000B3C4F"/>
    <w:rsid w:val="000B4DC9"/>
    <w:rsid w:val="000B62D3"/>
    <w:rsid w:val="000B6530"/>
    <w:rsid w:val="000B7506"/>
    <w:rsid w:val="000B76C5"/>
    <w:rsid w:val="000C0678"/>
    <w:rsid w:val="000C08F0"/>
    <w:rsid w:val="000C0EBC"/>
    <w:rsid w:val="000C1BBD"/>
    <w:rsid w:val="000C2DE2"/>
    <w:rsid w:val="000C2E7F"/>
    <w:rsid w:val="000C3618"/>
    <w:rsid w:val="000C522E"/>
    <w:rsid w:val="000C5427"/>
    <w:rsid w:val="000C6EB8"/>
    <w:rsid w:val="000C734B"/>
    <w:rsid w:val="000D0FDB"/>
    <w:rsid w:val="000D1063"/>
    <w:rsid w:val="000D181C"/>
    <w:rsid w:val="000D3216"/>
    <w:rsid w:val="000D32A1"/>
    <w:rsid w:val="000D4667"/>
    <w:rsid w:val="000D6947"/>
    <w:rsid w:val="000D7742"/>
    <w:rsid w:val="000E0CF0"/>
    <w:rsid w:val="000E13E8"/>
    <w:rsid w:val="000E144B"/>
    <w:rsid w:val="000E18F3"/>
    <w:rsid w:val="000E3526"/>
    <w:rsid w:val="000E3799"/>
    <w:rsid w:val="000E541B"/>
    <w:rsid w:val="000F19DD"/>
    <w:rsid w:val="000F1CBA"/>
    <w:rsid w:val="000F1F13"/>
    <w:rsid w:val="000F23BE"/>
    <w:rsid w:val="000F4229"/>
    <w:rsid w:val="000F4252"/>
    <w:rsid w:val="000F4C35"/>
    <w:rsid w:val="00100276"/>
    <w:rsid w:val="00100EAC"/>
    <w:rsid w:val="00100F9B"/>
    <w:rsid w:val="0010234D"/>
    <w:rsid w:val="0010321A"/>
    <w:rsid w:val="001048AA"/>
    <w:rsid w:val="00105632"/>
    <w:rsid w:val="00105692"/>
    <w:rsid w:val="00106689"/>
    <w:rsid w:val="00106B87"/>
    <w:rsid w:val="00110C7A"/>
    <w:rsid w:val="0011644C"/>
    <w:rsid w:val="00116CF3"/>
    <w:rsid w:val="00117787"/>
    <w:rsid w:val="0012023F"/>
    <w:rsid w:val="001217DE"/>
    <w:rsid w:val="00121A46"/>
    <w:rsid w:val="00121C5D"/>
    <w:rsid w:val="001220F5"/>
    <w:rsid w:val="0012332A"/>
    <w:rsid w:val="00123AC7"/>
    <w:rsid w:val="00125FAC"/>
    <w:rsid w:val="00125FAF"/>
    <w:rsid w:val="00127152"/>
    <w:rsid w:val="00127BA4"/>
    <w:rsid w:val="001303FC"/>
    <w:rsid w:val="00131EA6"/>
    <w:rsid w:val="00132136"/>
    <w:rsid w:val="00132B74"/>
    <w:rsid w:val="00134535"/>
    <w:rsid w:val="00134901"/>
    <w:rsid w:val="00135436"/>
    <w:rsid w:val="00136729"/>
    <w:rsid w:val="001367F7"/>
    <w:rsid w:val="00136AC9"/>
    <w:rsid w:val="00136C29"/>
    <w:rsid w:val="001370BF"/>
    <w:rsid w:val="00140984"/>
    <w:rsid w:val="00140DEB"/>
    <w:rsid w:val="0014221A"/>
    <w:rsid w:val="00143D39"/>
    <w:rsid w:val="00145D52"/>
    <w:rsid w:val="00146863"/>
    <w:rsid w:val="001469CA"/>
    <w:rsid w:val="00147117"/>
    <w:rsid w:val="0014732A"/>
    <w:rsid w:val="001514E0"/>
    <w:rsid w:val="00153456"/>
    <w:rsid w:val="00153B77"/>
    <w:rsid w:val="00156386"/>
    <w:rsid w:val="00156856"/>
    <w:rsid w:val="00160412"/>
    <w:rsid w:val="0016051B"/>
    <w:rsid w:val="00160901"/>
    <w:rsid w:val="00160FB4"/>
    <w:rsid w:val="00161A44"/>
    <w:rsid w:val="00164659"/>
    <w:rsid w:val="00170831"/>
    <w:rsid w:val="001727C3"/>
    <w:rsid w:val="001730F3"/>
    <w:rsid w:val="00173A25"/>
    <w:rsid w:val="00173B21"/>
    <w:rsid w:val="001751C1"/>
    <w:rsid w:val="00175AE2"/>
    <w:rsid w:val="0017615F"/>
    <w:rsid w:val="0017724B"/>
    <w:rsid w:val="00177451"/>
    <w:rsid w:val="001779FE"/>
    <w:rsid w:val="0018077A"/>
    <w:rsid w:val="001825C0"/>
    <w:rsid w:val="001828B7"/>
    <w:rsid w:val="00182F2E"/>
    <w:rsid w:val="00183E15"/>
    <w:rsid w:val="00183F43"/>
    <w:rsid w:val="00184372"/>
    <w:rsid w:val="001854FD"/>
    <w:rsid w:val="0018654C"/>
    <w:rsid w:val="001875BD"/>
    <w:rsid w:val="001878BE"/>
    <w:rsid w:val="0019187E"/>
    <w:rsid w:val="001937ED"/>
    <w:rsid w:val="00195896"/>
    <w:rsid w:val="001A12A1"/>
    <w:rsid w:val="001A4915"/>
    <w:rsid w:val="001A6E71"/>
    <w:rsid w:val="001A7692"/>
    <w:rsid w:val="001B234A"/>
    <w:rsid w:val="001B2C8B"/>
    <w:rsid w:val="001B3B15"/>
    <w:rsid w:val="001B4A52"/>
    <w:rsid w:val="001B4BD6"/>
    <w:rsid w:val="001B4D08"/>
    <w:rsid w:val="001B5219"/>
    <w:rsid w:val="001B5E8D"/>
    <w:rsid w:val="001B6C31"/>
    <w:rsid w:val="001B7939"/>
    <w:rsid w:val="001B7A9E"/>
    <w:rsid w:val="001B7AF3"/>
    <w:rsid w:val="001C0F8A"/>
    <w:rsid w:val="001C3E1E"/>
    <w:rsid w:val="001C458B"/>
    <w:rsid w:val="001C67AF"/>
    <w:rsid w:val="001C6837"/>
    <w:rsid w:val="001C6FA5"/>
    <w:rsid w:val="001D149D"/>
    <w:rsid w:val="001D2773"/>
    <w:rsid w:val="001D5C54"/>
    <w:rsid w:val="001D61E3"/>
    <w:rsid w:val="001D61F2"/>
    <w:rsid w:val="001D630C"/>
    <w:rsid w:val="001D6396"/>
    <w:rsid w:val="001D662F"/>
    <w:rsid w:val="001D6F1B"/>
    <w:rsid w:val="001D6FD3"/>
    <w:rsid w:val="001E07CC"/>
    <w:rsid w:val="001E329B"/>
    <w:rsid w:val="001E41A4"/>
    <w:rsid w:val="001E6076"/>
    <w:rsid w:val="001E745F"/>
    <w:rsid w:val="001F019F"/>
    <w:rsid w:val="001F0646"/>
    <w:rsid w:val="001F0EBF"/>
    <w:rsid w:val="001F421D"/>
    <w:rsid w:val="001F431E"/>
    <w:rsid w:val="001F4A31"/>
    <w:rsid w:val="001F4D8A"/>
    <w:rsid w:val="001F6C51"/>
    <w:rsid w:val="001F6EA4"/>
    <w:rsid w:val="001F782A"/>
    <w:rsid w:val="001F7D55"/>
    <w:rsid w:val="002005B7"/>
    <w:rsid w:val="002010A5"/>
    <w:rsid w:val="00201367"/>
    <w:rsid w:val="00201D8B"/>
    <w:rsid w:val="00202CDB"/>
    <w:rsid w:val="00203B42"/>
    <w:rsid w:val="00204434"/>
    <w:rsid w:val="0020545B"/>
    <w:rsid w:val="00207466"/>
    <w:rsid w:val="0020791E"/>
    <w:rsid w:val="00207924"/>
    <w:rsid w:val="00207CD6"/>
    <w:rsid w:val="00210968"/>
    <w:rsid w:val="002116F8"/>
    <w:rsid w:val="00211F05"/>
    <w:rsid w:val="0021350D"/>
    <w:rsid w:val="002146A5"/>
    <w:rsid w:val="002154E3"/>
    <w:rsid w:val="002156DF"/>
    <w:rsid w:val="002167A4"/>
    <w:rsid w:val="00217132"/>
    <w:rsid w:val="00220064"/>
    <w:rsid w:val="002201F1"/>
    <w:rsid w:val="0022043A"/>
    <w:rsid w:val="0022076A"/>
    <w:rsid w:val="00221366"/>
    <w:rsid w:val="0022153A"/>
    <w:rsid w:val="00221603"/>
    <w:rsid w:val="00221EAE"/>
    <w:rsid w:val="002226C2"/>
    <w:rsid w:val="00223181"/>
    <w:rsid w:val="002243AD"/>
    <w:rsid w:val="00225D95"/>
    <w:rsid w:val="00225F89"/>
    <w:rsid w:val="00226FEE"/>
    <w:rsid w:val="00227CAD"/>
    <w:rsid w:val="0023093F"/>
    <w:rsid w:val="00230B52"/>
    <w:rsid w:val="00233ECB"/>
    <w:rsid w:val="00234C6A"/>
    <w:rsid w:val="002356A2"/>
    <w:rsid w:val="00235F86"/>
    <w:rsid w:val="00236D74"/>
    <w:rsid w:val="002374F3"/>
    <w:rsid w:val="0024109E"/>
    <w:rsid w:val="00241A54"/>
    <w:rsid w:val="00241E12"/>
    <w:rsid w:val="00242980"/>
    <w:rsid w:val="002432B6"/>
    <w:rsid w:val="00243642"/>
    <w:rsid w:val="0024386E"/>
    <w:rsid w:val="002469F9"/>
    <w:rsid w:val="002517CB"/>
    <w:rsid w:val="00251B99"/>
    <w:rsid w:val="00252419"/>
    <w:rsid w:val="00253B4F"/>
    <w:rsid w:val="00255349"/>
    <w:rsid w:val="0025696E"/>
    <w:rsid w:val="0025726B"/>
    <w:rsid w:val="00257A47"/>
    <w:rsid w:val="0026048C"/>
    <w:rsid w:val="00262C47"/>
    <w:rsid w:val="00264043"/>
    <w:rsid w:val="00264114"/>
    <w:rsid w:val="00264E61"/>
    <w:rsid w:val="00264F8B"/>
    <w:rsid w:val="00265093"/>
    <w:rsid w:val="002650C0"/>
    <w:rsid w:val="002652C2"/>
    <w:rsid w:val="00265BCE"/>
    <w:rsid w:val="0026670A"/>
    <w:rsid w:val="002670EB"/>
    <w:rsid w:val="00267641"/>
    <w:rsid w:val="00267B08"/>
    <w:rsid w:val="00270A4B"/>
    <w:rsid w:val="00271FB7"/>
    <w:rsid w:val="002729DB"/>
    <w:rsid w:val="00273BE2"/>
    <w:rsid w:val="00274020"/>
    <w:rsid w:val="00274226"/>
    <w:rsid w:val="0027504E"/>
    <w:rsid w:val="002757A9"/>
    <w:rsid w:val="002758E8"/>
    <w:rsid w:val="002766B4"/>
    <w:rsid w:val="00276EFE"/>
    <w:rsid w:val="00281A4A"/>
    <w:rsid w:val="0028283F"/>
    <w:rsid w:val="00283C8C"/>
    <w:rsid w:val="00283CEE"/>
    <w:rsid w:val="002841E9"/>
    <w:rsid w:val="00284F64"/>
    <w:rsid w:val="00285AAB"/>
    <w:rsid w:val="002875DB"/>
    <w:rsid w:val="00287A8B"/>
    <w:rsid w:val="002900CB"/>
    <w:rsid w:val="002908A1"/>
    <w:rsid w:val="00290E6B"/>
    <w:rsid w:val="00290F2F"/>
    <w:rsid w:val="0029782E"/>
    <w:rsid w:val="00297EF6"/>
    <w:rsid w:val="002A01B7"/>
    <w:rsid w:val="002A04DD"/>
    <w:rsid w:val="002A2200"/>
    <w:rsid w:val="002A3471"/>
    <w:rsid w:val="002A34BC"/>
    <w:rsid w:val="002A3F63"/>
    <w:rsid w:val="002A428E"/>
    <w:rsid w:val="002A7080"/>
    <w:rsid w:val="002A7206"/>
    <w:rsid w:val="002A76CC"/>
    <w:rsid w:val="002B0BC3"/>
    <w:rsid w:val="002B1369"/>
    <w:rsid w:val="002B39B5"/>
    <w:rsid w:val="002B4346"/>
    <w:rsid w:val="002B4B2A"/>
    <w:rsid w:val="002B5521"/>
    <w:rsid w:val="002B5DFC"/>
    <w:rsid w:val="002B6502"/>
    <w:rsid w:val="002B705B"/>
    <w:rsid w:val="002B79BD"/>
    <w:rsid w:val="002C0F9D"/>
    <w:rsid w:val="002C2190"/>
    <w:rsid w:val="002C2BA4"/>
    <w:rsid w:val="002C47F0"/>
    <w:rsid w:val="002C5FE9"/>
    <w:rsid w:val="002D0891"/>
    <w:rsid w:val="002D0A5E"/>
    <w:rsid w:val="002D2715"/>
    <w:rsid w:val="002D38DA"/>
    <w:rsid w:val="002D38F9"/>
    <w:rsid w:val="002D63DA"/>
    <w:rsid w:val="002D6C7C"/>
    <w:rsid w:val="002D6D22"/>
    <w:rsid w:val="002D7315"/>
    <w:rsid w:val="002D78E4"/>
    <w:rsid w:val="002D7ADA"/>
    <w:rsid w:val="002E0D86"/>
    <w:rsid w:val="002E1ED2"/>
    <w:rsid w:val="002E2673"/>
    <w:rsid w:val="002E36D4"/>
    <w:rsid w:val="002E48DF"/>
    <w:rsid w:val="002E4B69"/>
    <w:rsid w:val="002E4BC9"/>
    <w:rsid w:val="002E4C9D"/>
    <w:rsid w:val="002E5534"/>
    <w:rsid w:val="002E5F47"/>
    <w:rsid w:val="002E6969"/>
    <w:rsid w:val="002F1BCE"/>
    <w:rsid w:val="002F2ABE"/>
    <w:rsid w:val="002F436F"/>
    <w:rsid w:val="002F5229"/>
    <w:rsid w:val="002F542E"/>
    <w:rsid w:val="002F6088"/>
    <w:rsid w:val="002F6C18"/>
    <w:rsid w:val="002F70B4"/>
    <w:rsid w:val="002F71E2"/>
    <w:rsid w:val="002F75B5"/>
    <w:rsid w:val="0030017D"/>
    <w:rsid w:val="00300922"/>
    <w:rsid w:val="00303397"/>
    <w:rsid w:val="003066F0"/>
    <w:rsid w:val="0030773D"/>
    <w:rsid w:val="00307892"/>
    <w:rsid w:val="00307EA6"/>
    <w:rsid w:val="003100C6"/>
    <w:rsid w:val="003101B5"/>
    <w:rsid w:val="00310A7D"/>
    <w:rsid w:val="00311181"/>
    <w:rsid w:val="00311403"/>
    <w:rsid w:val="00311FF1"/>
    <w:rsid w:val="003121CB"/>
    <w:rsid w:val="00312364"/>
    <w:rsid w:val="00312BA4"/>
    <w:rsid w:val="00312E89"/>
    <w:rsid w:val="00313228"/>
    <w:rsid w:val="003132B0"/>
    <w:rsid w:val="00314A66"/>
    <w:rsid w:val="003200A8"/>
    <w:rsid w:val="00320A5F"/>
    <w:rsid w:val="0032240F"/>
    <w:rsid w:val="0032339E"/>
    <w:rsid w:val="003236BF"/>
    <w:rsid w:val="003246D5"/>
    <w:rsid w:val="00326EB2"/>
    <w:rsid w:val="0032702C"/>
    <w:rsid w:val="00330429"/>
    <w:rsid w:val="0033064E"/>
    <w:rsid w:val="0033124F"/>
    <w:rsid w:val="003313AC"/>
    <w:rsid w:val="00331452"/>
    <w:rsid w:val="00331FB4"/>
    <w:rsid w:val="00332D1C"/>
    <w:rsid w:val="00333A5D"/>
    <w:rsid w:val="00333C47"/>
    <w:rsid w:val="00334861"/>
    <w:rsid w:val="00334B22"/>
    <w:rsid w:val="003351E3"/>
    <w:rsid w:val="0033621A"/>
    <w:rsid w:val="00336C91"/>
    <w:rsid w:val="00341350"/>
    <w:rsid w:val="00341B9C"/>
    <w:rsid w:val="003423B1"/>
    <w:rsid w:val="0034348E"/>
    <w:rsid w:val="00343E3A"/>
    <w:rsid w:val="00344303"/>
    <w:rsid w:val="00344798"/>
    <w:rsid w:val="00344DBD"/>
    <w:rsid w:val="00346174"/>
    <w:rsid w:val="00346970"/>
    <w:rsid w:val="00347779"/>
    <w:rsid w:val="00347F9B"/>
    <w:rsid w:val="003500B2"/>
    <w:rsid w:val="003514E3"/>
    <w:rsid w:val="00351880"/>
    <w:rsid w:val="00352A02"/>
    <w:rsid w:val="00353011"/>
    <w:rsid w:val="003545EA"/>
    <w:rsid w:val="00354F1D"/>
    <w:rsid w:val="00357E23"/>
    <w:rsid w:val="0036072B"/>
    <w:rsid w:val="003616FA"/>
    <w:rsid w:val="00361B15"/>
    <w:rsid w:val="00361BC1"/>
    <w:rsid w:val="0036367F"/>
    <w:rsid w:val="00364885"/>
    <w:rsid w:val="00364D0A"/>
    <w:rsid w:val="00365D45"/>
    <w:rsid w:val="00366494"/>
    <w:rsid w:val="003665B3"/>
    <w:rsid w:val="00366B5D"/>
    <w:rsid w:val="003672C6"/>
    <w:rsid w:val="00367F17"/>
    <w:rsid w:val="00370A11"/>
    <w:rsid w:val="00370AAF"/>
    <w:rsid w:val="00371B0D"/>
    <w:rsid w:val="00372DDE"/>
    <w:rsid w:val="00373987"/>
    <w:rsid w:val="003739C2"/>
    <w:rsid w:val="00373A05"/>
    <w:rsid w:val="003743C1"/>
    <w:rsid w:val="00374738"/>
    <w:rsid w:val="0037514D"/>
    <w:rsid w:val="00375B65"/>
    <w:rsid w:val="00376622"/>
    <w:rsid w:val="00380B90"/>
    <w:rsid w:val="00380D3E"/>
    <w:rsid w:val="00381C5C"/>
    <w:rsid w:val="00382C24"/>
    <w:rsid w:val="00384552"/>
    <w:rsid w:val="00387DA8"/>
    <w:rsid w:val="00390310"/>
    <w:rsid w:val="00390A56"/>
    <w:rsid w:val="00391A00"/>
    <w:rsid w:val="003926BA"/>
    <w:rsid w:val="003943A0"/>
    <w:rsid w:val="00396293"/>
    <w:rsid w:val="003975D9"/>
    <w:rsid w:val="00397E45"/>
    <w:rsid w:val="003A1081"/>
    <w:rsid w:val="003A24A5"/>
    <w:rsid w:val="003A33D5"/>
    <w:rsid w:val="003A6164"/>
    <w:rsid w:val="003A67AD"/>
    <w:rsid w:val="003A79A3"/>
    <w:rsid w:val="003B1200"/>
    <w:rsid w:val="003B1A09"/>
    <w:rsid w:val="003B2729"/>
    <w:rsid w:val="003B2837"/>
    <w:rsid w:val="003B3245"/>
    <w:rsid w:val="003B356B"/>
    <w:rsid w:val="003B3AD9"/>
    <w:rsid w:val="003B4D8C"/>
    <w:rsid w:val="003B6DD9"/>
    <w:rsid w:val="003B7FC8"/>
    <w:rsid w:val="003C1861"/>
    <w:rsid w:val="003C2696"/>
    <w:rsid w:val="003C3CD0"/>
    <w:rsid w:val="003C4D76"/>
    <w:rsid w:val="003C5239"/>
    <w:rsid w:val="003D0201"/>
    <w:rsid w:val="003D0DD3"/>
    <w:rsid w:val="003D1A94"/>
    <w:rsid w:val="003D1C09"/>
    <w:rsid w:val="003D2B71"/>
    <w:rsid w:val="003D38F8"/>
    <w:rsid w:val="003D66E6"/>
    <w:rsid w:val="003D72D2"/>
    <w:rsid w:val="003D7F6A"/>
    <w:rsid w:val="003E090F"/>
    <w:rsid w:val="003E1FBA"/>
    <w:rsid w:val="003E31D3"/>
    <w:rsid w:val="003E4D49"/>
    <w:rsid w:val="003E4EEE"/>
    <w:rsid w:val="003E55FC"/>
    <w:rsid w:val="003E5879"/>
    <w:rsid w:val="003E631F"/>
    <w:rsid w:val="003E6A3E"/>
    <w:rsid w:val="003E729A"/>
    <w:rsid w:val="003F000B"/>
    <w:rsid w:val="003F0102"/>
    <w:rsid w:val="003F0C01"/>
    <w:rsid w:val="003F1075"/>
    <w:rsid w:val="003F124E"/>
    <w:rsid w:val="003F1EFB"/>
    <w:rsid w:val="003F3316"/>
    <w:rsid w:val="003F341D"/>
    <w:rsid w:val="003F363F"/>
    <w:rsid w:val="003F3EA2"/>
    <w:rsid w:val="003F4F2B"/>
    <w:rsid w:val="003F588F"/>
    <w:rsid w:val="003F66FA"/>
    <w:rsid w:val="003F7752"/>
    <w:rsid w:val="004001AF"/>
    <w:rsid w:val="004006F7"/>
    <w:rsid w:val="004024AB"/>
    <w:rsid w:val="00402B64"/>
    <w:rsid w:val="00403F64"/>
    <w:rsid w:val="00404C3B"/>
    <w:rsid w:val="004051E4"/>
    <w:rsid w:val="004055FA"/>
    <w:rsid w:val="00405AEF"/>
    <w:rsid w:val="004060F2"/>
    <w:rsid w:val="00406333"/>
    <w:rsid w:val="00407B03"/>
    <w:rsid w:val="00407F0D"/>
    <w:rsid w:val="00411432"/>
    <w:rsid w:val="00411F34"/>
    <w:rsid w:val="00413CFB"/>
    <w:rsid w:val="00414E88"/>
    <w:rsid w:val="00416A7A"/>
    <w:rsid w:val="00420293"/>
    <w:rsid w:val="004212DC"/>
    <w:rsid w:val="0042314F"/>
    <w:rsid w:val="00423250"/>
    <w:rsid w:val="00425DC0"/>
    <w:rsid w:val="0042682B"/>
    <w:rsid w:val="00426F67"/>
    <w:rsid w:val="00431C0A"/>
    <w:rsid w:val="00433F17"/>
    <w:rsid w:val="00434928"/>
    <w:rsid w:val="00435080"/>
    <w:rsid w:val="004358D5"/>
    <w:rsid w:val="00436527"/>
    <w:rsid w:val="00436AFE"/>
    <w:rsid w:val="00441020"/>
    <w:rsid w:val="004423A2"/>
    <w:rsid w:val="00442ED4"/>
    <w:rsid w:val="00444CF7"/>
    <w:rsid w:val="00446956"/>
    <w:rsid w:val="00451047"/>
    <w:rsid w:val="004512B5"/>
    <w:rsid w:val="004514E6"/>
    <w:rsid w:val="004523E9"/>
    <w:rsid w:val="00454361"/>
    <w:rsid w:val="0045515F"/>
    <w:rsid w:val="00455890"/>
    <w:rsid w:val="00456BFD"/>
    <w:rsid w:val="004570AC"/>
    <w:rsid w:val="004576A2"/>
    <w:rsid w:val="0046021F"/>
    <w:rsid w:val="0046052B"/>
    <w:rsid w:val="004612A0"/>
    <w:rsid w:val="00461F70"/>
    <w:rsid w:val="004622B5"/>
    <w:rsid w:val="0046298C"/>
    <w:rsid w:val="00462B4B"/>
    <w:rsid w:val="00463651"/>
    <w:rsid w:val="00463CC9"/>
    <w:rsid w:val="00464716"/>
    <w:rsid w:val="004652DC"/>
    <w:rsid w:val="00465D11"/>
    <w:rsid w:val="00466A6D"/>
    <w:rsid w:val="004674DD"/>
    <w:rsid w:val="00467BEE"/>
    <w:rsid w:val="00470C0B"/>
    <w:rsid w:val="0047308B"/>
    <w:rsid w:val="004731EC"/>
    <w:rsid w:val="00473A84"/>
    <w:rsid w:val="0047411D"/>
    <w:rsid w:val="0047475B"/>
    <w:rsid w:val="00475C94"/>
    <w:rsid w:val="00476AA8"/>
    <w:rsid w:val="00477C22"/>
    <w:rsid w:val="00477FF8"/>
    <w:rsid w:val="00480A1D"/>
    <w:rsid w:val="00480B59"/>
    <w:rsid w:val="00480CE3"/>
    <w:rsid w:val="00482AEF"/>
    <w:rsid w:val="00482FFA"/>
    <w:rsid w:val="00484425"/>
    <w:rsid w:val="00484501"/>
    <w:rsid w:val="00484595"/>
    <w:rsid w:val="00484C3F"/>
    <w:rsid w:val="00485C15"/>
    <w:rsid w:val="00491188"/>
    <w:rsid w:val="004934AA"/>
    <w:rsid w:val="00494088"/>
    <w:rsid w:val="00494138"/>
    <w:rsid w:val="00495413"/>
    <w:rsid w:val="004959E9"/>
    <w:rsid w:val="0049627A"/>
    <w:rsid w:val="00496E0C"/>
    <w:rsid w:val="004977CD"/>
    <w:rsid w:val="00497937"/>
    <w:rsid w:val="004A071E"/>
    <w:rsid w:val="004A1F28"/>
    <w:rsid w:val="004A2FBB"/>
    <w:rsid w:val="004A3971"/>
    <w:rsid w:val="004A4FFF"/>
    <w:rsid w:val="004A627D"/>
    <w:rsid w:val="004A6E4D"/>
    <w:rsid w:val="004A748A"/>
    <w:rsid w:val="004B086E"/>
    <w:rsid w:val="004B2392"/>
    <w:rsid w:val="004B4467"/>
    <w:rsid w:val="004B5E0F"/>
    <w:rsid w:val="004C0840"/>
    <w:rsid w:val="004C3C9A"/>
    <w:rsid w:val="004C4627"/>
    <w:rsid w:val="004C48A0"/>
    <w:rsid w:val="004C62DD"/>
    <w:rsid w:val="004C643E"/>
    <w:rsid w:val="004C64DC"/>
    <w:rsid w:val="004C6776"/>
    <w:rsid w:val="004C67A4"/>
    <w:rsid w:val="004C6CF7"/>
    <w:rsid w:val="004D0346"/>
    <w:rsid w:val="004D12D3"/>
    <w:rsid w:val="004D2B8F"/>
    <w:rsid w:val="004D33DA"/>
    <w:rsid w:val="004D3831"/>
    <w:rsid w:val="004D4878"/>
    <w:rsid w:val="004D49FD"/>
    <w:rsid w:val="004D6917"/>
    <w:rsid w:val="004D702A"/>
    <w:rsid w:val="004E0087"/>
    <w:rsid w:val="004E086E"/>
    <w:rsid w:val="004E131E"/>
    <w:rsid w:val="004E2AD4"/>
    <w:rsid w:val="004E2F69"/>
    <w:rsid w:val="004E3002"/>
    <w:rsid w:val="004E6186"/>
    <w:rsid w:val="004E7FA8"/>
    <w:rsid w:val="004F1084"/>
    <w:rsid w:val="004F23CB"/>
    <w:rsid w:val="004F3B34"/>
    <w:rsid w:val="004F5017"/>
    <w:rsid w:val="004F5A3B"/>
    <w:rsid w:val="004F686C"/>
    <w:rsid w:val="004F7614"/>
    <w:rsid w:val="005009EB"/>
    <w:rsid w:val="00501FB8"/>
    <w:rsid w:val="005039CC"/>
    <w:rsid w:val="00504240"/>
    <w:rsid w:val="005047C9"/>
    <w:rsid w:val="00504F9A"/>
    <w:rsid w:val="005056E9"/>
    <w:rsid w:val="00505E71"/>
    <w:rsid w:val="00505EF3"/>
    <w:rsid w:val="00510812"/>
    <w:rsid w:val="00510E61"/>
    <w:rsid w:val="00511BDA"/>
    <w:rsid w:val="00513813"/>
    <w:rsid w:val="00513B0E"/>
    <w:rsid w:val="00513E22"/>
    <w:rsid w:val="005142B3"/>
    <w:rsid w:val="005144FA"/>
    <w:rsid w:val="00514DDD"/>
    <w:rsid w:val="0051586D"/>
    <w:rsid w:val="00515A6B"/>
    <w:rsid w:val="00517EBB"/>
    <w:rsid w:val="005219AB"/>
    <w:rsid w:val="00521A4B"/>
    <w:rsid w:val="00522408"/>
    <w:rsid w:val="00524377"/>
    <w:rsid w:val="00525114"/>
    <w:rsid w:val="00526230"/>
    <w:rsid w:val="0052748F"/>
    <w:rsid w:val="00527A0B"/>
    <w:rsid w:val="005303FD"/>
    <w:rsid w:val="005305A9"/>
    <w:rsid w:val="00530E5E"/>
    <w:rsid w:val="00532B8D"/>
    <w:rsid w:val="005360B2"/>
    <w:rsid w:val="00536492"/>
    <w:rsid w:val="0053650F"/>
    <w:rsid w:val="00536B16"/>
    <w:rsid w:val="00536C0B"/>
    <w:rsid w:val="005376D6"/>
    <w:rsid w:val="0054068E"/>
    <w:rsid w:val="00541287"/>
    <w:rsid w:val="00542242"/>
    <w:rsid w:val="00544B19"/>
    <w:rsid w:val="00544DFF"/>
    <w:rsid w:val="00544E4A"/>
    <w:rsid w:val="005463AC"/>
    <w:rsid w:val="00546634"/>
    <w:rsid w:val="0054674E"/>
    <w:rsid w:val="00547F48"/>
    <w:rsid w:val="00550C82"/>
    <w:rsid w:val="0055283A"/>
    <w:rsid w:val="0055637B"/>
    <w:rsid w:val="00557B45"/>
    <w:rsid w:val="00557BDD"/>
    <w:rsid w:val="00557CF0"/>
    <w:rsid w:val="00560283"/>
    <w:rsid w:val="00561047"/>
    <w:rsid w:val="00561125"/>
    <w:rsid w:val="00561746"/>
    <w:rsid w:val="0056178A"/>
    <w:rsid w:val="00561958"/>
    <w:rsid w:val="00561D30"/>
    <w:rsid w:val="00561DDF"/>
    <w:rsid w:val="00561E2C"/>
    <w:rsid w:val="00562262"/>
    <w:rsid w:val="0056244C"/>
    <w:rsid w:val="00562552"/>
    <w:rsid w:val="005629DD"/>
    <w:rsid w:val="005632BB"/>
    <w:rsid w:val="00564620"/>
    <w:rsid w:val="00565722"/>
    <w:rsid w:val="00565B0F"/>
    <w:rsid w:val="005666DF"/>
    <w:rsid w:val="005675EE"/>
    <w:rsid w:val="005679FD"/>
    <w:rsid w:val="005701AB"/>
    <w:rsid w:val="0057154A"/>
    <w:rsid w:val="0057160C"/>
    <w:rsid w:val="00571E0C"/>
    <w:rsid w:val="00572045"/>
    <w:rsid w:val="00572050"/>
    <w:rsid w:val="00572473"/>
    <w:rsid w:val="00572D56"/>
    <w:rsid w:val="00573090"/>
    <w:rsid w:val="005732CC"/>
    <w:rsid w:val="0057489D"/>
    <w:rsid w:val="00574D02"/>
    <w:rsid w:val="005757CA"/>
    <w:rsid w:val="005758D7"/>
    <w:rsid w:val="00577C2D"/>
    <w:rsid w:val="00580A32"/>
    <w:rsid w:val="005811E3"/>
    <w:rsid w:val="00581D00"/>
    <w:rsid w:val="00582E4B"/>
    <w:rsid w:val="005835D3"/>
    <w:rsid w:val="00585626"/>
    <w:rsid w:val="00585A9A"/>
    <w:rsid w:val="0058650E"/>
    <w:rsid w:val="005868F3"/>
    <w:rsid w:val="005869D3"/>
    <w:rsid w:val="00586DF0"/>
    <w:rsid w:val="005874CF"/>
    <w:rsid w:val="0059259E"/>
    <w:rsid w:val="005929B9"/>
    <w:rsid w:val="00593986"/>
    <w:rsid w:val="00594B46"/>
    <w:rsid w:val="0059582D"/>
    <w:rsid w:val="00595A23"/>
    <w:rsid w:val="00595AF0"/>
    <w:rsid w:val="005961C5"/>
    <w:rsid w:val="00596AC1"/>
    <w:rsid w:val="00596C8A"/>
    <w:rsid w:val="005975E6"/>
    <w:rsid w:val="00597C43"/>
    <w:rsid w:val="005A0641"/>
    <w:rsid w:val="005A0C77"/>
    <w:rsid w:val="005A1039"/>
    <w:rsid w:val="005A23D1"/>
    <w:rsid w:val="005A2703"/>
    <w:rsid w:val="005A3AFD"/>
    <w:rsid w:val="005A3F8F"/>
    <w:rsid w:val="005A5EEE"/>
    <w:rsid w:val="005A6209"/>
    <w:rsid w:val="005B02FA"/>
    <w:rsid w:val="005B1F16"/>
    <w:rsid w:val="005B24AA"/>
    <w:rsid w:val="005B2B22"/>
    <w:rsid w:val="005B3F3D"/>
    <w:rsid w:val="005B41F5"/>
    <w:rsid w:val="005B4B71"/>
    <w:rsid w:val="005B50EB"/>
    <w:rsid w:val="005B5E0C"/>
    <w:rsid w:val="005B68ED"/>
    <w:rsid w:val="005B7DB6"/>
    <w:rsid w:val="005C0667"/>
    <w:rsid w:val="005C0EFC"/>
    <w:rsid w:val="005C33FE"/>
    <w:rsid w:val="005C375E"/>
    <w:rsid w:val="005C44A5"/>
    <w:rsid w:val="005C5B68"/>
    <w:rsid w:val="005C5BA2"/>
    <w:rsid w:val="005D09E4"/>
    <w:rsid w:val="005D111C"/>
    <w:rsid w:val="005D2ABB"/>
    <w:rsid w:val="005D37E6"/>
    <w:rsid w:val="005D50CF"/>
    <w:rsid w:val="005D5B77"/>
    <w:rsid w:val="005D623C"/>
    <w:rsid w:val="005D7E14"/>
    <w:rsid w:val="005D7F9C"/>
    <w:rsid w:val="005E0B14"/>
    <w:rsid w:val="005E11BD"/>
    <w:rsid w:val="005E21BE"/>
    <w:rsid w:val="005E22AB"/>
    <w:rsid w:val="005E26C6"/>
    <w:rsid w:val="005E2CD8"/>
    <w:rsid w:val="005E32B7"/>
    <w:rsid w:val="005E45F4"/>
    <w:rsid w:val="005E4832"/>
    <w:rsid w:val="005E4C0D"/>
    <w:rsid w:val="005E4D11"/>
    <w:rsid w:val="005E6786"/>
    <w:rsid w:val="005E7A33"/>
    <w:rsid w:val="005F042E"/>
    <w:rsid w:val="005F07E1"/>
    <w:rsid w:val="005F32F5"/>
    <w:rsid w:val="005F3EB8"/>
    <w:rsid w:val="005F4B7A"/>
    <w:rsid w:val="005F6402"/>
    <w:rsid w:val="005F7A2E"/>
    <w:rsid w:val="00600661"/>
    <w:rsid w:val="00600675"/>
    <w:rsid w:val="00600BA6"/>
    <w:rsid w:val="00600F84"/>
    <w:rsid w:val="00603BC0"/>
    <w:rsid w:val="00604080"/>
    <w:rsid w:val="006043BA"/>
    <w:rsid w:val="0060588A"/>
    <w:rsid w:val="006071EE"/>
    <w:rsid w:val="00607235"/>
    <w:rsid w:val="006075AA"/>
    <w:rsid w:val="00607C5D"/>
    <w:rsid w:val="00610CD9"/>
    <w:rsid w:val="006111FB"/>
    <w:rsid w:val="00611506"/>
    <w:rsid w:val="00611884"/>
    <w:rsid w:val="0061204A"/>
    <w:rsid w:val="00613866"/>
    <w:rsid w:val="006149AE"/>
    <w:rsid w:val="006159B7"/>
    <w:rsid w:val="006173F7"/>
    <w:rsid w:val="006216E5"/>
    <w:rsid w:val="006225DD"/>
    <w:rsid w:val="00622622"/>
    <w:rsid w:val="00622B05"/>
    <w:rsid w:val="00623BA5"/>
    <w:rsid w:val="00624204"/>
    <w:rsid w:val="006251FC"/>
    <w:rsid w:val="006264A3"/>
    <w:rsid w:val="00626DF5"/>
    <w:rsid w:val="00627495"/>
    <w:rsid w:val="00631956"/>
    <w:rsid w:val="00632085"/>
    <w:rsid w:val="00632BDD"/>
    <w:rsid w:val="00633485"/>
    <w:rsid w:val="00633CC5"/>
    <w:rsid w:val="0063427C"/>
    <w:rsid w:val="0063502F"/>
    <w:rsid w:val="00636265"/>
    <w:rsid w:val="00636A34"/>
    <w:rsid w:val="00636DA8"/>
    <w:rsid w:val="00637351"/>
    <w:rsid w:val="006402BB"/>
    <w:rsid w:val="006407EC"/>
    <w:rsid w:val="00640D79"/>
    <w:rsid w:val="00641037"/>
    <w:rsid w:val="006419FC"/>
    <w:rsid w:val="006424EA"/>
    <w:rsid w:val="006427C3"/>
    <w:rsid w:val="006443BE"/>
    <w:rsid w:val="00645126"/>
    <w:rsid w:val="0064754C"/>
    <w:rsid w:val="00650209"/>
    <w:rsid w:val="006506EE"/>
    <w:rsid w:val="00652247"/>
    <w:rsid w:val="006525B3"/>
    <w:rsid w:val="0065299E"/>
    <w:rsid w:val="00653387"/>
    <w:rsid w:val="00654000"/>
    <w:rsid w:val="0065432E"/>
    <w:rsid w:val="006544B5"/>
    <w:rsid w:val="00654751"/>
    <w:rsid w:val="00655829"/>
    <w:rsid w:val="00655855"/>
    <w:rsid w:val="0065734C"/>
    <w:rsid w:val="006577D0"/>
    <w:rsid w:val="0065790F"/>
    <w:rsid w:val="0066015E"/>
    <w:rsid w:val="00660366"/>
    <w:rsid w:val="00660CA7"/>
    <w:rsid w:val="00661EE2"/>
    <w:rsid w:val="00665776"/>
    <w:rsid w:val="006662AC"/>
    <w:rsid w:val="006676C4"/>
    <w:rsid w:val="0066779D"/>
    <w:rsid w:val="006677A3"/>
    <w:rsid w:val="006706AD"/>
    <w:rsid w:val="00670DF2"/>
    <w:rsid w:val="00671642"/>
    <w:rsid w:val="0067164B"/>
    <w:rsid w:val="00671755"/>
    <w:rsid w:val="00671FE5"/>
    <w:rsid w:val="00672D2B"/>
    <w:rsid w:val="006731E5"/>
    <w:rsid w:val="0067350A"/>
    <w:rsid w:val="00673563"/>
    <w:rsid w:val="006755C1"/>
    <w:rsid w:val="00675828"/>
    <w:rsid w:val="00676E37"/>
    <w:rsid w:val="00677AEE"/>
    <w:rsid w:val="0068170B"/>
    <w:rsid w:val="0068235A"/>
    <w:rsid w:val="00682641"/>
    <w:rsid w:val="00683477"/>
    <w:rsid w:val="0068449F"/>
    <w:rsid w:val="006850A7"/>
    <w:rsid w:val="00685DE8"/>
    <w:rsid w:val="00685DE9"/>
    <w:rsid w:val="00686440"/>
    <w:rsid w:val="0068649A"/>
    <w:rsid w:val="00686643"/>
    <w:rsid w:val="00686F4A"/>
    <w:rsid w:val="00687AB7"/>
    <w:rsid w:val="00690936"/>
    <w:rsid w:val="00691D72"/>
    <w:rsid w:val="00691D96"/>
    <w:rsid w:val="00692662"/>
    <w:rsid w:val="006931AE"/>
    <w:rsid w:val="0069350A"/>
    <w:rsid w:val="00693E82"/>
    <w:rsid w:val="0069568B"/>
    <w:rsid w:val="006977A5"/>
    <w:rsid w:val="006A0383"/>
    <w:rsid w:val="006A0D99"/>
    <w:rsid w:val="006A1AF6"/>
    <w:rsid w:val="006A1DCF"/>
    <w:rsid w:val="006A206A"/>
    <w:rsid w:val="006A2EF6"/>
    <w:rsid w:val="006A3498"/>
    <w:rsid w:val="006A4036"/>
    <w:rsid w:val="006A406C"/>
    <w:rsid w:val="006A4984"/>
    <w:rsid w:val="006A4BD4"/>
    <w:rsid w:val="006A51F7"/>
    <w:rsid w:val="006A53E4"/>
    <w:rsid w:val="006A567B"/>
    <w:rsid w:val="006A593C"/>
    <w:rsid w:val="006A6547"/>
    <w:rsid w:val="006A751C"/>
    <w:rsid w:val="006B04D9"/>
    <w:rsid w:val="006B0724"/>
    <w:rsid w:val="006B0D3C"/>
    <w:rsid w:val="006B1C6B"/>
    <w:rsid w:val="006B4456"/>
    <w:rsid w:val="006B4E53"/>
    <w:rsid w:val="006B616F"/>
    <w:rsid w:val="006C01AF"/>
    <w:rsid w:val="006C0655"/>
    <w:rsid w:val="006C136F"/>
    <w:rsid w:val="006C15E8"/>
    <w:rsid w:val="006C24C9"/>
    <w:rsid w:val="006C5C12"/>
    <w:rsid w:val="006C7635"/>
    <w:rsid w:val="006C7F19"/>
    <w:rsid w:val="006D0425"/>
    <w:rsid w:val="006D04C8"/>
    <w:rsid w:val="006D11A3"/>
    <w:rsid w:val="006D1687"/>
    <w:rsid w:val="006D1E7C"/>
    <w:rsid w:val="006D20F9"/>
    <w:rsid w:val="006D2395"/>
    <w:rsid w:val="006D39C9"/>
    <w:rsid w:val="006D5368"/>
    <w:rsid w:val="006D5645"/>
    <w:rsid w:val="006D67FB"/>
    <w:rsid w:val="006E25E3"/>
    <w:rsid w:val="006E284F"/>
    <w:rsid w:val="006E2D97"/>
    <w:rsid w:val="006E421A"/>
    <w:rsid w:val="006E5661"/>
    <w:rsid w:val="006E5EBF"/>
    <w:rsid w:val="006E76EE"/>
    <w:rsid w:val="006F0381"/>
    <w:rsid w:val="006F29A9"/>
    <w:rsid w:val="006F5FC5"/>
    <w:rsid w:val="007000CC"/>
    <w:rsid w:val="0070020D"/>
    <w:rsid w:val="00703C4A"/>
    <w:rsid w:val="00704FDC"/>
    <w:rsid w:val="0070543F"/>
    <w:rsid w:val="00705DBE"/>
    <w:rsid w:val="00705F9F"/>
    <w:rsid w:val="007078E9"/>
    <w:rsid w:val="00710748"/>
    <w:rsid w:val="00710A25"/>
    <w:rsid w:val="00710D44"/>
    <w:rsid w:val="00711A08"/>
    <w:rsid w:val="00712885"/>
    <w:rsid w:val="00713623"/>
    <w:rsid w:val="00713DC3"/>
    <w:rsid w:val="00713F40"/>
    <w:rsid w:val="00714684"/>
    <w:rsid w:val="00716B8D"/>
    <w:rsid w:val="00717C87"/>
    <w:rsid w:val="0072015B"/>
    <w:rsid w:val="00720EC5"/>
    <w:rsid w:val="00722B9E"/>
    <w:rsid w:val="00722EAA"/>
    <w:rsid w:val="0072348F"/>
    <w:rsid w:val="00723CDC"/>
    <w:rsid w:val="007258A6"/>
    <w:rsid w:val="00725A16"/>
    <w:rsid w:val="007262CF"/>
    <w:rsid w:val="00733563"/>
    <w:rsid w:val="00733618"/>
    <w:rsid w:val="00735068"/>
    <w:rsid w:val="007361C6"/>
    <w:rsid w:val="00736923"/>
    <w:rsid w:val="00736D29"/>
    <w:rsid w:val="00737292"/>
    <w:rsid w:val="007377FE"/>
    <w:rsid w:val="007401E5"/>
    <w:rsid w:val="0074070D"/>
    <w:rsid w:val="00741C25"/>
    <w:rsid w:val="00741C6E"/>
    <w:rsid w:val="0074414F"/>
    <w:rsid w:val="0074524B"/>
    <w:rsid w:val="00745258"/>
    <w:rsid w:val="007454CC"/>
    <w:rsid w:val="0074550A"/>
    <w:rsid w:val="007455CF"/>
    <w:rsid w:val="007458DD"/>
    <w:rsid w:val="00745AC4"/>
    <w:rsid w:val="00747C66"/>
    <w:rsid w:val="00750BC4"/>
    <w:rsid w:val="00753704"/>
    <w:rsid w:val="00753C36"/>
    <w:rsid w:val="0075464A"/>
    <w:rsid w:val="007566C4"/>
    <w:rsid w:val="0075764B"/>
    <w:rsid w:val="007578FE"/>
    <w:rsid w:val="00757962"/>
    <w:rsid w:val="0076081A"/>
    <w:rsid w:val="007613A5"/>
    <w:rsid w:val="00763142"/>
    <w:rsid w:val="00765C84"/>
    <w:rsid w:val="00766A78"/>
    <w:rsid w:val="00766E83"/>
    <w:rsid w:val="0076764C"/>
    <w:rsid w:val="0077307F"/>
    <w:rsid w:val="0077332E"/>
    <w:rsid w:val="00774706"/>
    <w:rsid w:val="007750B2"/>
    <w:rsid w:val="007755F8"/>
    <w:rsid w:val="00777311"/>
    <w:rsid w:val="00777522"/>
    <w:rsid w:val="0078016C"/>
    <w:rsid w:val="0078197D"/>
    <w:rsid w:val="00781CC3"/>
    <w:rsid w:val="0078240B"/>
    <w:rsid w:val="007824B9"/>
    <w:rsid w:val="00783C55"/>
    <w:rsid w:val="00783EDA"/>
    <w:rsid w:val="007846AC"/>
    <w:rsid w:val="0078504E"/>
    <w:rsid w:val="0078677B"/>
    <w:rsid w:val="00786E3B"/>
    <w:rsid w:val="007907DE"/>
    <w:rsid w:val="00791A2F"/>
    <w:rsid w:val="0079204D"/>
    <w:rsid w:val="00792106"/>
    <w:rsid w:val="00792395"/>
    <w:rsid w:val="00792663"/>
    <w:rsid w:val="007932C5"/>
    <w:rsid w:val="00793978"/>
    <w:rsid w:val="007942AF"/>
    <w:rsid w:val="00796ACB"/>
    <w:rsid w:val="007A2213"/>
    <w:rsid w:val="007A270A"/>
    <w:rsid w:val="007A394E"/>
    <w:rsid w:val="007A39EC"/>
    <w:rsid w:val="007A4B0E"/>
    <w:rsid w:val="007A521A"/>
    <w:rsid w:val="007A60A0"/>
    <w:rsid w:val="007A642F"/>
    <w:rsid w:val="007A6642"/>
    <w:rsid w:val="007A6F6A"/>
    <w:rsid w:val="007A7E11"/>
    <w:rsid w:val="007B08DF"/>
    <w:rsid w:val="007B1815"/>
    <w:rsid w:val="007B181B"/>
    <w:rsid w:val="007B3C56"/>
    <w:rsid w:val="007B3E53"/>
    <w:rsid w:val="007B5CD5"/>
    <w:rsid w:val="007B6287"/>
    <w:rsid w:val="007B67E9"/>
    <w:rsid w:val="007C16F6"/>
    <w:rsid w:val="007C1760"/>
    <w:rsid w:val="007C1865"/>
    <w:rsid w:val="007C3ACA"/>
    <w:rsid w:val="007C3E4F"/>
    <w:rsid w:val="007C457A"/>
    <w:rsid w:val="007C4870"/>
    <w:rsid w:val="007C60FF"/>
    <w:rsid w:val="007D0172"/>
    <w:rsid w:val="007D06B1"/>
    <w:rsid w:val="007D332F"/>
    <w:rsid w:val="007D47A6"/>
    <w:rsid w:val="007D5952"/>
    <w:rsid w:val="007D5EC2"/>
    <w:rsid w:val="007D649C"/>
    <w:rsid w:val="007D65C2"/>
    <w:rsid w:val="007D6A04"/>
    <w:rsid w:val="007D7CCF"/>
    <w:rsid w:val="007E04E3"/>
    <w:rsid w:val="007E1CFA"/>
    <w:rsid w:val="007E1F33"/>
    <w:rsid w:val="007E27BC"/>
    <w:rsid w:val="007E324D"/>
    <w:rsid w:val="007E3BF5"/>
    <w:rsid w:val="007E3D32"/>
    <w:rsid w:val="007E3F74"/>
    <w:rsid w:val="007E50CE"/>
    <w:rsid w:val="007E7195"/>
    <w:rsid w:val="007E7463"/>
    <w:rsid w:val="007E76F6"/>
    <w:rsid w:val="007F016F"/>
    <w:rsid w:val="007F0177"/>
    <w:rsid w:val="007F022A"/>
    <w:rsid w:val="007F0B05"/>
    <w:rsid w:val="007F0DEA"/>
    <w:rsid w:val="007F1613"/>
    <w:rsid w:val="007F182A"/>
    <w:rsid w:val="007F1EC7"/>
    <w:rsid w:val="007F2156"/>
    <w:rsid w:val="007F3DB6"/>
    <w:rsid w:val="007F59B5"/>
    <w:rsid w:val="007F64BB"/>
    <w:rsid w:val="007F71ED"/>
    <w:rsid w:val="007F7BF9"/>
    <w:rsid w:val="00802671"/>
    <w:rsid w:val="00803ED7"/>
    <w:rsid w:val="00803F94"/>
    <w:rsid w:val="00804A26"/>
    <w:rsid w:val="00804AF3"/>
    <w:rsid w:val="008052A8"/>
    <w:rsid w:val="00805657"/>
    <w:rsid w:val="00806930"/>
    <w:rsid w:val="0080762E"/>
    <w:rsid w:val="00810BE2"/>
    <w:rsid w:val="00810D2F"/>
    <w:rsid w:val="00812584"/>
    <w:rsid w:val="008131B5"/>
    <w:rsid w:val="00815172"/>
    <w:rsid w:val="00815252"/>
    <w:rsid w:val="008163C3"/>
    <w:rsid w:val="00817D49"/>
    <w:rsid w:val="008204EF"/>
    <w:rsid w:val="00820FDD"/>
    <w:rsid w:val="008217C9"/>
    <w:rsid w:val="00822A1F"/>
    <w:rsid w:val="00822B56"/>
    <w:rsid w:val="0082333C"/>
    <w:rsid w:val="00823897"/>
    <w:rsid w:val="00824878"/>
    <w:rsid w:val="00824B28"/>
    <w:rsid w:val="008252E0"/>
    <w:rsid w:val="0083003E"/>
    <w:rsid w:val="008320D3"/>
    <w:rsid w:val="008326EA"/>
    <w:rsid w:val="00835A66"/>
    <w:rsid w:val="00835EF3"/>
    <w:rsid w:val="00836C3A"/>
    <w:rsid w:val="008414F8"/>
    <w:rsid w:val="008424CF"/>
    <w:rsid w:val="008449A8"/>
    <w:rsid w:val="008452C6"/>
    <w:rsid w:val="008456CD"/>
    <w:rsid w:val="00846878"/>
    <w:rsid w:val="008469CA"/>
    <w:rsid w:val="00852068"/>
    <w:rsid w:val="00852A2B"/>
    <w:rsid w:val="008548B1"/>
    <w:rsid w:val="00854CB4"/>
    <w:rsid w:val="00856905"/>
    <w:rsid w:val="008627F6"/>
    <w:rsid w:val="00863C10"/>
    <w:rsid w:val="00864F07"/>
    <w:rsid w:val="008661D2"/>
    <w:rsid w:val="0086628F"/>
    <w:rsid w:val="00867695"/>
    <w:rsid w:val="00867995"/>
    <w:rsid w:val="0087083D"/>
    <w:rsid w:val="00870B3E"/>
    <w:rsid w:val="0087141A"/>
    <w:rsid w:val="0087274A"/>
    <w:rsid w:val="00873AC6"/>
    <w:rsid w:val="00875579"/>
    <w:rsid w:val="008766B2"/>
    <w:rsid w:val="00876BCA"/>
    <w:rsid w:val="00880E60"/>
    <w:rsid w:val="008823A4"/>
    <w:rsid w:val="0088283D"/>
    <w:rsid w:val="00884599"/>
    <w:rsid w:val="00884AFA"/>
    <w:rsid w:val="00887F43"/>
    <w:rsid w:val="00891DDD"/>
    <w:rsid w:val="00892790"/>
    <w:rsid w:val="00892B9F"/>
    <w:rsid w:val="0089314D"/>
    <w:rsid w:val="00893A42"/>
    <w:rsid w:val="00893D56"/>
    <w:rsid w:val="00894098"/>
    <w:rsid w:val="00894833"/>
    <w:rsid w:val="008A032F"/>
    <w:rsid w:val="008A1893"/>
    <w:rsid w:val="008A4727"/>
    <w:rsid w:val="008A4B07"/>
    <w:rsid w:val="008A6B33"/>
    <w:rsid w:val="008B1B07"/>
    <w:rsid w:val="008B1D48"/>
    <w:rsid w:val="008B2602"/>
    <w:rsid w:val="008B3382"/>
    <w:rsid w:val="008B3BF8"/>
    <w:rsid w:val="008B3C11"/>
    <w:rsid w:val="008B6690"/>
    <w:rsid w:val="008B6E74"/>
    <w:rsid w:val="008B7945"/>
    <w:rsid w:val="008B7F33"/>
    <w:rsid w:val="008C01F2"/>
    <w:rsid w:val="008C0A1A"/>
    <w:rsid w:val="008C2113"/>
    <w:rsid w:val="008C3FAE"/>
    <w:rsid w:val="008C4149"/>
    <w:rsid w:val="008C5642"/>
    <w:rsid w:val="008C7277"/>
    <w:rsid w:val="008D21C4"/>
    <w:rsid w:val="008D25B8"/>
    <w:rsid w:val="008D2B4A"/>
    <w:rsid w:val="008D30A3"/>
    <w:rsid w:val="008D38C9"/>
    <w:rsid w:val="008D3C95"/>
    <w:rsid w:val="008D4124"/>
    <w:rsid w:val="008D48B0"/>
    <w:rsid w:val="008D760F"/>
    <w:rsid w:val="008E2E59"/>
    <w:rsid w:val="008E3227"/>
    <w:rsid w:val="008E3E56"/>
    <w:rsid w:val="008E3F5D"/>
    <w:rsid w:val="008E630F"/>
    <w:rsid w:val="008E63FD"/>
    <w:rsid w:val="008F0FF5"/>
    <w:rsid w:val="008F112D"/>
    <w:rsid w:val="008F14E5"/>
    <w:rsid w:val="008F150F"/>
    <w:rsid w:val="008F18E2"/>
    <w:rsid w:val="008F4EFB"/>
    <w:rsid w:val="008F509A"/>
    <w:rsid w:val="008F50E7"/>
    <w:rsid w:val="008F522D"/>
    <w:rsid w:val="008F5BCA"/>
    <w:rsid w:val="008F667B"/>
    <w:rsid w:val="008F6C03"/>
    <w:rsid w:val="008F7AE5"/>
    <w:rsid w:val="008F7C87"/>
    <w:rsid w:val="009005FD"/>
    <w:rsid w:val="00901810"/>
    <w:rsid w:val="00902219"/>
    <w:rsid w:val="009027C5"/>
    <w:rsid w:val="00903AC5"/>
    <w:rsid w:val="00903C2E"/>
    <w:rsid w:val="00903ED5"/>
    <w:rsid w:val="00903F18"/>
    <w:rsid w:val="00904B65"/>
    <w:rsid w:val="00905987"/>
    <w:rsid w:val="00906BEC"/>
    <w:rsid w:val="00906F58"/>
    <w:rsid w:val="009110FB"/>
    <w:rsid w:val="0091359A"/>
    <w:rsid w:val="00913B1B"/>
    <w:rsid w:val="0091457E"/>
    <w:rsid w:val="009151ED"/>
    <w:rsid w:val="00917A9E"/>
    <w:rsid w:val="00920C69"/>
    <w:rsid w:val="009224FC"/>
    <w:rsid w:val="00922B57"/>
    <w:rsid w:val="009274BE"/>
    <w:rsid w:val="00927DF0"/>
    <w:rsid w:val="00927FBD"/>
    <w:rsid w:val="009300E2"/>
    <w:rsid w:val="009303AD"/>
    <w:rsid w:val="00930A36"/>
    <w:rsid w:val="0093122C"/>
    <w:rsid w:val="00931780"/>
    <w:rsid w:val="00931B74"/>
    <w:rsid w:val="00932381"/>
    <w:rsid w:val="009327B7"/>
    <w:rsid w:val="009328AB"/>
    <w:rsid w:val="009368AC"/>
    <w:rsid w:val="00936A63"/>
    <w:rsid w:val="00936C91"/>
    <w:rsid w:val="00937186"/>
    <w:rsid w:val="0093763D"/>
    <w:rsid w:val="0094042D"/>
    <w:rsid w:val="00941093"/>
    <w:rsid w:val="0094144F"/>
    <w:rsid w:val="00942DCE"/>
    <w:rsid w:val="00942E36"/>
    <w:rsid w:val="00944497"/>
    <w:rsid w:val="009452C0"/>
    <w:rsid w:val="00945855"/>
    <w:rsid w:val="0094711B"/>
    <w:rsid w:val="009520C4"/>
    <w:rsid w:val="009545B8"/>
    <w:rsid w:val="00954CB3"/>
    <w:rsid w:val="009553A6"/>
    <w:rsid w:val="00955752"/>
    <w:rsid w:val="00956355"/>
    <w:rsid w:val="00956DAD"/>
    <w:rsid w:val="00956FFE"/>
    <w:rsid w:val="00957767"/>
    <w:rsid w:val="009603A2"/>
    <w:rsid w:val="009618A9"/>
    <w:rsid w:val="0096195C"/>
    <w:rsid w:val="00962D29"/>
    <w:rsid w:val="009633A9"/>
    <w:rsid w:val="009646D0"/>
    <w:rsid w:val="00965719"/>
    <w:rsid w:val="009673A9"/>
    <w:rsid w:val="009674DB"/>
    <w:rsid w:val="00971432"/>
    <w:rsid w:val="00973189"/>
    <w:rsid w:val="009740C5"/>
    <w:rsid w:val="00974605"/>
    <w:rsid w:val="00975BB4"/>
    <w:rsid w:val="00977167"/>
    <w:rsid w:val="009776B6"/>
    <w:rsid w:val="009806DA"/>
    <w:rsid w:val="00980961"/>
    <w:rsid w:val="00980C11"/>
    <w:rsid w:val="009818E7"/>
    <w:rsid w:val="009828B6"/>
    <w:rsid w:val="00982A1E"/>
    <w:rsid w:val="00984BD3"/>
    <w:rsid w:val="00985218"/>
    <w:rsid w:val="00985A98"/>
    <w:rsid w:val="009868AE"/>
    <w:rsid w:val="009868B5"/>
    <w:rsid w:val="00987E85"/>
    <w:rsid w:val="00990C75"/>
    <w:rsid w:val="00991752"/>
    <w:rsid w:val="00991C8E"/>
    <w:rsid w:val="00992BCA"/>
    <w:rsid w:val="00993FB8"/>
    <w:rsid w:val="0099453C"/>
    <w:rsid w:val="00995E16"/>
    <w:rsid w:val="00995E80"/>
    <w:rsid w:val="009971E7"/>
    <w:rsid w:val="009973BB"/>
    <w:rsid w:val="009974C1"/>
    <w:rsid w:val="00997DC5"/>
    <w:rsid w:val="00997E35"/>
    <w:rsid w:val="009A0733"/>
    <w:rsid w:val="009A0E83"/>
    <w:rsid w:val="009A187F"/>
    <w:rsid w:val="009A31C1"/>
    <w:rsid w:val="009A4824"/>
    <w:rsid w:val="009A5003"/>
    <w:rsid w:val="009A6091"/>
    <w:rsid w:val="009A6383"/>
    <w:rsid w:val="009A6C38"/>
    <w:rsid w:val="009A6C47"/>
    <w:rsid w:val="009B13AB"/>
    <w:rsid w:val="009B37FC"/>
    <w:rsid w:val="009B382A"/>
    <w:rsid w:val="009B479E"/>
    <w:rsid w:val="009B4805"/>
    <w:rsid w:val="009B5317"/>
    <w:rsid w:val="009B6958"/>
    <w:rsid w:val="009B7A38"/>
    <w:rsid w:val="009B7AC1"/>
    <w:rsid w:val="009B7F57"/>
    <w:rsid w:val="009C009A"/>
    <w:rsid w:val="009C170C"/>
    <w:rsid w:val="009C3924"/>
    <w:rsid w:val="009C538B"/>
    <w:rsid w:val="009C61C6"/>
    <w:rsid w:val="009C67D6"/>
    <w:rsid w:val="009C684A"/>
    <w:rsid w:val="009C6DFB"/>
    <w:rsid w:val="009C7A52"/>
    <w:rsid w:val="009D4547"/>
    <w:rsid w:val="009D4C7B"/>
    <w:rsid w:val="009D4E27"/>
    <w:rsid w:val="009D4FD1"/>
    <w:rsid w:val="009D5322"/>
    <w:rsid w:val="009E4774"/>
    <w:rsid w:val="009E5377"/>
    <w:rsid w:val="009E6B04"/>
    <w:rsid w:val="009E7ACC"/>
    <w:rsid w:val="009F20BA"/>
    <w:rsid w:val="009F3274"/>
    <w:rsid w:val="009F5BE3"/>
    <w:rsid w:val="009F5C83"/>
    <w:rsid w:val="009F6BA5"/>
    <w:rsid w:val="009F7A4B"/>
    <w:rsid w:val="00A002C5"/>
    <w:rsid w:val="00A0145C"/>
    <w:rsid w:val="00A01EF0"/>
    <w:rsid w:val="00A028A2"/>
    <w:rsid w:val="00A02E8A"/>
    <w:rsid w:val="00A03730"/>
    <w:rsid w:val="00A03DD9"/>
    <w:rsid w:val="00A05EB8"/>
    <w:rsid w:val="00A06C19"/>
    <w:rsid w:val="00A077A5"/>
    <w:rsid w:val="00A07D2D"/>
    <w:rsid w:val="00A10B42"/>
    <w:rsid w:val="00A11534"/>
    <w:rsid w:val="00A124F1"/>
    <w:rsid w:val="00A1262A"/>
    <w:rsid w:val="00A12ADE"/>
    <w:rsid w:val="00A13012"/>
    <w:rsid w:val="00A13ECB"/>
    <w:rsid w:val="00A13FD7"/>
    <w:rsid w:val="00A14B6C"/>
    <w:rsid w:val="00A14D3E"/>
    <w:rsid w:val="00A14E5F"/>
    <w:rsid w:val="00A205D1"/>
    <w:rsid w:val="00A2219E"/>
    <w:rsid w:val="00A25415"/>
    <w:rsid w:val="00A2654F"/>
    <w:rsid w:val="00A2673C"/>
    <w:rsid w:val="00A26961"/>
    <w:rsid w:val="00A272AA"/>
    <w:rsid w:val="00A275A8"/>
    <w:rsid w:val="00A27945"/>
    <w:rsid w:val="00A308DC"/>
    <w:rsid w:val="00A33718"/>
    <w:rsid w:val="00A33ED7"/>
    <w:rsid w:val="00A3493B"/>
    <w:rsid w:val="00A34F7B"/>
    <w:rsid w:val="00A37732"/>
    <w:rsid w:val="00A40440"/>
    <w:rsid w:val="00A417F7"/>
    <w:rsid w:val="00A43258"/>
    <w:rsid w:val="00A44AB3"/>
    <w:rsid w:val="00A4500B"/>
    <w:rsid w:val="00A45425"/>
    <w:rsid w:val="00A4759F"/>
    <w:rsid w:val="00A47735"/>
    <w:rsid w:val="00A501A0"/>
    <w:rsid w:val="00A51A9C"/>
    <w:rsid w:val="00A52BA0"/>
    <w:rsid w:val="00A5481B"/>
    <w:rsid w:val="00A54A2A"/>
    <w:rsid w:val="00A54C35"/>
    <w:rsid w:val="00A56195"/>
    <w:rsid w:val="00A56BDA"/>
    <w:rsid w:val="00A573E6"/>
    <w:rsid w:val="00A57D1D"/>
    <w:rsid w:val="00A60204"/>
    <w:rsid w:val="00A6021F"/>
    <w:rsid w:val="00A60AE2"/>
    <w:rsid w:val="00A611ED"/>
    <w:rsid w:val="00A61774"/>
    <w:rsid w:val="00A619C5"/>
    <w:rsid w:val="00A642F6"/>
    <w:rsid w:val="00A64398"/>
    <w:rsid w:val="00A64C82"/>
    <w:rsid w:val="00A64D82"/>
    <w:rsid w:val="00A67E3D"/>
    <w:rsid w:val="00A704E1"/>
    <w:rsid w:val="00A70FAD"/>
    <w:rsid w:val="00A72F22"/>
    <w:rsid w:val="00A741EA"/>
    <w:rsid w:val="00A76420"/>
    <w:rsid w:val="00A76E08"/>
    <w:rsid w:val="00A776F4"/>
    <w:rsid w:val="00A8019D"/>
    <w:rsid w:val="00A807A1"/>
    <w:rsid w:val="00A81C26"/>
    <w:rsid w:val="00A84741"/>
    <w:rsid w:val="00A84792"/>
    <w:rsid w:val="00A85369"/>
    <w:rsid w:val="00A8695F"/>
    <w:rsid w:val="00A870E1"/>
    <w:rsid w:val="00A87E83"/>
    <w:rsid w:val="00A902AC"/>
    <w:rsid w:val="00A90D55"/>
    <w:rsid w:val="00A90FEB"/>
    <w:rsid w:val="00A91A74"/>
    <w:rsid w:val="00A9350C"/>
    <w:rsid w:val="00A95C22"/>
    <w:rsid w:val="00A97231"/>
    <w:rsid w:val="00A973E8"/>
    <w:rsid w:val="00A9755B"/>
    <w:rsid w:val="00A979AA"/>
    <w:rsid w:val="00A97C63"/>
    <w:rsid w:val="00AA1B95"/>
    <w:rsid w:val="00AA217C"/>
    <w:rsid w:val="00AA641A"/>
    <w:rsid w:val="00AA6CF3"/>
    <w:rsid w:val="00AA7167"/>
    <w:rsid w:val="00AB1AC5"/>
    <w:rsid w:val="00AB2579"/>
    <w:rsid w:val="00AB2659"/>
    <w:rsid w:val="00AB4A8B"/>
    <w:rsid w:val="00AB64A7"/>
    <w:rsid w:val="00AB7340"/>
    <w:rsid w:val="00AB75C8"/>
    <w:rsid w:val="00AC00B9"/>
    <w:rsid w:val="00AC0214"/>
    <w:rsid w:val="00AC07F1"/>
    <w:rsid w:val="00AC16C9"/>
    <w:rsid w:val="00AC16DF"/>
    <w:rsid w:val="00AC20B6"/>
    <w:rsid w:val="00AC312E"/>
    <w:rsid w:val="00AC3211"/>
    <w:rsid w:val="00AC4854"/>
    <w:rsid w:val="00AC4B35"/>
    <w:rsid w:val="00AC4CA1"/>
    <w:rsid w:val="00AC70A4"/>
    <w:rsid w:val="00AC7238"/>
    <w:rsid w:val="00AD0046"/>
    <w:rsid w:val="00AD2450"/>
    <w:rsid w:val="00AD2F0A"/>
    <w:rsid w:val="00AD3205"/>
    <w:rsid w:val="00AD3DCF"/>
    <w:rsid w:val="00AD759C"/>
    <w:rsid w:val="00AD7649"/>
    <w:rsid w:val="00AE0643"/>
    <w:rsid w:val="00AE0D5B"/>
    <w:rsid w:val="00AE1A14"/>
    <w:rsid w:val="00AE49A1"/>
    <w:rsid w:val="00AE60B2"/>
    <w:rsid w:val="00AE75CB"/>
    <w:rsid w:val="00AF0BD0"/>
    <w:rsid w:val="00AF0CCE"/>
    <w:rsid w:val="00AF2ECE"/>
    <w:rsid w:val="00AF3E7E"/>
    <w:rsid w:val="00AF513B"/>
    <w:rsid w:val="00AF6109"/>
    <w:rsid w:val="00AF7692"/>
    <w:rsid w:val="00AF79A0"/>
    <w:rsid w:val="00B0174F"/>
    <w:rsid w:val="00B01A13"/>
    <w:rsid w:val="00B01FB2"/>
    <w:rsid w:val="00B02573"/>
    <w:rsid w:val="00B02868"/>
    <w:rsid w:val="00B02CAD"/>
    <w:rsid w:val="00B03032"/>
    <w:rsid w:val="00B04A47"/>
    <w:rsid w:val="00B102B6"/>
    <w:rsid w:val="00B10BC6"/>
    <w:rsid w:val="00B10FCE"/>
    <w:rsid w:val="00B1476D"/>
    <w:rsid w:val="00B150E3"/>
    <w:rsid w:val="00B1630D"/>
    <w:rsid w:val="00B16542"/>
    <w:rsid w:val="00B176A5"/>
    <w:rsid w:val="00B17F8E"/>
    <w:rsid w:val="00B22B97"/>
    <w:rsid w:val="00B22D32"/>
    <w:rsid w:val="00B23A6E"/>
    <w:rsid w:val="00B251FF"/>
    <w:rsid w:val="00B25DDA"/>
    <w:rsid w:val="00B27036"/>
    <w:rsid w:val="00B2727A"/>
    <w:rsid w:val="00B30F02"/>
    <w:rsid w:val="00B31965"/>
    <w:rsid w:val="00B36118"/>
    <w:rsid w:val="00B3630A"/>
    <w:rsid w:val="00B37A49"/>
    <w:rsid w:val="00B4016A"/>
    <w:rsid w:val="00B42FE8"/>
    <w:rsid w:val="00B435A7"/>
    <w:rsid w:val="00B450ED"/>
    <w:rsid w:val="00B464EC"/>
    <w:rsid w:val="00B46FA8"/>
    <w:rsid w:val="00B5041F"/>
    <w:rsid w:val="00B505E1"/>
    <w:rsid w:val="00B5393D"/>
    <w:rsid w:val="00B550A8"/>
    <w:rsid w:val="00B564ED"/>
    <w:rsid w:val="00B56B28"/>
    <w:rsid w:val="00B606DD"/>
    <w:rsid w:val="00B6179C"/>
    <w:rsid w:val="00B62172"/>
    <w:rsid w:val="00B62AF9"/>
    <w:rsid w:val="00B6434B"/>
    <w:rsid w:val="00B65887"/>
    <w:rsid w:val="00B660D1"/>
    <w:rsid w:val="00B666D9"/>
    <w:rsid w:val="00B7035F"/>
    <w:rsid w:val="00B7157B"/>
    <w:rsid w:val="00B71C1D"/>
    <w:rsid w:val="00B72DCE"/>
    <w:rsid w:val="00B72FE3"/>
    <w:rsid w:val="00B73D92"/>
    <w:rsid w:val="00B74EB6"/>
    <w:rsid w:val="00B754E5"/>
    <w:rsid w:val="00B767CC"/>
    <w:rsid w:val="00B76C1F"/>
    <w:rsid w:val="00B803AD"/>
    <w:rsid w:val="00B8125A"/>
    <w:rsid w:val="00B824F1"/>
    <w:rsid w:val="00B82645"/>
    <w:rsid w:val="00B82A58"/>
    <w:rsid w:val="00B8326D"/>
    <w:rsid w:val="00B834ED"/>
    <w:rsid w:val="00B84CBA"/>
    <w:rsid w:val="00B868BE"/>
    <w:rsid w:val="00B90DD4"/>
    <w:rsid w:val="00B91AF4"/>
    <w:rsid w:val="00B92350"/>
    <w:rsid w:val="00B92B90"/>
    <w:rsid w:val="00B9344E"/>
    <w:rsid w:val="00B93642"/>
    <w:rsid w:val="00B93DCC"/>
    <w:rsid w:val="00B9483E"/>
    <w:rsid w:val="00B96723"/>
    <w:rsid w:val="00B97E9C"/>
    <w:rsid w:val="00B97EBE"/>
    <w:rsid w:val="00BA01DD"/>
    <w:rsid w:val="00BA1611"/>
    <w:rsid w:val="00BA21DB"/>
    <w:rsid w:val="00BA35AE"/>
    <w:rsid w:val="00BA46D4"/>
    <w:rsid w:val="00BA5425"/>
    <w:rsid w:val="00BA62F7"/>
    <w:rsid w:val="00BA655C"/>
    <w:rsid w:val="00BA71C5"/>
    <w:rsid w:val="00BA790D"/>
    <w:rsid w:val="00BB100E"/>
    <w:rsid w:val="00BB131F"/>
    <w:rsid w:val="00BB1906"/>
    <w:rsid w:val="00BB1D9D"/>
    <w:rsid w:val="00BB2192"/>
    <w:rsid w:val="00BB2470"/>
    <w:rsid w:val="00BB280C"/>
    <w:rsid w:val="00BB285A"/>
    <w:rsid w:val="00BB2987"/>
    <w:rsid w:val="00BB3A1F"/>
    <w:rsid w:val="00BB4319"/>
    <w:rsid w:val="00BB4571"/>
    <w:rsid w:val="00BB4B89"/>
    <w:rsid w:val="00BB50CB"/>
    <w:rsid w:val="00BB57EB"/>
    <w:rsid w:val="00BB5B63"/>
    <w:rsid w:val="00BB64C7"/>
    <w:rsid w:val="00BB74C5"/>
    <w:rsid w:val="00BC23AB"/>
    <w:rsid w:val="00BC24E3"/>
    <w:rsid w:val="00BC2BD3"/>
    <w:rsid w:val="00BC3394"/>
    <w:rsid w:val="00BC3A04"/>
    <w:rsid w:val="00BC3AA4"/>
    <w:rsid w:val="00BC4090"/>
    <w:rsid w:val="00BC455E"/>
    <w:rsid w:val="00BC4C04"/>
    <w:rsid w:val="00BC600D"/>
    <w:rsid w:val="00BC64D6"/>
    <w:rsid w:val="00BD1A2A"/>
    <w:rsid w:val="00BD27D3"/>
    <w:rsid w:val="00BD2845"/>
    <w:rsid w:val="00BD2FC2"/>
    <w:rsid w:val="00BD48E0"/>
    <w:rsid w:val="00BD583A"/>
    <w:rsid w:val="00BD59A9"/>
    <w:rsid w:val="00BD614B"/>
    <w:rsid w:val="00BD6995"/>
    <w:rsid w:val="00BD6F95"/>
    <w:rsid w:val="00BD7DDE"/>
    <w:rsid w:val="00BE130B"/>
    <w:rsid w:val="00BE15E6"/>
    <w:rsid w:val="00BE18B4"/>
    <w:rsid w:val="00BE20FB"/>
    <w:rsid w:val="00BE26FB"/>
    <w:rsid w:val="00BE362E"/>
    <w:rsid w:val="00BE37D2"/>
    <w:rsid w:val="00BE440F"/>
    <w:rsid w:val="00BE45B4"/>
    <w:rsid w:val="00BE4E92"/>
    <w:rsid w:val="00BE5F11"/>
    <w:rsid w:val="00BE73D5"/>
    <w:rsid w:val="00BE74DA"/>
    <w:rsid w:val="00BF0E5E"/>
    <w:rsid w:val="00BF1CE0"/>
    <w:rsid w:val="00BF4E85"/>
    <w:rsid w:val="00BF5323"/>
    <w:rsid w:val="00BF546E"/>
    <w:rsid w:val="00BF69D9"/>
    <w:rsid w:val="00C002E1"/>
    <w:rsid w:val="00C00A60"/>
    <w:rsid w:val="00C0205B"/>
    <w:rsid w:val="00C0283F"/>
    <w:rsid w:val="00C02F2C"/>
    <w:rsid w:val="00C04C69"/>
    <w:rsid w:val="00C050D3"/>
    <w:rsid w:val="00C06577"/>
    <w:rsid w:val="00C1194A"/>
    <w:rsid w:val="00C12732"/>
    <w:rsid w:val="00C13D0B"/>
    <w:rsid w:val="00C142FF"/>
    <w:rsid w:val="00C16739"/>
    <w:rsid w:val="00C16B41"/>
    <w:rsid w:val="00C16C0B"/>
    <w:rsid w:val="00C1758E"/>
    <w:rsid w:val="00C17D27"/>
    <w:rsid w:val="00C17DEB"/>
    <w:rsid w:val="00C21007"/>
    <w:rsid w:val="00C21175"/>
    <w:rsid w:val="00C2152B"/>
    <w:rsid w:val="00C21944"/>
    <w:rsid w:val="00C225A5"/>
    <w:rsid w:val="00C228F4"/>
    <w:rsid w:val="00C22916"/>
    <w:rsid w:val="00C234A6"/>
    <w:rsid w:val="00C235E7"/>
    <w:rsid w:val="00C23973"/>
    <w:rsid w:val="00C244F9"/>
    <w:rsid w:val="00C253B6"/>
    <w:rsid w:val="00C26957"/>
    <w:rsid w:val="00C279CF"/>
    <w:rsid w:val="00C30285"/>
    <w:rsid w:val="00C310B9"/>
    <w:rsid w:val="00C31862"/>
    <w:rsid w:val="00C31AA1"/>
    <w:rsid w:val="00C321FC"/>
    <w:rsid w:val="00C32E57"/>
    <w:rsid w:val="00C332A8"/>
    <w:rsid w:val="00C336C0"/>
    <w:rsid w:val="00C33CCF"/>
    <w:rsid w:val="00C3528B"/>
    <w:rsid w:val="00C3659A"/>
    <w:rsid w:val="00C36609"/>
    <w:rsid w:val="00C369F8"/>
    <w:rsid w:val="00C370C6"/>
    <w:rsid w:val="00C3781D"/>
    <w:rsid w:val="00C42F0E"/>
    <w:rsid w:val="00C42FEB"/>
    <w:rsid w:val="00C433BC"/>
    <w:rsid w:val="00C43907"/>
    <w:rsid w:val="00C44F40"/>
    <w:rsid w:val="00C45EB6"/>
    <w:rsid w:val="00C46244"/>
    <w:rsid w:val="00C4650F"/>
    <w:rsid w:val="00C467D7"/>
    <w:rsid w:val="00C46DEB"/>
    <w:rsid w:val="00C47B48"/>
    <w:rsid w:val="00C47F4E"/>
    <w:rsid w:val="00C50385"/>
    <w:rsid w:val="00C506E4"/>
    <w:rsid w:val="00C519AD"/>
    <w:rsid w:val="00C51C7A"/>
    <w:rsid w:val="00C51F57"/>
    <w:rsid w:val="00C54717"/>
    <w:rsid w:val="00C54FD9"/>
    <w:rsid w:val="00C5543C"/>
    <w:rsid w:val="00C55BE9"/>
    <w:rsid w:val="00C57259"/>
    <w:rsid w:val="00C57E4E"/>
    <w:rsid w:val="00C57E90"/>
    <w:rsid w:val="00C609FC"/>
    <w:rsid w:val="00C62C8C"/>
    <w:rsid w:val="00C63B5B"/>
    <w:rsid w:val="00C64137"/>
    <w:rsid w:val="00C643FF"/>
    <w:rsid w:val="00C64565"/>
    <w:rsid w:val="00C645F6"/>
    <w:rsid w:val="00C64749"/>
    <w:rsid w:val="00C6495C"/>
    <w:rsid w:val="00C64E13"/>
    <w:rsid w:val="00C64FDF"/>
    <w:rsid w:val="00C6565B"/>
    <w:rsid w:val="00C6606A"/>
    <w:rsid w:val="00C669CC"/>
    <w:rsid w:val="00C67117"/>
    <w:rsid w:val="00C6770D"/>
    <w:rsid w:val="00C67743"/>
    <w:rsid w:val="00C679F3"/>
    <w:rsid w:val="00C7004E"/>
    <w:rsid w:val="00C71570"/>
    <w:rsid w:val="00C731FC"/>
    <w:rsid w:val="00C73A62"/>
    <w:rsid w:val="00C75127"/>
    <w:rsid w:val="00C76AF8"/>
    <w:rsid w:val="00C77617"/>
    <w:rsid w:val="00C77A05"/>
    <w:rsid w:val="00C80D77"/>
    <w:rsid w:val="00C81EC4"/>
    <w:rsid w:val="00C8267A"/>
    <w:rsid w:val="00C826D2"/>
    <w:rsid w:val="00C84999"/>
    <w:rsid w:val="00C85B37"/>
    <w:rsid w:val="00C87499"/>
    <w:rsid w:val="00C87702"/>
    <w:rsid w:val="00C90D2B"/>
    <w:rsid w:val="00C916C5"/>
    <w:rsid w:val="00C94A73"/>
    <w:rsid w:val="00C95694"/>
    <w:rsid w:val="00C95B51"/>
    <w:rsid w:val="00C95F2D"/>
    <w:rsid w:val="00C96B4F"/>
    <w:rsid w:val="00CA083A"/>
    <w:rsid w:val="00CA0E44"/>
    <w:rsid w:val="00CA116C"/>
    <w:rsid w:val="00CA11D2"/>
    <w:rsid w:val="00CA230A"/>
    <w:rsid w:val="00CA233C"/>
    <w:rsid w:val="00CA3543"/>
    <w:rsid w:val="00CA4A40"/>
    <w:rsid w:val="00CA5A57"/>
    <w:rsid w:val="00CA60DE"/>
    <w:rsid w:val="00CA6AEF"/>
    <w:rsid w:val="00CB1E8F"/>
    <w:rsid w:val="00CB3523"/>
    <w:rsid w:val="00CB6FD3"/>
    <w:rsid w:val="00CB7505"/>
    <w:rsid w:val="00CB783B"/>
    <w:rsid w:val="00CB7C99"/>
    <w:rsid w:val="00CC07D1"/>
    <w:rsid w:val="00CC0C65"/>
    <w:rsid w:val="00CC1534"/>
    <w:rsid w:val="00CC1CF4"/>
    <w:rsid w:val="00CC2B9A"/>
    <w:rsid w:val="00CC2FF0"/>
    <w:rsid w:val="00CC375F"/>
    <w:rsid w:val="00CC732B"/>
    <w:rsid w:val="00CC789B"/>
    <w:rsid w:val="00CC7C43"/>
    <w:rsid w:val="00CD107B"/>
    <w:rsid w:val="00CD1157"/>
    <w:rsid w:val="00CD150B"/>
    <w:rsid w:val="00CD766D"/>
    <w:rsid w:val="00CD77A1"/>
    <w:rsid w:val="00CD7803"/>
    <w:rsid w:val="00CD7A22"/>
    <w:rsid w:val="00CE14B8"/>
    <w:rsid w:val="00CE3959"/>
    <w:rsid w:val="00CE39C5"/>
    <w:rsid w:val="00CE4BAC"/>
    <w:rsid w:val="00CE5F41"/>
    <w:rsid w:val="00CE7AF0"/>
    <w:rsid w:val="00CF10CB"/>
    <w:rsid w:val="00CF170B"/>
    <w:rsid w:val="00CF21A4"/>
    <w:rsid w:val="00CF22F9"/>
    <w:rsid w:val="00CF325E"/>
    <w:rsid w:val="00CF4656"/>
    <w:rsid w:val="00CF4B50"/>
    <w:rsid w:val="00CF5EA6"/>
    <w:rsid w:val="00CF62DA"/>
    <w:rsid w:val="00CF6D38"/>
    <w:rsid w:val="00CF70B2"/>
    <w:rsid w:val="00CF74F4"/>
    <w:rsid w:val="00CF7900"/>
    <w:rsid w:val="00D00760"/>
    <w:rsid w:val="00D017EA"/>
    <w:rsid w:val="00D0404B"/>
    <w:rsid w:val="00D04D3B"/>
    <w:rsid w:val="00D055C5"/>
    <w:rsid w:val="00D06137"/>
    <w:rsid w:val="00D07BCC"/>
    <w:rsid w:val="00D11128"/>
    <w:rsid w:val="00D11A23"/>
    <w:rsid w:val="00D11B05"/>
    <w:rsid w:val="00D129A7"/>
    <w:rsid w:val="00D1377B"/>
    <w:rsid w:val="00D146B4"/>
    <w:rsid w:val="00D1475B"/>
    <w:rsid w:val="00D1514E"/>
    <w:rsid w:val="00D16792"/>
    <w:rsid w:val="00D17CE1"/>
    <w:rsid w:val="00D225EA"/>
    <w:rsid w:val="00D2319F"/>
    <w:rsid w:val="00D23916"/>
    <w:rsid w:val="00D247C4"/>
    <w:rsid w:val="00D24C2A"/>
    <w:rsid w:val="00D25961"/>
    <w:rsid w:val="00D2705A"/>
    <w:rsid w:val="00D27315"/>
    <w:rsid w:val="00D321A8"/>
    <w:rsid w:val="00D32C8F"/>
    <w:rsid w:val="00D3345B"/>
    <w:rsid w:val="00D33D7F"/>
    <w:rsid w:val="00D34435"/>
    <w:rsid w:val="00D3698A"/>
    <w:rsid w:val="00D436B2"/>
    <w:rsid w:val="00D453B2"/>
    <w:rsid w:val="00D45F91"/>
    <w:rsid w:val="00D46418"/>
    <w:rsid w:val="00D4794E"/>
    <w:rsid w:val="00D51425"/>
    <w:rsid w:val="00D525AE"/>
    <w:rsid w:val="00D5328B"/>
    <w:rsid w:val="00D53E10"/>
    <w:rsid w:val="00D53F70"/>
    <w:rsid w:val="00D5441C"/>
    <w:rsid w:val="00D54879"/>
    <w:rsid w:val="00D54BAA"/>
    <w:rsid w:val="00D56EAF"/>
    <w:rsid w:val="00D609BF"/>
    <w:rsid w:val="00D62C3E"/>
    <w:rsid w:val="00D62FA6"/>
    <w:rsid w:val="00D63245"/>
    <w:rsid w:val="00D63ABC"/>
    <w:rsid w:val="00D63B5A"/>
    <w:rsid w:val="00D640E4"/>
    <w:rsid w:val="00D64722"/>
    <w:rsid w:val="00D6500B"/>
    <w:rsid w:val="00D657EC"/>
    <w:rsid w:val="00D65AB5"/>
    <w:rsid w:val="00D65C2F"/>
    <w:rsid w:val="00D6675D"/>
    <w:rsid w:val="00D701D1"/>
    <w:rsid w:val="00D7086A"/>
    <w:rsid w:val="00D709FF"/>
    <w:rsid w:val="00D7221E"/>
    <w:rsid w:val="00D72674"/>
    <w:rsid w:val="00D731A7"/>
    <w:rsid w:val="00D731EB"/>
    <w:rsid w:val="00D73479"/>
    <w:rsid w:val="00D774A4"/>
    <w:rsid w:val="00D77665"/>
    <w:rsid w:val="00D777CB"/>
    <w:rsid w:val="00D778DA"/>
    <w:rsid w:val="00D80DBE"/>
    <w:rsid w:val="00D812A3"/>
    <w:rsid w:val="00D81A49"/>
    <w:rsid w:val="00D81DA2"/>
    <w:rsid w:val="00D8344E"/>
    <w:rsid w:val="00D83716"/>
    <w:rsid w:val="00D840FB"/>
    <w:rsid w:val="00D85757"/>
    <w:rsid w:val="00D85A13"/>
    <w:rsid w:val="00D86735"/>
    <w:rsid w:val="00D86EB8"/>
    <w:rsid w:val="00D915BF"/>
    <w:rsid w:val="00D91AD6"/>
    <w:rsid w:val="00D9240F"/>
    <w:rsid w:val="00D92B03"/>
    <w:rsid w:val="00D96F55"/>
    <w:rsid w:val="00D97118"/>
    <w:rsid w:val="00D979F2"/>
    <w:rsid w:val="00DA0282"/>
    <w:rsid w:val="00DA0C63"/>
    <w:rsid w:val="00DA1FAE"/>
    <w:rsid w:val="00DA4621"/>
    <w:rsid w:val="00DA60A5"/>
    <w:rsid w:val="00DA6CAA"/>
    <w:rsid w:val="00DA724D"/>
    <w:rsid w:val="00DA7D01"/>
    <w:rsid w:val="00DB003C"/>
    <w:rsid w:val="00DB0FE8"/>
    <w:rsid w:val="00DB103D"/>
    <w:rsid w:val="00DB23B2"/>
    <w:rsid w:val="00DB2704"/>
    <w:rsid w:val="00DB2B7A"/>
    <w:rsid w:val="00DB78C9"/>
    <w:rsid w:val="00DB7BDB"/>
    <w:rsid w:val="00DC0CC8"/>
    <w:rsid w:val="00DC1AED"/>
    <w:rsid w:val="00DC26B8"/>
    <w:rsid w:val="00DC26DB"/>
    <w:rsid w:val="00DC430D"/>
    <w:rsid w:val="00DC49A2"/>
    <w:rsid w:val="00DC5A88"/>
    <w:rsid w:val="00DC72D0"/>
    <w:rsid w:val="00DC75CC"/>
    <w:rsid w:val="00DD012D"/>
    <w:rsid w:val="00DD15D6"/>
    <w:rsid w:val="00DD23A4"/>
    <w:rsid w:val="00DD246C"/>
    <w:rsid w:val="00DD24B7"/>
    <w:rsid w:val="00DD27D1"/>
    <w:rsid w:val="00DD3CB7"/>
    <w:rsid w:val="00DD4579"/>
    <w:rsid w:val="00DD6152"/>
    <w:rsid w:val="00DD6B71"/>
    <w:rsid w:val="00DD73FA"/>
    <w:rsid w:val="00DD75DC"/>
    <w:rsid w:val="00DE06A3"/>
    <w:rsid w:val="00DE1138"/>
    <w:rsid w:val="00DE2543"/>
    <w:rsid w:val="00DE2A48"/>
    <w:rsid w:val="00DE50FF"/>
    <w:rsid w:val="00DE53EA"/>
    <w:rsid w:val="00DE5794"/>
    <w:rsid w:val="00DE66C5"/>
    <w:rsid w:val="00DE6A92"/>
    <w:rsid w:val="00DE6B46"/>
    <w:rsid w:val="00DE78F5"/>
    <w:rsid w:val="00DF018C"/>
    <w:rsid w:val="00DF0B0B"/>
    <w:rsid w:val="00DF1208"/>
    <w:rsid w:val="00DF162E"/>
    <w:rsid w:val="00DF24A9"/>
    <w:rsid w:val="00DF309E"/>
    <w:rsid w:val="00DF5D14"/>
    <w:rsid w:val="00DF7075"/>
    <w:rsid w:val="00DF7ABD"/>
    <w:rsid w:val="00E00D50"/>
    <w:rsid w:val="00E014DD"/>
    <w:rsid w:val="00E01E0B"/>
    <w:rsid w:val="00E022C5"/>
    <w:rsid w:val="00E02A58"/>
    <w:rsid w:val="00E032DE"/>
    <w:rsid w:val="00E04268"/>
    <w:rsid w:val="00E108A4"/>
    <w:rsid w:val="00E108B7"/>
    <w:rsid w:val="00E11B27"/>
    <w:rsid w:val="00E12008"/>
    <w:rsid w:val="00E12123"/>
    <w:rsid w:val="00E15E01"/>
    <w:rsid w:val="00E16A13"/>
    <w:rsid w:val="00E178F0"/>
    <w:rsid w:val="00E2305E"/>
    <w:rsid w:val="00E2329C"/>
    <w:rsid w:val="00E23ACE"/>
    <w:rsid w:val="00E24B65"/>
    <w:rsid w:val="00E258E4"/>
    <w:rsid w:val="00E26361"/>
    <w:rsid w:val="00E301C8"/>
    <w:rsid w:val="00E306BB"/>
    <w:rsid w:val="00E31007"/>
    <w:rsid w:val="00E32360"/>
    <w:rsid w:val="00E333F2"/>
    <w:rsid w:val="00E4097F"/>
    <w:rsid w:val="00E42C66"/>
    <w:rsid w:val="00E438F2"/>
    <w:rsid w:val="00E4499D"/>
    <w:rsid w:val="00E45222"/>
    <w:rsid w:val="00E46121"/>
    <w:rsid w:val="00E47405"/>
    <w:rsid w:val="00E47C68"/>
    <w:rsid w:val="00E50D69"/>
    <w:rsid w:val="00E51439"/>
    <w:rsid w:val="00E516C5"/>
    <w:rsid w:val="00E5263B"/>
    <w:rsid w:val="00E549C0"/>
    <w:rsid w:val="00E54A73"/>
    <w:rsid w:val="00E551DC"/>
    <w:rsid w:val="00E554CA"/>
    <w:rsid w:val="00E56A5F"/>
    <w:rsid w:val="00E601DD"/>
    <w:rsid w:val="00E6043C"/>
    <w:rsid w:val="00E61181"/>
    <w:rsid w:val="00E612A7"/>
    <w:rsid w:val="00E618AB"/>
    <w:rsid w:val="00E62909"/>
    <w:rsid w:val="00E62D9C"/>
    <w:rsid w:val="00E62FE4"/>
    <w:rsid w:val="00E63387"/>
    <w:rsid w:val="00E63F16"/>
    <w:rsid w:val="00E659B1"/>
    <w:rsid w:val="00E65D38"/>
    <w:rsid w:val="00E662A5"/>
    <w:rsid w:val="00E67227"/>
    <w:rsid w:val="00E70232"/>
    <w:rsid w:val="00E70239"/>
    <w:rsid w:val="00E70D80"/>
    <w:rsid w:val="00E70E12"/>
    <w:rsid w:val="00E70F78"/>
    <w:rsid w:val="00E72010"/>
    <w:rsid w:val="00E72AD4"/>
    <w:rsid w:val="00E72B2E"/>
    <w:rsid w:val="00E740F6"/>
    <w:rsid w:val="00E74C8E"/>
    <w:rsid w:val="00E817A5"/>
    <w:rsid w:val="00E82ABF"/>
    <w:rsid w:val="00E8353F"/>
    <w:rsid w:val="00E835D1"/>
    <w:rsid w:val="00E841EF"/>
    <w:rsid w:val="00E84ABE"/>
    <w:rsid w:val="00E84BBB"/>
    <w:rsid w:val="00E84C7C"/>
    <w:rsid w:val="00E85DDA"/>
    <w:rsid w:val="00E86283"/>
    <w:rsid w:val="00E910D7"/>
    <w:rsid w:val="00E91EE8"/>
    <w:rsid w:val="00E92F2A"/>
    <w:rsid w:val="00E949C4"/>
    <w:rsid w:val="00E95E3D"/>
    <w:rsid w:val="00E96F19"/>
    <w:rsid w:val="00E975D5"/>
    <w:rsid w:val="00E97ACF"/>
    <w:rsid w:val="00EA05AD"/>
    <w:rsid w:val="00EA1A67"/>
    <w:rsid w:val="00EA1C81"/>
    <w:rsid w:val="00EA3070"/>
    <w:rsid w:val="00EA32BC"/>
    <w:rsid w:val="00EA3396"/>
    <w:rsid w:val="00EA38B7"/>
    <w:rsid w:val="00EA54B9"/>
    <w:rsid w:val="00EA5EAE"/>
    <w:rsid w:val="00EA6127"/>
    <w:rsid w:val="00EA63A8"/>
    <w:rsid w:val="00EB01D4"/>
    <w:rsid w:val="00EB0C76"/>
    <w:rsid w:val="00EB1442"/>
    <w:rsid w:val="00EB173E"/>
    <w:rsid w:val="00EB198B"/>
    <w:rsid w:val="00EB1CBC"/>
    <w:rsid w:val="00EB2439"/>
    <w:rsid w:val="00EB26C0"/>
    <w:rsid w:val="00EB3269"/>
    <w:rsid w:val="00EB4882"/>
    <w:rsid w:val="00EB4BE4"/>
    <w:rsid w:val="00EB5065"/>
    <w:rsid w:val="00EB5300"/>
    <w:rsid w:val="00EB55A5"/>
    <w:rsid w:val="00EB6B65"/>
    <w:rsid w:val="00EC0D43"/>
    <w:rsid w:val="00EC0F6A"/>
    <w:rsid w:val="00EC0FFE"/>
    <w:rsid w:val="00EC1BED"/>
    <w:rsid w:val="00EC36FA"/>
    <w:rsid w:val="00EC481B"/>
    <w:rsid w:val="00EC5050"/>
    <w:rsid w:val="00EC65A1"/>
    <w:rsid w:val="00ED0EAA"/>
    <w:rsid w:val="00ED1F9D"/>
    <w:rsid w:val="00ED2067"/>
    <w:rsid w:val="00ED28BC"/>
    <w:rsid w:val="00ED3750"/>
    <w:rsid w:val="00ED461E"/>
    <w:rsid w:val="00ED7052"/>
    <w:rsid w:val="00ED7DAE"/>
    <w:rsid w:val="00ED7FC5"/>
    <w:rsid w:val="00EE1254"/>
    <w:rsid w:val="00EE1991"/>
    <w:rsid w:val="00EE4288"/>
    <w:rsid w:val="00EE43D2"/>
    <w:rsid w:val="00EE48DA"/>
    <w:rsid w:val="00EE4930"/>
    <w:rsid w:val="00EE4EE7"/>
    <w:rsid w:val="00EE5F25"/>
    <w:rsid w:val="00EE696F"/>
    <w:rsid w:val="00EE6AE2"/>
    <w:rsid w:val="00EE747F"/>
    <w:rsid w:val="00EE7D0E"/>
    <w:rsid w:val="00EF321D"/>
    <w:rsid w:val="00EF374B"/>
    <w:rsid w:val="00EF4E24"/>
    <w:rsid w:val="00EF4F65"/>
    <w:rsid w:val="00EF6BE3"/>
    <w:rsid w:val="00EF71A3"/>
    <w:rsid w:val="00EF7F41"/>
    <w:rsid w:val="00F00503"/>
    <w:rsid w:val="00F0126A"/>
    <w:rsid w:val="00F014E6"/>
    <w:rsid w:val="00F04793"/>
    <w:rsid w:val="00F04F8F"/>
    <w:rsid w:val="00F0759B"/>
    <w:rsid w:val="00F10777"/>
    <w:rsid w:val="00F10FFD"/>
    <w:rsid w:val="00F11127"/>
    <w:rsid w:val="00F115B1"/>
    <w:rsid w:val="00F1287D"/>
    <w:rsid w:val="00F13014"/>
    <w:rsid w:val="00F132E5"/>
    <w:rsid w:val="00F15B3A"/>
    <w:rsid w:val="00F15BBA"/>
    <w:rsid w:val="00F15D9C"/>
    <w:rsid w:val="00F2098D"/>
    <w:rsid w:val="00F218CB"/>
    <w:rsid w:val="00F23649"/>
    <w:rsid w:val="00F23A47"/>
    <w:rsid w:val="00F23C73"/>
    <w:rsid w:val="00F2429B"/>
    <w:rsid w:val="00F24F95"/>
    <w:rsid w:val="00F252B8"/>
    <w:rsid w:val="00F257C0"/>
    <w:rsid w:val="00F26E56"/>
    <w:rsid w:val="00F30359"/>
    <w:rsid w:val="00F30876"/>
    <w:rsid w:val="00F32AC8"/>
    <w:rsid w:val="00F33990"/>
    <w:rsid w:val="00F36141"/>
    <w:rsid w:val="00F371A8"/>
    <w:rsid w:val="00F378C1"/>
    <w:rsid w:val="00F37E79"/>
    <w:rsid w:val="00F40E03"/>
    <w:rsid w:val="00F413B8"/>
    <w:rsid w:val="00F41592"/>
    <w:rsid w:val="00F4270C"/>
    <w:rsid w:val="00F443F8"/>
    <w:rsid w:val="00F44B88"/>
    <w:rsid w:val="00F44F0E"/>
    <w:rsid w:val="00F46492"/>
    <w:rsid w:val="00F46EF8"/>
    <w:rsid w:val="00F516A5"/>
    <w:rsid w:val="00F52A0A"/>
    <w:rsid w:val="00F52AD7"/>
    <w:rsid w:val="00F55A5C"/>
    <w:rsid w:val="00F57C6B"/>
    <w:rsid w:val="00F6020E"/>
    <w:rsid w:val="00F62CCC"/>
    <w:rsid w:val="00F63BE2"/>
    <w:rsid w:val="00F6434A"/>
    <w:rsid w:val="00F6537E"/>
    <w:rsid w:val="00F65DB6"/>
    <w:rsid w:val="00F66094"/>
    <w:rsid w:val="00F6709C"/>
    <w:rsid w:val="00F67B4D"/>
    <w:rsid w:val="00F67F48"/>
    <w:rsid w:val="00F70928"/>
    <w:rsid w:val="00F719EF"/>
    <w:rsid w:val="00F73018"/>
    <w:rsid w:val="00F738F1"/>
    <w:rsid w:val="00F74A2E"/>
    <w:rsid w:val="00F75459"/>
    <w:rsid w:val="00F811D2"/>
    <w:rsid w:val="00F81CBA"/>
    <w:rsid w:val="00F81D72"/>
    <w:rsid w:val="00F821A2"/>
    <w:rsid w:val="00F826E2"/>
    <w:rsid w:val="00F826F1"/>
    <w:rsid w:val="00F82711"/>
    <w:rsid w:val="00F83425"/>
    <w:rsid w:val="00F864B5"/>
    <w:rsid w:val="00F86583"/>
    <w:rsid w:val="00F870DD"/>
    <w:rsid w:val="00F87546"/>
    <w:rsid w:val="00F90B64"/>
    <w:rsid w:val="00F9141F"/>
    <w:rsid w:val="00F9172E"/>
    <w:rsid w:val="00F92F0E"/>
    <w:rsid w:val="00F93A62"/>
    <w:rsid w:val="00F93CBF"/>
    <w:rsid w:val="00F943F0"/>
    <w:rsid w:val="00F94521"/>
    <w:rsid w:val="00F959F2"/>
    <w:rsid w:val="00F969F8"/>
    <w:rsid w:val="00F96ECA"/>
    <w:rsid w:val="00F97B5A"/>
    <w:rsid w:val="00FA0BE7"/>
    <w:rsid w:val="00FA0D8B"/>
    <w:rsid w:val="00FA160F"/>
    <w:rsid w:val="00FA1E12"/>
    <w:rsid w:val="00FA2338"/>
    <w:rsid w:val="00FA2EA6"/>
    <w:rsid w:val="00FA3453"/>
    <w:rsid w:val="00FA3653"/>
    <w:rsid w:val="00FA503E"/>
    <w:rsid w:val="00FA77EB"/>
    <w:rsid w:val="00FB05EE"/>
    <w:rsid w:val="00FB10FA"/>
    <w:rsid w:val="00FB1D76"/>
    <w:rsid w:val="00FB20CD"/>
    <w:rsid w:val="00FB2EC9"/>
    <w:rsid w:val="00FB34FC"/>
    <w:rsid w:val="00FB369E"/>
    <w:rsid w:val="00FB5257"/>
    <w:rsid w:val="00FC08A1"/>
    <w:rsid w:val="00FC211D"/>
    <w:rsid w:val="00FC4DA0"/>
    <w:rsid w:val="00FC5138"/>
    <w:rsid w:val="00FC5B60"/>
    <w:rsid w:val="00FC72FF"/>
    <w:rsid w:val="00FC743B"/>
    <w:rsid w:val="00FC7C57"/>
    <w:rsid w:val="00FC7C86"/>
    <w:rsid w:val="00FD1D8C"/>
    <w:rsid w:val="00FD2911"/>
    <w:rsid w:val="00FD293E"/>
    <w:rsid w:val="00FD2C01"/>
    <w:rsid w:val="00FD34D8"/>
    <w:rsid w:val="00FD4A1F"/>
    <w:rsid w:val="00FD6555"/>
    <w:rsid w:val="00FE2E24"/>
    <w:rsid w:val="00FE5BFE"/>
    <w:rsid w:val="00FE5EC2"/>
    <w:rsid w:val="00FF0DAB"/>
    <w:rsid w:val="00FF32FE"/>
    <w:rsid w:val="00FF33A5"/>
    <w:rsid w:val="00FF443A"/>
    <w:rsid w:val="00FF51D1"/>
    <w:rsid w:val="00FF6AE6"/>
    <w:rsid w:val="00FF731D"/>
    <w:rsid w:val="00FF7E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aur" w:eastAsia="SimSun" w:hAnsi="Centaur" w:cstheme="minorBidi"/>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D017EA"/>
    <w:pPr>
      <w:overflowPunct w:val="0"/>
      <w:autoSpaceDE w:val="0"/>
      <w:autoSpaceDN w:val="0"/>
      <w:adjustRightInd w:val="0"/>
      <w:spacing w:after="0" w:line="240" w:lineRule="auto"/>
      <w:textAlignment w:val="baseline"/>
    </w:pPr>
    <w:rPr>
      <w:rFonts w:ascii="Garamond" w:eastAsia="Times New Roman" w:hAnsi="Garamond" w:cs="Times New Roman"/>
      <w:noProof/>
      <w:lang w:val="en-US"/>
    </w:rPr>
  </w:style>
  <w:style w:type="character" w:customStyle="1" w:styleId="FootnoteTextChar">
    <w:name w:val="Footnote Text Char"/>
    <w:basedOn w:val="DefaultParagraphFont"/>
    <w:link w:val="FootnoteText"/>
    <w:rsid w:val="00D017EA"/>
    <w:rPr>
      <w:rFonts w:ascii="Garamond" w:eastAsia="Times New Roman" w:hAnsi="Garamond" w:cs="Times New Roman"/>
      <w:noProof/>
      <w:sz w:val="20"/>
      <w:szCs w:val="20"/>
      <w:lang w:val="en-US"/>
    </w:rPr>
  </w:style>
  <w:style w:type="character" w:styleId="FootnoteReference">
    <w:name w:val="footnote reference"/>
    <w:basedOn w:val="DefaultParagraphFont"/>
    <w:semiHidden/>
    <w:rsid w:val="00D017EA"/>
    <w:rPr>
      <w:vertAlign w:val="superscript"/>
    </w:rPr>
  </w:style>
  <w:style w:type="paragraph" w:styleId="ListParagraph">
    <w:name w:val="List Paragraph"/>
    <w:basedOn w:val="Normal"/>
    <w:uiPriority w:val="34"/>
    <w:qFormat/>
    <w:rsid w:val="00CA116C"/>
    <w:pPr>
      <w:ind w:left="720"/>
      <w:contextualSpacing/>
    </w:pPr>
  </w:style>
  <w:style w:type="paragraph" w:styleId="PlainText">
    <w:name w:val="Plain Text"/>
    <w:basedOn w:val="Normal"/>
    <w:link w:val="PlainTextChar"/>
    <w:uiPriority w:val="99"/>
    <w:unhideWhenUsed/>
    <w:rsid w:val="00AB4A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B4A8B"/>
    <w:rPr>
      <w:rFonts w:ascii="Consolas" w:hAnsi="Consolas"/>
      <w:sz w:val="21"/>
      <w:szCs w:val="21"/>
    </w:rPr>
  </w:style>
  <w:style w:type="paragraph" w:styleId="Header">
    <w:name w:val="header"/>
    <w:basedOn w:val="Normal"/>
    <w:link w:val="HeaderChar"/>
    <w:unhideWhenUsed/>
    <w:rsid w:val="00A03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730"/>
  </w:style>
  <w:style w:type="paragraph" w:styleId="Footer">
    <w:name w:val="footer"/>
    <w:basedOn w:val="Normal"/>
    <w:link w:val="FooterChar"/>
    <w:uiPriority w:val="99"/>
    <w:unhideWhenUsed/>
    <w:rsid w:val="00A03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730"/>
  </w:style>
  <w:style w:type="character" w:customStyle="1" w:styleId="ref">
    <w:name w:val="ref"/>
    <w:basedOn w:val="DefaultParagraphFont"/>
    <w:rsid w:val="007361C6"/>
  </w:style>
  <w:style w:type="character" w:styleId="Hyperlink">
    <w:name w:val="Hyperlink"/>
    <w:basedOn w:val="DefaultParagraphFont"/>
    <w:uiPriority w:val="99"/>
    <w:unhideWhenUsed/>
    <w:rsid w:val="000370C5"/>
    <w:rPr>
      <w:color w:val="0563C1" w:themeColor="hyperlink"/>
      <w:u w:val="single"/>
    </w:rPr>
  </w:style>
  <w:style w:type="paragraph" w:styleId="EndnoteText">
    <w:name w:val="endnote text"/>
    <w:basedOn w:val="Normal"/>
    <w:link w:val="EndnoteTextChar"/>
    <w:uiPriority w:val="99"/>
    <w:semiHidden/>
    <w:unhideWhenUsed/>
    <w:rsid w:val="00C73A62"/>
    <w:pPr>
      <w:spacing w:after="0" w:line="240" w:lineRule="auto"/>
    </w:pPr>
  </w:style>
  <w:style w:type="character" w:customStyle="1" w:styleId="EndnoteTextChar">
    <w:name w:val="Endnote Text Char"/>
    <w:basedOn w:val="DefaultParagraphFont"/>
    <w:link w:val="EndnoteText"/>
    <w:uiPriority w:val="99"/>
    <w:semiHidden/>
    <w:rsid w:val="00C73A62"/>
  </w:style>
  <w:style w:type="character" w:styleId="EndnoteReference">
    <w:name w:val="endnote reference"/>
    <w:basedOn w:val="DefaultParagraphFont"/>
    <w:uiPriority w:val="99"/>
    <w:semiHidden/>
    <w:unhideWhenUsed/>
    <w:rsid w:val="00C73A62"/>
    <w:rPr>
      <w:vertAlign w:val="superscript"/>
    </w:rPr>
  </w:style>
  <w:style w:type="character" w:customStyle="1" w:styleId="apple-converted-space">
    <w:name w:val="apple-converted-space"/>
    <w:basedOn w:val="DefaultParagraphFont"/>
    <w:rsid w:val="00E70D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aur" w:eastAsia="SimSun" w:hAnsi="Centaur" w:cstheme="minorBidi"/>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D017EA"/>
    <w:pPr>
      <w:overflowPunct w:val="0"/>
      <w:autoSpaceDE w:val="0"/>
      <w:autoSpaceDN w:val="0"/>
      <w:adjustRightInd w:val="0"/>
      <w:spacing w:after="0" w:line="240" w:lineRule="auto"/>
      <w:textAlignment w:val="baseline"/>
    </w:pPr>
    <w:rPr>
      <w:rFonts w:ascii="Garamond" w:eastAsia="Times New Roman" w:hAnsi="Garamond" w:cs="Times New Roman"/>
      <w:noProof/>
      <w:lang w:val="en-US"/>
    </w:rPr>
  </w:style>
  <w:style w:type="character" w:customStyle="1" w:styleId="FootnoteTextChar">
    <w:name w:val="Footnote Text Char"/>
    <w:basedOn w:val="DefaultParagraphFont"/>
    <w:link w:val="FootnoteText"/>
    <w:rsid w:val="00D017EA"/>
    <w:rPr>
      <w:rFonts w:ascii="Garamond" w:eastAsia="Times New Roman" w:hAnsi="Garamond" w:cs="Times New Roman"/>
      <w:noProof/>
      <w:sz w:val="20"/>
      <w:szCs w:val="20"/>
      <w:lang w:val="en-US"/>
    </w:rPr>
  </w:style>
  <w:style w:type="character" w:styleId="FootnoteReference">
    <w:name w:val="footnote reference"/>
    <w:basedOn w:val="DefaultParagraphFont"/>
    <w:semiHidden/>
    <w:rsid w:val="00D017EA"/>
    <w:rPr>
      <w:vertAlign w:val="superscript"/>
    </w:rPr>
  </w:style>
  <w:style w:type="paragraph" w:styleId="ListParagraph">
    <w:name w:val="List Paragraph"/>
    <w:basedOn w:val="Normal"/>
    <w:uiPriority w:val="34"/>
    <w:qFormat/>
    <w:rsid w:val="00CA116C"/>
    <w:pPr>
      <w:ind w:left="720"/>
      <w:contextualSpacing/>
    </w:pPr>
  </w:style>
  <w:style w:type="paragraph" w:styleId="PlainText">
    <w:name w:val="Plain Text"/>
    <w:basedOn w:val="Normal"/>
    <w:link w:val="PlainTextChar"/>
    <w:uiPriority w:val="99"/>
    <w:unhideWhenUsed/>
    <w:rsid w:val="00AB4A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AB4A8B"/>
    <w:rPr>
      <w:rFonts w:ascii="Consolas" w:hAnsi="Consolas"/>
      <w:sz w:val="21"/>
      <w:szCs w:val="21"/>
    </w:rPr>
  </w:style>
  <w:style w:type="paragraph" w:styleId="Header">
    <w:name w:val="header"/>
    <w:basedOn w:val="Normal"/>
    <w:link w:val="HeaderChar"/>
    <w:unhideWhenUsed/>
    <w:rsid w:val="00A037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730"/>
  </w:style>
  <w:style w:type="paragraph" w:styleId="Footer">
    <w:name w:val="footer"/>
    <w:basedOn w:val="Normal"/>
    <w:link w:val="FooterChar"/>
    <w:uiPriority w:val="99"/>
    <w:unhideWhenUsed/>
    <w:rsid w:val="00A037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730"/>
  </w:style>
  <w:style w:type="character" w:customStyle="1" w:styleId="ref">
    <w:name w:val="ref"/>
    <w:basedOn w:val="DefaultParagraphFont"/>
    <w:rsid w:val="007361C6"/>
  </w:style>
  <w:style w:type="character" w:styleId="Hyperlink">
    <w:name w:val="Hyperlink"/>
    <w:basedOn w:val="DefaultParagraphFont"/>
    <w:uiPriority w:val="99"/>
    <w:unhideWhenUsed/>
    <w:rsid w:val="000370C5"/>
    <w:rPr>
      <w:color w:val="0563C1" w:themeColor="hyperlink"/>
      <w:u w:val="single"/>
    </w:rPr>
  </w:style>
  <w:style w:type="paragraph" w:styleId="EndnoteText">
    <w:name w:val="endnote text"/>
    <w:basedOn w:val="Normal"/>
    <w:link w:val="EndnoteTextChar"/>
    <w:uiPriority w:val="99"/>
    <w:semiHidden/>
    <w:unhideWhenUsed/>
    <w:rsid w:val="00C73A62"/>
    <w:pPr>
      <w:spacing w:after="0" w:line="240" w:lineRule="auto"/>
    </w:pPr>
  </w:style>
  <w:style w:type="character" w:customStyle="1" w:styleId="EndnoteTextChar">
    <w:name w:val="Endnote Text Char"/>
    <w:basedOn w:val="DefaultParagraphFont"/>
    <w:link w:val="EndnoteText"/>
    <w:uiPriority w:val="99"/>
    <w:semiHidden/>
    <w:rsid w:val="00C73A62"/>
  </w:style>
  <w:style w:type="character" w:styleId="EndnoteReference">
    <w:name w:val="endnote reference"/>
    <w:basedOn w:val="DefaultParagraphFont"/>
    <w:uiPriority w:val="99"/>
    <w:semiHidden/>
    <w:unhideWhenUsed/>
    <w:rsid w:val="00C73A62"/>
    <w:rPr>
      <w:vertAlign w:val="superscript"/>
    </w:rPr>
  </w:style>
  <w:style w:type="character" w:customStyle="1" w:styleId="apple-converted-space">
    <w:name w:val="apple-converted-space"/>
    <w:basedOn w:val="DefaultParagraphFont"/>
    <w:rsid w:val="00E70D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966332">
      <w:bodyDiv w:val="1"/>
      <w:marLeft w:val="0"/>
      <w:marRight w:val="0"/>
      <w:marTop w:val="0"/>
      <w:marBottom w:val="0"/>
      <w:divBdr>
        <w:top w:val="none" w:sz="0" w:space="0" w:color="auto"/>
        <w:left w:val="none" w:sz="0" w:space="0" w:color="auto"/>
        <w:bottom w:val="none" w:sz="0" w:space="0" w:color="auto"/>
        <w:right w:val="none" w:sz="0" w:space="0" w:color="auto"/>
      </w:divBdr>
    </w:div>
    <w:div w:id="650446217">
      <w:bodyDiv w:val="1"/>
      <w:marLeft w:val="0"/>
      <w:marRight w:val="0"/>
      <w:marTop w:val="0"/>
      <w:marBottom w:val="0"/>
      <w:divBdr>
        <w:top w:val="none" w:sz="0" w:space="0" w:color="auto"/>
        <w:left w:val="none" w:sz="0" w:space="0" w:color="auto"/>
        <w:bottom w:val="none" w:sz="0" w:space="0" w:color="auto"/>
        <w:right w:val="none" w:sz="0" w:space="0" w:color="auto"/>
      </w:divBdr>
    </w:div>
    <w:div w:id="692922476">
      <w:bodyDiv w:val="1"/>
      <w:marLeft w:val="0"/>
      <w:marRight w:val="0"/>
      <w:marTop w:val="0"/>
      <w:marBottom w:val="0"/>
      <w:divBdr>
        <w:top w:val="none" w:sz="0" w:space="0" w:color="auto"/>
        <w:left w:val="none" w:sz="0" w:space="0" w:color="auto"/>
        <w:bottom w:val="none" w:sz="0" w:space="0" w:color="auto"/>
        <w:right w:val="none" w:sz="0" w:space="0" w:color="auto"/>
      </w:divBdr>
    </w:div>
    <w:div w:id="760295868">
      <w:bodyDiv w:val="1"/>
      <w:marLeft w:val="0"/>
      <w:marRight w:val="0"/>
      <w:marTop w:val="0"/>
      <w:marBottom w:val="0"/>
      <w:divBdr>
        <w:top w:val="none" w:sz="0" w:space="0" w:color="auto"/>
        <w:left w:val="none" w:sz="0" w:space="0" w:color="auto"/>
        <w:bottom w:val="none" w:sz="0" w:space="0" w:color="auto"/>
        <w:right w:val="none" w:sz="0" w:space="0" w:color="auto"/>
      </w:divBdr>
    </w:div>
    <w:div w:id="916092061">
      <w:bodyDiv w:val="1"/>
      <w:marLeft w:val="0"/>
      <w:marRight w:val="0"/>
      <w:marTop w:val="0"/>
      <w:marBottom w:val="0"/>
      <w:divBdr>
        <w:top w:val="none" w:sz="0" w:space="0" w:color="auto"/>
        <w:left w:val="none" w:sz="0" w:space="0" w:color="auto"/>
        <w:bottom w:val="none" w:sz="0" w:space="0" w:color="auto"/>
        <w:right w:val="none" w:sz="0" w:space="0" w:color="auto"/>
      </w:divBdr>
      <w:divsChild>
        <w:div w:id="939293286">
          <w:marLeft w:val="0"/>
          <w:marRight w:val="0"/>
          <w:marTop w:val="0"/>
          <w:marBottom w:val="0"/>
          <w:divBdr>
            <w:top w:val="none" w:sz="0" w:space="0" w:color="auto"/>
            <w:left w:val="none" w:sz="0" w:space="0" w:color="auto"/>
            <w:bottom w:val="none" w:sz="0" w:space="0" w:color="auto"/>
            <w:right w:val="none" w:sz="0" w:space="0" w:color="auto"/>
          </w:divBdr>
        </w:div>
      </w:divsChild>
    </w:div>
    <w:div w:id="1027170877">
      <w:bodyDiv w:val="1"/>
      <w:marLeft w:val="0"/>
      <w:marRight w:val="0"/>
      <w:marTop w:val="0"/>
      <w:marBottom w:val="0"/>
      <w:divBdr>
        <w:top w:val="none" w:sz="0" w:space="0" w:color="auto"/>
        <w:left w:val="none" w:sz="0" w:space="0" w:color="auto"/>
        <w:bottom w:val="none" w:sz="0" w:space="0" w:color="auto"/>
        <w:right w:val="none" w:sz="0" w:space="0" w:color="auto"/>
      </w:divBdr>
    </w:div>
    <w:div w:id="1115100051">
      <w:bodyDiv w:val="1"/>
      <w:marLeft w:val="0"/>
      <w:marRight w:val="0"/>
      <w:marTop w:val="0"/>
      <w:marBottom w:val="0"/>
      <w:divBdr>
        <w:top w:val="none" w:sz="0" w:space="0" w:color="auto"/>
        <w:left w:val="none" w:sz="0" w:space="0" w:color="auto"/>
        <w:bottom w:val="none" w:sz="0" w:space="0" w:color="auto"/>
        <w:right w:val="none" w:sz="0" w:space="0" w:color="auto"/>
      </w:divBdr>
    </w:div>
    <w:div w:id="1640839808">
      <w:bodyDiv w:val="1"/>
      <w:marLeft w:val="0"/>
      <w:marRight w:val="0"/>
      <w:marTop w:val="0"/>
      <w:marBottom w:val="0"/>
      <w:divBdr>
        <w:top w:val="none" w:sz="0" w:space="0" w:color="auto"/>
        <w:left w:val="none" w:sz="0" w:space="0" w:color="auto"/>
        <w:bottom w:val="none" w:sz="0" w:space="0" w:color="auto"/>
        <w:right w:val="none" w:sz="0" w:space="0" w:color="auto"/>
      </w:divBdr>
      <w:divsChild>
        <w:div w:id="1435637326">
          <w:marLeft w:val="0"/>
          <w:marRight w:val="0"/>
          <w:marTop w:val="0"/>
          <w:marBottom w:val="0"/>
          <w:divBdr>
            <w:top w:val="none" w:sz="0" w:space="0" w:color="auto"/>
            <w:left w:val="none" w:sz="0" w:space="0" w:color="auto"/>
            <w:bottom w:val="none" w:sz="0" w:space="0" w:color="auto"/>
            <w:right w:val="none" w:sz="0" w:space="0" w:color="auto"/>
          </w:divBdr>
        </w:div>
        <w:div w:id="876703222">
          <w:marLeft w:val="0"/>
          <w:marRight w:val="0"/>
          <w:marTop w:val="0"/>
          <w:marBottom w:val="0"/>
          <w:divBdr>
            <w:top w:val="none" w:sz="0" w:space="0" w:color="auto"/>
            <w:left w:val="none" w:sz="0" w:space="0" w:color="auto"/>
            <w:bottom w:val="none" w:sz="0" w:space="0" w:color="auto"/>
            <w:right w:val="none" w:sz="0" w:space="0" w:color="auto"/>
          </w:divBdr>
        </w:div>
        <w:div w:id="633024322">
          <w:marLeft w:val="0"/>
          <w:marRight w:val="0"/>
          <w:marTop w:val="0"/>
          <w:marBottom w:val="0"/>
          <w:divBdr>
            <w:top w:val="none" w:sz="0" w:space="0" w:color="auto"/>
            <w:left w:val="none" w:sz="0" w:space="0" w:color="auto"/>
            <w:bottom w:val="none" w:sz="0" w:space="0" w:color="auto"/>
            <w:right w:val="none" w:sz="0" w:space="0" w:color="auto"/>
          </w:divBdr>
        </w:div>
        <w:div w:id="2044749830">
          <w:marLeft w:val="0"/>
          <w:marRight w:val="0"/>
          <w:marTop w:val="0"/>
          <w:marBottom w:val="0"/>
          <w:divBdr>
            <w:top w:val="none" w:sz="0" w:space="0" w:color="auto"/>
            <w:left w:val="none" w:sz="0" w:space="0" w:color="auto"/>
            <w:bottom w:val="none" w:sz="0" w:space="0" w:color="auto"/>
            <w:right w:val="none" w:sz="0" w:space="0" w:color="auto"/>
          </w:divBdr>
        </w:div>
      </w:divsChild>
    </w:div>
    <w:div w:id="1759328741">
      <w:bodyDiv w:val="1"/>
      <w:marLeft w:val="0"/>
      <w:marRight w:val="0"/>
      <w:marTop w:val="0"/>
      <w:marBottom w:val="0"/>
      <w:divBdr>
        <w:top w:val="none" w:sz="0" w:space="0" w:color="auto"/>
        <w:left w:val="none" w:sz="0" w:space="0" w:color="auto"/>
        <w:bottom w:val="none" w:sz="0" w:space="0" w:color="auto"/>
        <w:right w:val="none" w:sz="0" w:space="0" w:color="auto"/>
      </w:divBdr>
    </w:div>
    <w:div w:id="1890722069">
      <w:bodyDiv w:val="1"/>
      <w:marLeft w:val="0"/>
      <w:marRight w:val="0"/>
      <w:marTop w:val="0"/>
      <w:marBottom w:val="0"/>
      <w:divBdr>
        <w:top w:val="none" w:sz="0" w:space="0" w:color="auto"/>
        <w:left w:val="none" w:sz="0" w:space="0" w:color="auto"/>
        <w:bottom w:val="none" w:sz="0" w:space="0" w:color="auto"/>
        <w:right w:val="none" w:sz="0" w:space="0" w:color="auto"/>
      </w:divBdr>
    </w:div>
    <w:div w:id="207114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corpusthomisticu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7"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28B5922-A609-4AD4-B8FC-89A269EA47B9}">
  <we:reference id="wa103136166" version="1.2.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270D9-F0CA-40F8-87FB-888DC32DF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Pages>
  <Words>7321</Words>
  <Characters>41734</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Dalhousie University</Company>
  <LinksUpToDate>false</LinksUpToDate>
  <CharactersWithSpaces>48958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Wayne Hankey</dc:creator>
  <cp:lastModifiedBy>Wayne</cp:lastModifiedBy>
  <cp:revision>8</cp:revision>
  <cp:lastPrinted>2016-08-12T09:38:00Z</cp:lastPrinted>
  <dcterms:created xsi:type="dcterms:W3CDTF">2018-06-01T15:01:00Z</dcterms:created>
  <dcterms:modified xsi:type="dcterms:W3CDTF">2018-06-03T18:31:00Z</dcterms:modified>
</cp:coreProperties>
</file>