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047C8" w14:textId="77777777" w:rsidR="0004078A" w:rsidRPr="003E4EEA" w:rsidRDefault="00000000">
      <w:pPr>
        <w:pStyle w:val="Heading1"/>
        <w:rPr>
          <w:lang w:val="el-GR"/>
        </w:rPr>
      </w:pPr>
      <w:r w:rsidRPr="003E4EEA">
        <w:rPr>
          <w:lang w:val="el-GR"/>
        </w:rPr>
        <w:t>Αρχές Χρηματοοικονομικής Θεωρίας · Απαντήσεις</w:t>
      </w:r>
    </w:p>
    <w:p w14:paraId="778EC787" w14:textId="77777777" w:rsidR="0004078A" w:rsidRPr="003E4EEA" w:rsidRDefault="00000000">
      <w:pPr>
        <w:spacing w:after="200"/>
        <w:rPr>
          <w:lang w:val="el-GR"/>
        </w:rPr>
      </w:pPr>
      <w:r w:rsidRPr="003E4EEA">
        <w:rPr>
          <w:i/>
          <w:iCs/>
          <w:color w:val="5D6678"/>
          <w:sz w:val="20"/>
          <w:szCs w:val="20"/>
          <w:lang w:val="el-GR"/>
        </w:rPr>
        <w:t>Η σωστή απάντηση κάθε ερώτησης είναι με έντονα γράμματα και σημάδι ✓, μαζί με σύντομη αιτιολόγηση από τη διάλεξη.</w:t>
      </w:r>
    </w:p>
    <w:p w14:paraId="3B897A42" w14:textId="77777777" w:rsidR="0004078A" w:rsidRPr="003E4EEA" w:rsidRDefault="00000000">
      <w:pPr>
        <w:pStyle w:val="Heading2"/>
        <w:rPr>
          <w:lang w:val="el-GR"/>
        </w:rPr>
      </w:pPr>
      <w:r w:rsidRPr="003E4EEA">
        <w:rPr>
          <w:lang w:val="el-GR"/>
        </w:rPr>
        <w:t>Μέρος Α΄ · Χρόνος, αξία, τόκος</w:t>
      </w:r>
    </w:p>
    <w:p w14:paraId="24240554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1. Ποιος είναι ο λειτουργικός ορισμός της χρηματοοικονομικής που δίνει η διάλεξη;</w:t>
      </w:r>
    </w:p>
    <w:p w14:paraId="14ED28B5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Η μελέτη των τιμών του χρηματιστηρίου</w:t>
      </w:r>
    </w:p>
    <w:p w14:paraId="693F5C47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Β. Η κατανομή πόρων στον χρόνο, υπό αβεβαιότητα  ✓</w:t>
      </w:r>
    </w:p>
    <w:p w14:paraId="3EC3F64C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Η τήρηση των λογιστικών βιβλίων μιας επιχείρησης</w:t>
      </w:r>
    </w:p>
    <w:p w14:paraId="7ECC87AA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Η διαχείριση των μετρητών ενός νοικοκυριού</w:t>
      </w:r>
    </w:p>
    <w:p w14:paraId="077D7E98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«Κατανομή πόρων στον χρόνο, υπό αβεβαιότητα»: το χρήμα είναι μόνο η μονάδα μέτρησης.</w:t>
      </w:r>
    </w:p>
    <w:p w14:paraId="746E4E2E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2. Η συναλλαγή του Θαλή με τα ελαιοτριβεία της Μιλήτου και της Χίου αντιστοιχεί σήμερα σε:</w:t>
      </w:r>
    </w:p>
    <w:p w14:paraId="46BA270F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Ομολογιακό δάνειο</w:t>
      </w:r>
    </w:p>
    <w:p w14:paraId="6E793719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Αγορά μετοχών</w:t>
      </w:r>
    </w:p>
    <w:p w14:paraId="3B43B351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Γ. Δικαίωμα αγοράς (</w:t>
      </w:r>
      <w:r>
        <w:rPr>
          <w:b/>
          <w:bCs/>
          <w:color w:val="1B6B3A"/>
        </w:rPr>
        <w:t>call</w:t>
      </w:r>
      <w:r w:rsidRPr="003E4EEA">
        <w:rPr>
          <w:b/>
          <w:bCs/>
          <w:color w:val="1B6B3A"/>
          <w:lang w:val="el-GR"/>
        </w:rPr>
        <w:t xml:space="preserve"> </w:t>
      </w:r>
      <w:r>
        <w:rPr>
          <w:b/>
          <w:bCs/>
          <w:color w:val="1B6B3A"/>
        </w:rPr>
        <w:t>option</w:t>
      </w:r>
      <w:r w:rsidRPr="003E4EEA">
        <w:rPr>
          <w:b/>
          <w:bCs/>
          <w:color w:val="1B6B3A"/>
          <w:lang w:val="el-GR"/>
        </w:rPr>
        <w:t>)  ✓</w:t>
      </w:r>
    </w:p>
    <w:p w14:paraId="2F43005F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Προθεσμιακή κατάθεση</w:t>
      </w:r>
    </w:p>
    <w:p w14:paraId="3871FD1A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Πλήρωσε μικρό ποσό για το δικαίωμα, όχι την υποχρέωση, χρήσης: περιορισμένη ζημία, ανοιχτό κέρδος.</w:t>
      </w:r>
    </w:p>
    <w:p w14:paraId="080797F4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3. Ποιος από τους παρακάτω ΔΕΝ είναι ένας από τους τέσσερις λόγους για τους οποίους ένα ευρώ σήμερα αξίζει περισσότερο από ένα ευρώ αύριο;</w:t>
      </w:r>
    </w:p>
    <w:p w14:paraId="265D2663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Η προτίμηση χρόνου</w:t>
      </w:r>
    </w:p>
    <w:p w14:paraId="5E966706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Η παραγωγικότητα του κεφαλαίου</w:t>
      </w:r>
    </w:p>
    <w:p w14:paraId="4AFB40D3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Ο πληθωρισμός</w:t>
      </w:r>
    </w:p>
    <w:p w14:paraId="23F2AADB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Δ. Ο νόμος της προσφοράς και της ζήτησης  ✓</w:t>
      </w:r>
    </w:p>
    <w:p w14:paraId="2F9162FC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Οι τέσσερις λόγοι είναι προτίμηση χρόνου, παραγωγικότητα κεφαλαίου, κίνδυνος και πληθωρισμός.</w:t>
      </w:r>
    </w:p>
    <w:p w14:paraId="778F25B3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4. Σύμφωνα με τον κανόνα του 72, με επιτόκιο 6% ένα ποσό διπλασιάζεται σε περίπου:</w:t>
      </w:r>
    </w:p>
    <w:p w14:paraId="49A64128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6 έτη</w:t>
      </w:r>
    </w:p>
    <w:p w14:paraId="0A1E8290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Β. 12 έτη  ✓</w:t>
      </w:r>
    </w:p>
    <w:p w14:paraId="4F83786C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18 έτη</w:t>
      </w:r>
    </w:p>
    <w:p w14:paraId="01AFA439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72 έτη</w:t>
      </w:r>
    </w:p>
    <w:p w14:paraId="4A3BE224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72 ÷ 6 = 12 έτη.</w:t>
      </w:r>
    </w:p>
    <w:p w14:paraId="765F6B33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5. Πόσο αξίζει σήμερα η υπόσχεση 10.000 € σε δέκα χρόνια, με προεξοφλητικό επιτόκιο 6%;</w:t>
      </w:r>
    </w:p>
    <w:p w14:paraId="45A0787E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17.908 €</w:t>
      </w:r>
    </w:p>
    <w:p w14:paraId="383B4214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9.048 €</w:t>
      </w:r>
    </w:p>
    <w:p w14:paraId="5462DDF8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Γ. 5.584 €  ✓</w:t>
      </w:r>
    </w:p>
    <w:p w14:paraId="6FEA51BA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3.220 €</w:t>
      </w:r>
    </w:p>
    <w:p w14:paraId="0B4E3639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10.000 ÷ (1,06)¹⁰ ≈ 5.584 €. Τα 17.908 € είναι η μελλοντική αξία, η αντίστροφη πράξη.</w:t>
      </w:r>
    </w:p>
    <w:p w14:paraId="5282E0AD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lastRenderedPageBreak/>
        <w:t>6. Ένα διαμέρισμα αποφέρει 9.000 € καθαρό ενοίκιο τον χρόνο, για πάντα. Με απαιτούμενη απόδοση 3%, ποια είναι η αξία του;</w:t>
      </w:r>
    </w:p>
    <w:p w14:paraId="01F240FE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Α. 300.000 €  ✓</w:t>
      </w:r>
    </w:p>
    <w:p w14:paraId="45B3F237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180.000 €</w:t>
      </w:r>
    </w:p>
    <w:p w14:paraId="23600CB0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270.000 €</w:t>
      </w:r>
    </w:p>
    <w:p w14:paraId="36D38B36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90.000 €</w:t>
      </w:r>
    </w:p>
    <w:p w14:paraId="6C907733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Αξία διηνεκούς ροής = ετήσια ροή ÷ επιτόκιο = 9.000 ÷ 0,03 = 300.000 €.</w:t>
      </w:r>
    </w:p>
    <w:p w14:paraId="7D39BE88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7. Γιατί το αθηναϊκό ναυτικό δάνειο είχε επιτόκιο 20–30% για ένα ταξίδι λίγων μηνών;</w:t>
      </w:r>
    </w:p>
    <w:p w14:paraId="2B4F73E6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Λόγω της τοκογλυφίας των τραπεζιτών της εποχής</w:t>
      </w:r>
    </w:p>
    <w:p w14:paraId="221E0836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Β. Επειδή ο τόκος ενσωμάτωνε και ασφάλιστρο: αν χανόταν το πλοίο, το δάνειο έσβηνε  ✓</w:t>
      </w:r>
    </w:p>
    <w:p w14:paraId="752DC84B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Επειδή ο νόμος όριζε ελάχιστο επιτόκιο για τα θαλάσσια ταξίδια</w:t>
      </w:r>
    </w:p>
    <w:p w14:paraId="7869ECCA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Λόγω του υψηλού πληθωρισμού στην Αθήνα</w:t>
      </w:r>
    </w:p>
    <w:p w14:paraId="12ADF1DA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Ο δανειστής δεν είχε αξίωση σε ναυάγιο, άρα η τιμή περιλάμβανε και την ανάληψη του κινδύνου.</w:t>
      </w:r>
    </w:p>
    <w:p w14:paraId="36240466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8. Σε ποια ιδέα στηρίζεται η αριστοτελική καταδίκη του τόκου;</w:t>
      </w:r>
    </w:p>
    <w:p w14:paraId="1EC98C7B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Α. Ο τόκος είναι «χρήμα γεννημένο από χρήμα», άρα παρά φύσιν  ✓</w:t>
      </w:r>
    </w:p>
    <w:p w14:paraId="351F12D7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Ο δανειστής αναλαμβάνει υπερβολικό κίνδυνο</w:t>
      </w:r>
    </w:p>
    <w:p w14:paraId="042298E0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Ο δανειστής θυσιάζει τη χρήση του κεφαλαίου του</w:t>
      </w:r>
    </w:p>
    <w:p w14:paraId="3E4F89E4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Το χρήμα είναι εμπόρευμα σαν όλα τα άλλα</w:t>
      </w:r>
    </w:p>
    <w:p w14:paraId="0C69B25E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Το χρήμα θεσπίστηκε ως μέσο ανταλλαγής· όταν «γεννά» χρήμα προδίδει τη φυσική του λειτουργία (Πολιτικά Α΄ 1258</w:t>
      </w:r>
      <w:r>
        <w:rPr>
          <w:color w:val="5D6678"/>
          <w:sz w:val="20"/>
          <w:szCs w:val="20"/>
        </w:rPr>
        <w:t>b</w:t>
      </w:r>
      <w:r w:rsidRPr="003E4EEA">
        <w:rPr>
          <w:color w:val="5D6678"/>
          <w:sz w:val="20"/>
          <w:szCs w:val="20"/>
          <w:lang w:val="el-GR"/>
        </w:rPr>
        <w:t>).</w:t>
      </w:r>
    </w:p>
    <w:p w14:paraId="4DEC7F03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 xml:space="preserve">9. Κατά τον </w:t>
      </w:r>
      <w:r>
        <w:rPr>
          <w:b/>
          <w:bCs/>
        </w:rPr>
        <w:t>Keynes</w:t>
      </w:r>
      <w:r w:rsidRPr="003E4EEA">
        <w:rPr>
          <w:b/>
          <w:bCs/>
          <w:lang w:val="el-GR"/>
        </w:rPr>
        <w:t>, ο τόκος είναι:</w:t>
      </w:r>
    </w:p>
    <w:p w14:paraId="04D17F25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Η αντικειμενική υπεροχή των παρόντων αγαθών έναντι των μελλοντικών</w:t>
      </w:r>
    </w:p>
    <w:p w14:paraId="740754E0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Η τιμή ισορροπίας ανάμεσα στην ανυπομονησία και τις επενδυτικές ευκαιρίες</w:t>
      </w:r>
    </w:p>
    <w:p w14:paraId="58501C8B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Γ. Η τιμή της εγκατάλειψης της ρευστότητας  ✓</w:t>
      </w:r>
    </w:p>
    <w:p w14:paraId="1463F46A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Η αμοιβή της εργασίας του δανειστή</w:t>
      </w:r>
    </w:p>
    <w:p w14:paraId="59A439E8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 xml:space="preserve">Η πρώτη επιλογή είναι του </w:t>
      </w:r>
      <w:r>
        <w:rPr>
          <w:color w:val="5D6678"/>
          <w:sz w:val="20"/>
          <w:szCs w:val="20"/>
        </w:rPr>
        <w:t>B</w:t>
      </w:r>
      <w:r w:rsidRPr="003E4EEA">
        <w:rPr>
          <w:color w:val="5D6678"/>
          <w:sz w:val="20"/>
          <w:szCs w:val="20"/>
          <w:lang w:val="el-GR"/>
        </w:rPr>
        <w:t>ö</w:t>
      </w:r>
      <w:r>
        <w:rPr>
          <w:color w:val="5D6678"/>
          <w:sz w:val="20"/>
          <w:szCs w:val="20"/>
        </w:rPr>
        <w:t>hm</w:t>
      </w:r>
      <w:r w:rsidRPr="003E4EEA">
        <w:rPr>
          <w:color w:val="5D6678"/>
          <w:sz w:val="20"/>
          <w:szCs w:val="20"/>
          <w:lang w:val="el-GR"/>
        </w:rPr>
        <w:t>-</w:t>
      </w:r>
      <w:proofErr w:type="spellStart"/>
      <w:r>
        <w:rPr>
          <w:color w:val="5D6678"/>
          <w:sz w:val="20"/>
          <w:szCs w:val="20"/>
        </w:rPr>
        <w:t>Bawerk</w:t>
      </w:r>
      <w:proofErr w:type="spellEnd"/>
      <w:r w:rsidRPr="003E4EEA">
        <w:rPr>
          <w:color w:val="5D6678"/>
          <w:sz w:val="20"/>
          <w:szCs w:val="20"/>
          <w:lang w:val="el-GR"/>
        </w:rPr>
        <w:t xml:space="preserve"> και η δεύτερη του </w:t>
      </w:r>
      <w:r>
        <w:rPr>
          <w:color w:val="5D6678"/>
          <w:sz w:val="20"/>
          <w:szCs w:val="20"/>
        </w:rPr>
        <w:t>Fisher</w:t>
      </w:r>
      <w:r w:rsidRPr="003E4EEA">
        <w:rPr>
          <w:color w:val="5D6678"/>
          <w:sz w:val="20"/>
          <w:szCs w:val="20"/>
          <w:lang w:val="el-GR"/>
        </w:rPr>
        <w:t>.</w:t>
      </w:r>
    </w:p>
    <w:p w14:paraId="0C4E6A5A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 xml:space="preserve">10. Η διαφορά </w:t>
      </w:r>
      <w:r>
        <w:rPr>
          <w:b/>
          <w:bCs/>
        </w:rPr>
        <w:t>Stern</w:t>
      </w:r>
      <w:r w:rsidRPr="003E4EEA">
        <w:rPr>
          <w:b/>
          <w:bCs/>
          <w:lang w:val="el-GR"/>
        </w:rPr>
        <w:t xml:space="preserve"> (περίπου 1,4%) και </w:t>
      </w:r>
      <w:r>
        <w:rPr>
          <w:b/>
          <w:bCs/>
        </w:rPr>
        <w:t>Nordhaus</w:t>
      </w:r>
      <w:r w:rsidRPr="003E4EEA">
        <w:rPr>
          <w:b/>
          <w:bCs/>
          <w:lang w:val="el-GR"/>
        </w:rPr>
        <w:t xml:space="preserve"> (περίπου 4–5%) για το προεξοφλητικό επιτόκιο της κλιματικής πολιτικής είναι κυρίως:</w:t>
      </w:r>
    </w:p>
    <w:p w14:paraId="3752B5D8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Στατιστική, επειδή χρησιμοποιούν διαφορετικά δεδομένα</w:t>
      </w:r>
    </w:p>
    <w:p w14:paraId="7B16ED51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Λογιστική, επειδή μετρούν διαφορετικά τα κόστη</w:t>
      </w:r>
    </w:p>
    <w:p w14:paraId="399B3210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Τεχνική, επειδή χρησιμοποιούν διαφορετικά κλιματικά μοντέλα</w:t>
      </w:r>
    </w:p>
    <w:p w14:paraId="11DC708C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Δ. Ηθική: πόση στάθμιση έχουν οι μελλοντικές γενιές σε σχέση με εμάς  ✓</w:t>
      </w:r>
    </w:p>
    <w:p w14:paraId="50D67171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Η επιλογή προεξοφλητικού επιτοκίου είναι κανονιστική, όχι τεχνική· κανένα δεδομένο δεν την επιλύει.</w:t>
      </w:r>
    </w:p>
    <w:p w14:paraId="4DCAD9EF" w14:textId="77777777" w:rsidR="0004078A" w:rsidRPr="003E4EEA" w:rsidRDefault="00000000">
      <w:pPr>
        <w:rPr>
          <w:lang w:val="el-GR"/>
        </w:rPr>
      </w:pPr>
      <w:r w:rsidRPr="003E4EEA">
        <w:rPr>
          <w:lang w:val="el-GR"/>
        </w:rPr>
        <w:br w:type="page"/>
      </w:r>
    </w:p>
    <w:p w14:paraId="7A179683" w14:textId="77777777" w:rsidR="0004078A" w:rsidRPr="003E4EEA" w:rsidRDefault="00000000">
      <w:pPr>
        <w:pStyle w:val="Heading2"/>
        <w:rPr>
          <w:lang w:val="el-GR"/>
        </w:rPr>
      </w:pPr>
      <w:r w:rsidRPr="003E4EEA">
        <w:rPr>
          <w:lang w:val="el-GR"/>
        </w:rPr>
        <w:lastRenderedPageBreak/>
        <w:t>Μέρος Β΄ · Κίνδυνος και αβεβαιότητα</w:t>
      </w:r>
    </w:p>
    <w:p w14:paraId="75F626FB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 xml:space="preserve">1. Σύμφωνα με τη διάκριση του </w:t>
      </w:r>
      <w:r>
        <w:rPr>
          <w:b/>
          <w:bCs/>
        </w:rPr>
        <w:t>Knight</w:t>
      </w:r>
      <w:r w:rsidRPr="003E4EEA">
        <w:rPr>
          <w:b/>
          <w:bCs/>
          <w:lang w:val="el-GR"/>
        </w:rPr>
        <w:t>, ποια πρόταση είναι σωστή;</w:t>
      </w:r>
    </w:p>
    <w:p w14:paraId="7F427413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Α. Στον κίνδυνο η κατανομή των ενδεχομένων είναι γνωστή· στην αβεβαιότητα είναι άγνωστη  ✓</w:t>
      </w:r>
    </w:p>
    <w:p w14:paraId="336BF7B6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Στον κίνδυνο η κατανομή είναι άγνωστη· στην αβεβαιότητα είναι γνωστή</w:t>
      </w:r>
    </w:p>
    <w:p w14:paraId="500ACFDE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Κίνδυνος και αβεβαιότητα είναι εξίσου μετρήσιμα</w:t>
      </w:r>
    </w:p>
    <w:p w14:paraId="49D54DD1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Ο κίνδυνος αφορά μόνο ζημίες και η αβεβαιότητα μόνο κέρδη</w:t>
      </w:r>
    </w:p>
    <w:p w14:paraId="1717206C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Κίνδυνος: μετρήσιμο άγνωστο, άρα ασφαλίσιμο. Αβεβαιότητα: μη μετρήσιμο, απαιτεί κρίση.</w:t>
      </w:r>
    </w:p>
    <w:p w14:paraId="6D438C60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 xml:space="preserve">2. Κατά τον </w:t>
      </w:r>
      <w:r>
        <w:rPr>
          <w:b/>
          <w:bCs/>
        </w:rPr>
        <w:t>Knight</w:t>
      </w:r>
      <w:r w:rsidRPr="003E4EEA">
        <w:rPr>
          <w:b/>
          <w:bCs/>
          <w:lang w:val="el-GR"/>
        </w:rPr>
        <w:t>, από πού προκύπτει το επιχειρηματικό κέρδος;</w:t>
      </w:r>
    </w:p>
    <w:p w14:paraId="536D211B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Από την εργασία του επιχειρηματία</w:t>
      </w:r>
    </w:p>
    <w:p w14:paraId="1C9BE7BF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Από την ανάληψη μετρήσιμου κινδύνου</w:t>
      </w:r>
    </w:p>
    <w:p w14:paraId="2416432F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Από το κεφάλαιο που επενδύει</w:t>
      </w:r>
    </w:p>
    <w:p w14:paraId="051C2FC7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Δ. Από την ανάληψη γνήσιας αβεβαιότητας που κανείς δεν μπορεί να τιμολογήσει  ✓</w:t>
      </w:r>
    </w:p>
    <w:p w14:paraId="2561A6A2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Ο μετρήσιμος κίνδυνος ασφαλίζεται και γίνεται σταθερό κόστος, άρα δεν αφήνει κέρδος.</w:t>
      </w:r>
    </w:p>
    <w:p w14:paraId="2E425750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 xml:space="preserve">3. Τι είναι το «βάρος του επιχειρήματος» στην Πραγματεία περί Πιθανότητας του </w:t>
      </w:r>
      <w:r>
        <w:rPr>
          <w:b/>
          <w:bCs/>
        </w:rPr>
        <w:t>Keynes</w:t>
      </w:r>
      <w:r w:rsidRPr="003E4EEA">
        <w:rPr>
          <w:b/>
          <w:bCs/>
          <w:lang w:val="el-GR"/>
        </w:rPr>
        <w:t>;</w:t>
      </w:r>
    </w:p>
    <w:p w14:paraId="421C7653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Πόσο πιθανό είναι ένα γεγονός</w:t>
      </w:r>
    </w:p>
    <w:p w14:paraId="58F414F5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Β. Πόσο πλούσια είναι η βάση των στοιχείων που στηρίζει μια εκτίμηση  ✓</w:t>
      </w:r>
    </w:p>
    <w:p w14:paraId="26D4EDCC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Το μέγεθος της πιθανής ζημίας</w:t>
      </w:r>
    </w:p>
    <w:p w14:paraId="51B36913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Ο αριθμός των δυνατών ενδεχομένων</w:t>
      </w:r>
    </w:p>
    <w:p w14:paraId="6AD2E00E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Δύο εκτιμήσεις μπορεί να δίνουν και οι δύο 60%, αλλά η μία να στηρίζεται σε χίλιες παρατηρήσεις και η άλλη σε δύο.</w:t>
      </w:r>
    </w:p>
    <w:p w14:paraId="36EA7757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 xml:space="preserve">4. Τι εικονογραφεί η «γαλοπούλα του </w:t>
      </w:r>
      <w:r>
        <w:rPr>
          <w:b/>
          <w:bCs/>
        </w:rPr>
        <w:t>Russell</w:t>
      </w:r>
      <w:r w:rsidRPr="003E4EEA">
        <w:rPr>
          <w:b/>
          <w:bCs/>
          <w:lang w:val="el-GR"/>
        </w:rPr>
        <w:t>»;</w:t>
      </w:r>
    </w:p>
    <w:p w14:paraId="5BF120FE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Το όφελος της διαφοροποίησης</w:t>
      </w:r>
    </w:p>
    <w:p w14:paraId="4C8B88B0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Τον ηθικό κίνδυνο</w:t>
      </w:r>
    </w:p>
    <w:p w14:paraId="2007AEAB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Γ. Το πρόβλημα της επαγωγής  ✓</w:t>
      </w:r>
    </w:p>
    <w:p w14:paraId="61C48AB8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Την αποστροφή κινδύνου</w:t>
      </w:r>
    </w:p>
    <w:p w14:paraId="4C0AA250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Ένα μεγάλο και σταθερό δείγμα μπορεί να είναι τελείως παραπλανητικό ως προς τη δομή του μέλλοντος.</w:t>
      </w:r>
    </w:p>
    <w:p w14:paraId="4F01BF5D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 xml:space="preserve">5. Πώς έλυσε ο </w:t>
      </w:r>
      <w:r>
        <w:rPr>
          <w:b/>
          <w:bCs/>
        </w:rPr>
        <w:t>Daniel</w:t>
      </w:r>
      <w:r w:rsidRPr="003E4EEA">
        <w:rPr>
          <w:b/>
          <w:bCs/>
          <w:lang w:val="el-GR"/>
        </w:rPr>
        <w:t xml:space="preserve"> </w:t>
      </w:r>
      <w:r>
        <w:rPr>
          <w:b/>
          <w:bCs/>
        </w:rPr>
        <w:t>Bernoulli</w:t>
      </w:r>
      <w:r w:rsidRPr="003E4EEA">
        <w:rPr>
          <w:b/>
          <w:bCs/>
          <w:lang w:val="el-GR"/>
        </w:rPr>
        <w:t xml:space="preserve"> το παράδοξο της Αγίας Πετρούπολης;</w:t>
      </w:r>
    </w:p>
    <w:p w14:paraId="111726A2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Α. Με τη φθίνουσα οριακή χρησιμότητα  ✓</w:t>
      </w:r>
    </w:p>
    <w:p w14:paraId="4031D225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Με την αύξηση του αριθμού των ρίψεων</w:t>
      </w:r>
    </w:p>
    <w:p w14:paraId="52579F3F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Με τη διαφοροποίηση των στοιχημάτων</w:t>
      </w:r>
    </w:p>
    <w:p w14:paraId="06850A82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Με την προεξόφληση των μελλοντικών κερδών</w:t>
      </w:r>
    </w:p>
    <w:p w14:paraId="38F0CFCE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Δεν μετράει το ποσό αλλά η χρησιμότητά του· το δεύτερο εκατομμύριο προσθέτει λιγότερα από το πρώτο.</w:t>
      </w:r>
    </w:p>
    <w:p w14:paraId="0960DC9E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6. Στοίχημα: 50% να έχετε 40.000 € και 50% να έχετε 160.000 €. Αν το ισοδύναμο βεβαιότητας είναι 78.000 €, πόσο είναι το ασφάλιστρο κινδύνου;</w:t>
      </w:r>
    </w:p>
    <w:p w14:paraId="63FC5783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78.000 €</w:t>
      </w:r>
    </w:p>
    <w:p w14:paraId="62B62CAE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100.000 €</w:t>
      </w:r>
    </w:p>
    <w:p w14:paraId="01DD053A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Γ. 22.000 €  ✓</w:t>
      </w:r>
    </w:p>
    <w:p w14:paraId="171E38C5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60.000 €</w:t>
      </w:r>
    </w:p>
    <w:p w14:paraId="7D74A7F8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Αναμενόμενος πλούτος 100.000 € − ισοδύναμο βεβαιότητας 78.000 € = 22.000 €.</w:t>
      </w:r>
    </w:p>
    <w:p w14:paraId="7F5CD418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lastRenderedPageBreak/>
        <w:t>7. Σε ένα διαφοροποιημένο χαρτοφυλάκιο, ποιο είναι το κρίσιμο μέγεθος για τη μείωση του κινδύνου;</w:t>
      </w:r>
    </w:p>
    <w:p w14:paraId="2741986D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Ο αριθμός των μετοχών</w:t>
      </w:r>
    </w:p>
    <w:p w14:paraId="1A81633E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Το μέγεθος των εταιρειών</w:t>
      </w:r>
    </w:p>
    <w:p w14:paraId="70C90C99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Η ηλικία των εταιρειών</w:t>
      </w:r>
    </w:p>
    <w:p w14:paraId="6BF549EF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Δ. Η συσχέτιση μεταξύ των στοιχείων  ✓</w:t>
      </w:r>
    </w:p>
    <w:p w14:paraId="3C223582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Εκατό μετοχές τραπεζών δεν είναι διαφοροποιημένο χαρτοφυλάκιο· μετράει η συσχέτιση, όχι το πλήθος.</w:t>
      </w:r>
    </w:p>
    <w:p w14:paraId="076B946C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8. Ποιο είδος κινδύνου αμείβεται με επιπλέον απόδοση;</w:t>
      </w:r>
    </w:p>
    <w:p w14:paraId="45299EB1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Ο ειδικός (μη συστηματικός) κίνδυνος</w:t>
      </w:r>
    </w:p>
    <w:p w14:paraId="68B9D3A0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Κάθε κίνδυνος, ανεξάρτητα από το είδος του</w:t>
      </w:r>
    </w:p>
    <w:p w14:paraId="3BF88D79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Γ. Ο συστηματικός κίνδυνος (κίνδυνος αγοράς)  ✓</w:t>
      </w:r>
    </w:p>
    <w:p w14:paraId="49582775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Κανένας κίνδυνος</w:t>
      </w:r>
    </w:p>
    <w:p w14:paraId="55EE9ECD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Ο ειδικός κίνδυνος εξαλείφεται δωρεάν με διαφοροποίηση, άρα η αγορά δεν πληρώνει γι' αυτόν.</w:t>
      </w:r>
    </w:p>
    <w:p w14:paraId="3E4EFC82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 xml:space="preserve">9. Με το </w:t>
      </w:r>
      <w:r>
        <w:rPr>
          <w:b/>
          <w:bCs/>
        </w:rPr>
        <w:t>CAPM</w:t>
      </w:r>
      <w:r w:rsidRPr="003E4EEA">
        <w:rPr>
          <w:b/>
          <w:bCs/>
          <w:lang w:val="el-GR"/>
        </w:rPr>
        <w:t>, ακίνδυνο επιτόκιο 3% και ασφάλιστρο κινδύνου αγοράς 5%, ποια είναι η απαιτούμενη απόδοση κατασκευαστικής εταιρείας με β = 1,6;</w:t>
      </w:r>
    </w:p>
    <w:p w14:paraId="7739DF7D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8,0%</w:t>
      </w:r>
    </w:p>
    <w:p w14:paraId="023FBD91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Β. 11,0%  ✓</w:t>
      </w:r>
    </w:p>
    <w:p w14:paraId="62582097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4,6%</w:t>
      </w:r>
    </w:p>
    <w:p w14:paraId="69E7348B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9,6%</w:t>
      </w:r>
    </w:p>
    <w:p w14:paraId="65D7BAB8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3% + 1,6 × 5% = 11%.</w:t>
      </w:r>
    </w:p>
    <w:p w14:paraId="20231936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 xml:space="preserve">10. Η αγορά των «λεμονιών» του </w:t>
      </w:r>
      <w:r>
        <w:rPr>
          <w:b/>
          <w:bCs/>
        </w:rPr>
        <w:t>Akerlof</w:t>
      </w:r>
      <w:r w:rsidRPr="003E4EEA">
        <w:rPr>
          <w:b/>
          <w:bCs/>
          <w:lang w:val="el-GR"/>
        </w:rPr>
        <w:t xml:space="preserve"> περιγράφει:</w:t>
      </w:r>
    </w:p>
    <w:p w14:paraId="7D8AE376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Α. Τη δυσμενή επιλογή  ✓</w:t>
      </w:r>
    </w:p>
    <w:p w14:paraId="54452492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Τον ηθικό κίνδυνο</w:t>
      </w:r>
    </w:p>
    <w:p w14:paraId="7B98D4DE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Τον συστηματικό κίνδυνο</w:t>
      </w:r>
    </w:p>
    <w:p w14:paraId="312B5511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Τη διαφοροποίηση</w:t>
      </w:r>
    </w:p>
    <w:p w14:paraId="666B2FEF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Όταν μόνο ο πωλητής γνωρίζει την ποιότητα, τα καλά αγαθά αποσύρονται και μένουν μόνο τα χειρότερα.</w:t>
      </w:r>
    </w:p>
    <w:p w14:paraId="391ADDF5" w14:textId="77777777" w:rsidR="0004078A" w:rsidRPr="003E4EEA" w:rsidRDefault="00000000">
      <w:pPr>
        <w:rPr>
          <w:lang w:val="el-GR"/>
        </w:rPr>
      </w:pPr>
      <w:r w:rsidRPr="003E4EEA">
        <w:rPr>
          <w:lang w:val="el-GR"/>
        </w:rPr>
        <w:br w:type="page"/>
      </w:r>
    </w:p>
    <w:p w14:paraId="56C1DCB0" w14:textId="77777777" w:rsidR="0004078A" w:rsidRPr="003E4EEA" w:rsidRDefault="00000000">
      <w:pPr>
        <w:pStyle w:val="Heading2"/>
        <w:rPr>
          <w:lang w:val="el-GR"/>
        </w:rPr>
      </w:pPr>
      <w:r w:rsidRPr="003E4EEA">
        <w:rPr>
          <w:lang w:val="el-GR"/>
        </w:rPr>
        <w:lastRenderedPageBreak/>
        <w:t>Μέρος Γ΄ · Επιχείρηση, κεφάλαιο, συμφέροντα</w:t>
      </w:r>
    </w:p>
    <w:p w14:paraId="663C4039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1. Όταν αγοράζετε μια μετοχή στο χρηματιστήριο (δευτερογενής αγορά), τι λαμβάνει η εταιρεία;</w:t>
      </w:r>
    </w:p>
    <w:p w14:paraId="3078C750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Ολόκληρο το ποσό της αγοράς</w:t>
      </w:r>
    </w:p>
    <w:p w14:paraId="24832487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Μια προμήθεια από τη συναλλαγή</w:t>
      </w:r>
    </w:p>
    <w:p w14:paraId="561D0810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Γ. Τίποτα· πληρώνετε κάποιον άλλο επενδυτή  ✓</w:t>
      </w:r>
    </w:p>
    <w:p w14:paraId="32CB306B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Το μισό ποσό</w:t>
      </w:r>
    </w:p>
    <w:p w14:paraId="380D5436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Η εταιρεία εισπράττει χρήματα μόνο στην πρωτογενή αγορά, όταν εκδίδει τον τίτλο για πρώτη φορά.</w:t>
      </w:r>
    </w:p>
    <w:p w14:paraId="72645F33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2. Ποια είναι, κατά τη διάλεξη, η ουσιαστική διαφορά ομολογιούχου και μετόχου;</w:t>
      </w:r>
    </w:p>
    <w:p w14:paraId="0FA52197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Α. Ο ομολογιούχος έχει υπόσχεση, ο μέτοχος έχει ελπίδα  ✓</w:t>
      </w:r>
    </w:p>
    <w:p w14:paraId="4D064D49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Ο ομολογιούχος έχει ψήφο, ο μέτοχος όχι</w:t>
      </w:r>
    </w:p>
    <w:p w14:paraId="05CFC28A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Ο μέτοχος πληρώνεται πρώτος, ο ομολογιούχος τελευταίος</w:t>
      </w:r>
    </w:p>
    <w:p w14:paraId="0E66D385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Ο ομολογιούχος έχει απεριόριστο κέρδος</w:t>
      </w:r>
    </w:p>
    <w:p w14:paraId="19CD4F50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Ο ομολογιούχος έχει προκαθορισμένους τόκους και προτεραιότητα· ο μέτοχος μερίδιο σε ό,τι απομείνει.</w:t>
      </w:r>
    </w:p>
    <w:p w14:paraId="74687A2A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3. Τι συμβαίνει στις τιμές των υφιστάμενων ομολόγων όταν ανεβαίνουν τα επιτόκια της αγοράς;</w:t>
      </w:r>
    </w:p>
    <w:p w14:paraId="67238FBF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Ανεβαίνουν</w:t>
      </w:r>
    </w:p>
    <w:p w14:paraId="5A4E8134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Β. Πέφτουν  ✓</w:t>
      </w:r>
    </w:p>
    <w:p w14:paraId="10BF9A89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Μένουν ίδιες</w:t>
      </w:r>
    </w:p>
    <w:p w14:paraId="219829CD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Μηδενίζονται</w:t>
      </w:r>
    </w:p>
    <w:p w14:paraId="65886181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Στο παράδειγμα, ομόλογο 1.000 € με τοκομερίδιο 3% πέφτει στα 919,70 € όταν τα επιτόκια πάνε στο 6%.</w:t>
      </w:r>
    </w:p>
    <w:p w14:paraId="3C118F5E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4. Σύμφωνα με τη θεωρία της ιεράρχησης (</w:t>
      </w:r>
      <w:r>
        <w:rPr>
          <w:b/>
          <w:bCs/>
        </w:rPr>
        <w:t>pecking</w:t>
      </w:r>
      <w:r w:rsidRPr="003E4EEA">
        <w:rPr>
          <w:b/>
          <w:bCs/>
          <w:lang w:val="el-GR"/>
        </w:rPr>
        <w:t xml:space="preserve"> </w:t>
      </w:r>
      <w:r>
        <w:rPr>
          <w:b/>
          <w:bCs/>
        </w:rPr>
        <w:t>order</w:t>
      </w:r>
      <w:r w:rsidRPr="003E4EEA">
        <w:rPr>
          <w:b/>
          <w:bCs/>
          <w:lang w:val="el-GR"/>
        </w:rPr>
        <w:t xml:space="preserve">) των </w:t>
      </w:r>
      <w:r>
        <w:rPr>
          <w:b/>
          <w:bCs/>
        </w:rPr>
        <w:t>Myers</w:t>
      </w:r>
      <w:r w:rsidRPr="003E4EEA">
        <w:rPr>
          <w:b/>
          <w:bCs/>
          <w:lang w:val="el-GR"/>
        </w:rPr>
        <w:t xml:space="preserve"> και </w:t>
      </w:r>
      <w:r>
        <w:rPr>
          <w:b/>
          <w:bCs/>
        </w:rPr>
        <w:t>Majluf</w:t>
      </w:r>
      <w:r w:rsidRPr="003E4EEA">
        <w:rPr>
          <w:b/>
          <w:bCs/>
          <w:lang w:val="el-GR"/>
        </w:rPr>
        <w:t>, ποια είναι η τελευταία επιλογή χρηματοδότησης;</w:t>
      </w:r>
    </w:p>
    <w:p w14:paraId="08B5EC82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Τα παρακρατηθέντα κέρδη</w:t>
      </w:r>
    </w:p>
    <w:p w14:paraId="463EE528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Ο τραπεζικός δανεισμός</w:t>
      </w:r>
    </w:p>
    <w:p w14:paraId="75EA16A1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Η έκδοση ομολόγων</w:t>
      </w:r>
    </w:p>
    <w:p w14:paraId="30731C4B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Δ. Η έκδοση νέων μετοχών  ✓</w:t>
      </w:r>
    </w:p>
    <w:p w14:paraId="4B114230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Είναι ακριβότερη και στέλνει αρνητικό σήμα: η αγορά υποθέτει ότι η διοίκηση θεωρεί τις μετοχές υπερτιμημένες.</w:t>
      </w:r>
    </w:p>
    <w:p w14:paraId="7024F637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 xml:space="preserve">5. Τι υποστηρίζει το θεώρημα </w:t>
      </w:r>
      <w:r>
        <w:rPr>
          <w:b/>
          <w:bCs/>
        </w:rPr>
        <w:t>Modigliani</w:t>
      </w:r>
      <w:r w:rsidRPr="003E4EEA">
        <w:rPr>
          <w:b/>
          <w:bCs/>
          <w:lang w:val="el-GR"/>
        </w:rPr>
        <w:t>–</w:t>
      </w:r>
      <w:r>
        <w:rPr>
          <w:b/>
          <w:bCs/>
        </w:rPr>
        <w:t>Miller</w:t>
      </w:r>
      <w:r w:rsidRPr="003E4EEA">
        <w:rPr>
          <w:b/>
          <w:bCs/>
          <w:lang w:val="el-GR"/>
        </w:rPr>
        <w:t xml:space="preserve"> (1958) για μια ιδανική αγορά;</w:t>
      </w:r>
    </w:p>
    <w:p w14:paraId="55068075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Το χρέος αυξάνει πάντα την αξία της επιχείρησης</w:t>
      </w:r>
    </w:p>
    <w:p w14:paraId="757AF8AB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Τα ίδια κεφάλαια είναι πάντα φθηνότερα από το χρέος</w:t>
      </w:r>
    </w:p>
    <w:p w14:paraId="09A2B51B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Γ. Η αξία εξαρτάται από τα περιουσιακά στοιχεία, όχι από το πώς χρηματοδοτούνται  ✓</w:t>
      </w:r>
    </w:p>
    <w:p w14:paraId="420A7F63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Η βέλτιστη διάρθρωση είναι 50% χρέος και 50% ίδια κεφάλαια</w:t>
      </w:r>
    </w:p>
    <w:p w14:paraId="27C5C3BF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«Κόβοντας μια πίτσα σε περισσότερα κομμάτια δεν παίρνετε περισσότερη πίτσα».</w:t>
      </w:r>
    </w:p>
    <w:p w14:paraId="68F33480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6. Αγοράζετε ακίνητο 1.000.000 € με 200.000 € ίδια κεφάλαια και 800.000 € δάνειο. Αν η αξία του ανέβει 10%, ποια είναι η απόδοση των ιδίων κεφαλαίων σας;</w:t>
      </w:r>
    </w:p>
    <w:p w14:paraId="55320297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10%</w:t>
      </w:r>
    </w:p>
    <w:p w14:paraId="7A9A50DD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20%</w:t>
      </w:r>
    </w:p>
    <w:p w14:paraId="0D1D31B6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Γ. 50%  ✓</w:t>
      </w:r>
    </w:p>
    <w:p w14:paraId="3408DDAC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100%</w:t>
      </w:r>
    </w:p>
    <w:p w14:paraId="532CDF0F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Κέρδος 100.000 € επί 200.000 € επενδυμένων = 50%. Η μόχλευση πενταπλασιάζει κέρδη και ζημίες.</w:t>
      </w:r>
    </w:p>
    <w:p w14:paraId="7B76188A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lastRenderedPageBreak/>
        <w:t xml:space="preserve">7. Επιχείρηση με 60% ίδια κεφάλαια (κόστος 9%) και 40% χρέος (επιτόκιο 5%, φόρος 22%). Ποιο είναι το </w:t>
      </w:r>
      <w:r>
        <w:rPr>
          <w:b/>
          <w:bCs/>
        </w:rPr>
        <w:t>WACC</w:t>
      </w:r>
      <w:r w:rsidRPr="003E4EEA">
        <w:rPr>
          <w:b/>
          <w:bCs/>
          <w:lang w:val="el-GR"/>
        </w:rPr>
        <w:t>;</w:t>
      </w:r>
    </w:p>
    <w:p w14:paraId="7C985B04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Α. 6,96%  ✓</w:t>
      </w:r>
    </w:p>
    <w:p w14:paraId="7BE8B670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7,40%</w:t>
      </w:r>
    </w:p>
    <w:p w14:paraId="29ABEEFC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9,00%</w:t>
      </w:r>
    </w:p>
    <w:p w14:paraId="43FBFC9C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5,40%</w:t>
      </w:r>
    </w:p>
    <w:p w14:paraId="3516B5F4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0,60 × 9% + 0,40 × 5% × (1 − 0,22) = 5,4% + 1,56% = 6,96%.</w:t>
      </w:r>
    </w:p>
    <w:p w14:paraId="434F1DD8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8. Ποιο από τα παρακάτω ΔΕΝ είναι συνθήκη του προβλήματος εντολέα–εντολοδόχου;</w:t>
      </w:r>
    </w:p>
    <w:p w14:paraId="4D38B6E4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Αποκλίνοντα συμφέροντα</w:t>
      </w:r>
    </w:p>
    <w:p w14:paraId="13CD375A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Ασύμμετρη πληροφόρηση</w:t>
      </w:r>
    </w:p>
    <w:p w14:paraId="42D12819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Μη παρατηρησιμότητα της έκβασης</w:t>
      </w:r>
    </w:p>
    <w:p w14:paraId="6CFC2DF5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Δ. Πλήρης διαφάνεια των αποφάσεων  ✓</w:t>
      </w:r>
    </w:p>
    <w:p w14:paraId="217BF8E8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Οι τρεις συνθήκες υπάρχουν σχεδόν πάντοτε· γι' αυτό το πρόβλημα διαχειρίζεται, δεν εξαλείφεται.</w:t>
      </w:r>
    </w:p>
    <w:p w14:paraId="2C089B26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 xml:space="preserve">9. Τι λέει ο νόμος του </w:t>
      </w:r>
      <w:r>
        <w:rPr>
          <w:b/>
          <w:bCs/>
        </w:rPr>
        <w:t>Goodhart</w:t>
      </w:r>
      <w:r w:rsidRPr="003E4EEA">
        <w:rPr>
          <w:b/>
          <w:bCs/>
          <w:lang w:val="el-GR"/>
        </w:rPr>
        <w:t>;</w:t>
      </w:r>
    </w:p>
    <w:p w14:paraId="6134C37D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Το χρέος πειθαρχεί τη διοίκηση</w:t>
      </w:r>
    </w:p>
    <w:p w14:paraId="403C8593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Β. Όταν ένα μέτρο γίνεται στόχος, παύει να είναι καλό μέτρο  ✓</w:t>
      </w:r>
    </w:p>
    <w:p w14:paraId="6CDD3935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Η αγορά αμείβει μόνο τον συστηματικό κίνδυνο</w:t>
      </w:r>
    </w:p>
    <w:p w14:paraId="7DE89A2A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Οι διαχειριστές δεν φυλάσσουν τα ξένα χρήματα όπως τα δικά τους</w:t>
      </w:r>
    </w:p>
    <w:p w14:paraId="5F6F3D75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 xml:space="preserve">Παράδειγμα: περικοπή έρευνας που αυξάνει τα κέρδη τριετίας αλλά έχει </w:t>
      </w:r>
      <w:r>
        <w:rPr>
          <w:color w:val="5D6678"/>
          <w:sz w:val="20"/>
          <w:szCs w:val="20"/>
        </w:rPr>
        <w:t>NPV</w:t>
      </w:r>
      <w:r w:rsidRPr="003E4EEA">
        <w:rPr>
          <w:color w:val="5D6678"/>
          <w:sz w:val="20"/>
          <w:szCs w:val="20"/>
          <w:lang w:val="el-GR"/>
        </w:rPr>
        <w:t xml:space="preserve"> −52 εκατ. € για την επιχείρηση.</w:t>
      </w:r>
    </w:p>
    <w:p w14:paraId="4995A99D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10. Τι είναι η «υποκατάσταση περιουσιακών στοιχείων» (</w:t>
      </w:r>
      <w:r>
        <w:rPr>
          <w:b/>
          <w:bCs/>
        </w:rPr>
        <w:t>asset</w:t>
      </w:r>
      <w:r w:rsidRPr="003E4EEA">
        <w:rPr>
          <w:b/>
          <w:bCs/>
          <w:lang w:val="el-GR"/>
        </w:rPr>
        <w:t xml:space="preserve"> </w:t>
      </w:r>
      <w:r>
        <w:rPr>
          <w:b/>
          <w:bCs/>
        </w:rPr>
        <w:t>substitution</w:t>
      </w:r>
      <w:r w:rsidRPr="003E4EEA">
        <w:rPr>
          <w:b/>
          <w:bCs/>
          <w:lang w:val="el-GR"/>
        </w:rPr>
        <w:t>);</w:t>
      </w:r>
    </w:p>
    <w:p w14:paraId="0D98CC65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Α. Μετά τον δανεισμό οι μέτοχοι στρέφονται σε πιο ριψοκίνδυνα έργα: το κέρδος είναι δικό τους, τη ζημία την υφίστανται οι πιστωτές  ✓</w:t>
      </w:r>
    </w:p>
    <w:p w14:paraId="39E608CC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Η πώληση παγίων για την αποπληρωμή του χρέους</w:t>
      </w:r>
    </w:p>
    <w:p w14:paraId="48EC463C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Η αντικατάσταση τραπεζικού δανείου με ομόλογα</w:t>
      </w:r>
    </w:p>
    <w:p w14:paraId="2B4F5A9E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Η μετατροπή ομολόγων σε μετοχές</w:t>
      </w:r>
    </w:p>
    <w:p w14:paraId="1E542BAE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Η περιορισμένη ευθύνη κάνει τη θέση του μετόχου να μοιάζει με δικαίωμα προαίρεσης, που επωφελείται από τη μεταβλητότητα.</w:t>
      </w:r>
    </w:p>
    <w:p w14:paraId="1E1C623E" w14:textId="77777777" w:rsidR="0004078A" w:rsidRPr="003E4EEA" w:rsidRDefault="00000000">
      <w:pPr>
        <w:rPr>
          <w:lang w:val="el-GR"/>
        </w:rPr>
      </w:pPr>
      <w:r w:rsidRPr="003E4EEA">
        <w:rPr>
          <w:lang w:val="el-GR"/>
        </w:rPr>
        <w:br w:type="page"/>
      </w:r>
    </w:p>
    <w:p w14:paraId="41F1A88F" w14:textId="77777777" w:rsidR="0004078A" w:rsidRPr="003E4EEA" w:rsidRDefault="00000000">
      <w:pPr>
        <w:pStyle w:val="Heading2"/>
        <w:rPr>
          <w:lang w:val="el-GR"/>
        </w:rPr>
      </w:pPr>
      <w:r w:rsidRPr="003E4EEA">
        <w:rPr>
          <w:lang w:val="el-GR"/>
        </w:rPr>
        <w:lastRenderedPageBreak/>
        <w:t>Μέρος Δ΄ · Αποφάσεις και γνώση</w:t>
      </w:r>
    </w:p>
    <w:p w14:paraId="6EDC4D17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1. Έργο με αρχική δαπάνη 100.000 € και καθαρές εισροές 30.000 € τον χρόνο. Ποια είναι η περίοδος επανείσπραξης;</w:t>
      </w:r>
    </w:p>
    <w:p w14:paraId="14864EB7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Α. 3 έτη και 4 μήνες  ✓</w:t>
      </w:r>
    </w:p>
    <w:p w14:paraId="7F86708F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5 έτη</w:t>
      </w:r>
    </w:p>
    <w:p w14:paraId="639912FC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2 έτη και 6 μήνες</w:t>
      </w:r>
    </w:p>
    <w:p w14:paraId="027A4343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4 έτη</w:t>
      </w:r>
    </w:p>
    <w:p w14:paraId="27732287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100.000 ÷ 30.000 = 3,33 έτη.</w:t>
      </w:r>
    </w:p>
    <w:p w14:paraId="07006FF0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2. Ποια είναι η βασική αδυναμία της περιόδου επανείσπραξης;</w:t>
      </w:r>
    </w:p>
    <w:p w14:paraId="36D2FAF7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Είναι δύσκολη στον υπολογισμό</w:t>
      </w:r>
    </w:p>
    <w:p w14:paraId="56F2B916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Β. Αγνοεί τη διαχρονική αξία του χρήματος και τις ροές μετά την επανείσπραξη  ✓</w:t>
      </w:r>
    </w:p>
    <w:p w14:paraId="38B3554A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Απαιτεί γνώση του κόστους κεφαλαίου</w:t>
      </w:r>
    </w:p>
    <w:p w14:paraId="52DBB89F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Δίνει πολλαπλά αποτελέσματα</w:t>
      </w:r>
    </w:p>
    <w:p w14:paraId="52468334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Χρήσιμη ως πρώτο φίλτρο και έλεγχος ρευστότητας, ποτέ ως κριτήριο απόφασης από μόνη της.</w:t>
      </w:r>
    </w:p>
    <w:p w14:paraId="76243AC1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3. Για το ίδιο έργο (100.000 € σήμερα, 30.000 € τον χρόνο για 5 έτη) με κόστος κεφαλαίου 8%, ποια είναι η καθαρή παρούσα αξία (</w:t>
      </w:r>
      <w:r>
        <w:rPr>
          <w:b/>
          <w:bCs/>
        </w:rPr>
        <w:t>NPV</w:t>
      </w:r>
      <w:r w:rsidRPr="003E4EEA">
        <w:rPr>
          <w:b/>
          <w:bCs/>
          <w:lang w:val="el-GR"/>
        </w:rPr>
        <w:t>);</w:t>
      </w:r>
    </w:p>
    <w:p w14:paraId="66EEE849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+50.000 €</w:t>
      </w:r>
    </w:p>
    <w:p w14:paraId="76522131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+30.218 €</w:t>
      </w:r>
    </w:p>
    <w:p w14:paraId="47D04B7D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Γ. +19.782 €  ✓</w:t>
      </w:r>
    </w:p>
    <w:p w14:paraId="1CECC976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−19.782 €</w:t>
      </w:r>
    </w:p>
    <w:p w14:paraId="42F97F8B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Οι εισροές αξίζουν σήμερα 119.782 €· μείον 100.000 € = +19.782 €.</w:t>
      </w:r>
    </w:p>
    <w:p w14:paraId="789EE2DD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4. Τι είναι ο εσωτερικός βαθμός απόδοσης (</w:t>
      </w:r>
      <w:r>
        <w:rPr>
          <w:b/>
          <w:bCs/>
        </w:rPr>
        <w:t>IRR</w:t>
      </w:r>
      <w:r w:rsidRPr="003E4EEA">
        <w:rPr>
          <w:b/>
          <w:bCs/>
          <w:lang w:val="el-GR"/>
        </w:rPr>
        <w:t>);</w:t>
      </w:r>
    </w:p>
    <w:p w14:paraId="027243A8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Το κόστος κεφαλαίου της επιχείρησης</w:t>
      </w:r>
    </w:p>
    <w:p w14:paraId="749A31CF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Η απόδοση του πρώτου έτους</w:t>
      </w:r>
    </w:p>
    <w:p w14:paraId="5A75D1BA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Ο λόγος εισροών προς αρχική δαπάνη</w:t>
      </w:r>
    </w:p>
    <w:p w14:paraId="74FBC354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 xml:space="preserve">Δ. Το επιτόκιο στο οποίο η </w:t>
      </w:r>
      <w:r>
        <w:rPr>
          <w:b/>
          <w:bCs/>
          <w:color w:val="1B6B3A"/>
        </w:rPr>
        <w:t>NPV</w:t>
      </w:r>
      <w:r w:rsidRPr="003E4EEA">
        <w:rPr>
          <w:b/>
          <w:bCs/>
          <w:color w:val="1B6B3A"/>
          <w:lang w:val="el-GR"/>
        </w:rPr>
        <w:t xml:space="preserve"> μηδενίζεται  ✓</w:t>
      </w:r>
    </w:p>
    <w:p w14:paraId="798169E5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 xml:space="preserve">Δεχόμαστε το έργο όταν ο </w:t>
      </w:r>
      <w:r>
        <w:rPr>
          <w:color w:val="5D6678"/>
          <w:sz w:val="20"/>
          <w:szCs w:val="20"/>
        </w:rPr>
        <w:t>IRR</w:t>
      </w:r>
      <w:r w:rsidRPr="003E4EEA">
        <w:rPr>
          <w:color w:val="5D6678"/>
          <w:sz w:val="20"/>
          <w:szCs w:val="20"/>
          <w:lang w:val="el-GR"/>
        </w:rPr>
        <w:t xml:space="preserve"> υπερβαίνει το κόστος κεφαλαίου (στο παράδειγμα 15,2% έναντι 8%).</w:t>
      </w:r>
    </w:p>
    <w:p w14:paraId="74C8641C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 xml:space="preserve">5. Ποια είναι μια βασική παγίδα του </w:t>
      </w:r>
      <w:r>
        <w:rPr>
          <w:b/>
          <w:bCs/>
        </w:rPr>
        <w:t>IRR</w:t>
      </w:r>
      <w:r w:rsidRPr="003E4EEA">
        <w:rPr>
          <w:b/>
          <w:bCs/>
          <w:lang w:val="el-GR"/>
        </w:rPr>
        <w:t>;</w:t>
      </w:r>
    </w:p>
    <w:p w14:paraId="46B571FE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Α. Αγνοεί την κλίμακα του έργου  ✓</w:t>
      </w:r>
    </w:p>
    <w:p w14:paraId="39E305CD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Αγνοεί τη διαχρονική αξία του χρήματος</w:t>
      </w:r>
    </w:p>
    <w:p w14:paraId="55624BDC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Δεν επικοινωνείται εύκολα</w:t>
      </w:r>
    </w:p>
    <w:p w14:paraId="37050E37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Αγνοεί όλες τις ροές μετά το τρίτο έτος</w:t>
      </w:r>
    </w:p>
    <w:p w14:paraId="57FF1EE8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 xml:space="preserve">Έργο με </w:t>
      </w:r>
      <w:r>
        <w:rPr>
          <w:color w:val="5D6678"/>
          <w:sz w:val="20"/>
          <w:szCs w:val="20"/>
        </w:rPr>
        <w:t>IRR</w:t>
      </w:r>
      <w:r w:rsidRPr="003E4EEA">
        <w:rPr>
          <w:color w:val="5D6678"/>
          <w:sz w:val="20"/>
          <w:szCs w:val="20"/>
          <w:lang w:val="el-GR"/>
        </w:rPr>
        <w:t xml:space="preserve"> 40% και κέρδος 5.000 € φαίνεται καλύτερο από έργο με </w:t>
      </w:r>
      <w:r>
        <w:rPr>
          <w:color w:val="5D6678"/>
          <w:sz w:val="20"/>
          <w:szCs w:val="20"/>
        </w:rPr>
        <w:t>IRR</w:t>
      </w:r>
      <w:r w:rsidRPr="003E4EEA">
        <w:rPr>
          <w:color w:val="5D6678"/>
          <w:sz w:val="20"/>
          <w:szCs w:val="20"/>
          <w:lang w:val="el-GR"/>
        </w:rPr>
        <w:t xml:space="preserve"> 15% και κέρδος 2.000.000 €.</w:t>
      </w:r>
    </w:p>
    <w:p w14:paraId="71519CB2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6. Πώς πρέπει να αντιμετωπίζεται ένα βυθισμένο κόστος σε μια μελλοντική απόφαση;</w:t>
      </w:r>
    </w:p>
    <w:p w14:paraId="62F54083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Να προστίθεται στο κόστος του έργου</w:t>
      </w:r>
    </w:p>
    <w:p w14:paraId="75B8D880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 xml:space="preserve">Β. Να αφαιρείται από την </w:t>
      </w:r>
      <w:r>
        <w:t>NPV</w:t>
      </w:r>
    </w:p>
    <w:p w14:paraId="4F568A74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Γ. Να αγνοείται εντελώς  ✓</w:t>
      </w:r>
    </w:p>
    <w:p w14:paraId="460A69F8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Να προεξοφλείται με το κόστος κεφαλαίου</w:t>
      </w:r>
    </w:p>
    <w:p w14:paraId="1890232B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«Έχουμε ήδη επενδύσει 2 εκατ.» δεν είναι λόγος να συνεχίσουμε. Η μόνη ερώτηση: από εδώ και μπρος, αξίζει;</w:t>
      </w:r>
    </w:p>
    <w:p w14:paraId="6CA1D474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lastRenderedPageBreak/>
        <w:t>7. Τι είναι το κόστος ευκαιρίας;</w:t>
      </w:r>
    </w:p>
    <w:p w14:paraId="176049F3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Τα χρήματα που δαπανώνται για μια επιλογή</w:t>
      </w:r>
    </w:p>
    <w:p w14:paraId="6401A0A7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Β. Η καλύτερη εναλλακτική που εγκαταλείπεται  ✓</w:t>
      </w:r>
    </w:p>
    <w:p w14:paraId="2D7D1B68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Το κόστος που έχει ήδη πραγματοποιηθεί</w:t>
      </w:r>
    </w:p>
    <w:p w14:paraId="33913E79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Ο φόρος που πληρώνεται για ένα έργο</w:t>
      </w:r>
    </w:p>
    <w:p w14:paraId="66166BB1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Το κτίριο που «έχετε ήδη» δεν είναι δωρεάν: θα μπορούσε να ενοικιαστεί.</w:t>
      </w:r>
    </w:p>
    <w:p w14:paraId="052E46F0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>8. Ποια μορφή της υπόθεσης της αποτελεσματικής αγοράς απορρίπτεται εμπειρικά;</w:t>
      </w:r>
    </w:p>
    <w:p w14:paraId="5B640C4C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Η ασθενής μορφή</w:t>
      </w:r>
    </w:p>
    <w:p w14:paraId="2838B8C5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Η ημι-ισχυρή μορφή</w:t>
      </w:r>
    </w:p>
    <w:p w14:paraId="23152C65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Όλες στηρίζονται εμπειρικά</w:t>
      </w:r>
    </w:p>
    <w:p w14:paraId="7E54D576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Δ. Η ισχυρή μορφή  ✓</w:t>
      </w:r>
    </w:p>
    <w:p w14:paraId="178E079B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Τα στελέχη με εσωτερική πληροφορία μπορούν να κερδίσουν την αγορά· γι' αυτό η χρήση της είναι ποινικό αδίκημα.</w:t>
      </w:r>
    </w:p>
    <w:p w14:paraId="3EC682FA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 xml:space="preserve">9. Τι δείχνει το παράδοξο </w:t>
      </w:r>
      <w:r>
        <w:rPr>
          <w:b/>
          <w:bCs/>
        </w:rPr>
        <w:t>Grossman</w:t>
      </w:r>
      <w:r w:rsidRPr="003E4EEA">
        <w:rPr>
          <w:b/>
          <w:bCs/>
          <w:lang w:val="el-GR"/>
        </w:rPr>
        <w:t>–</w:t>
      </w:r>
      <w:r>
        <w:rPr>
          <w:b/>
          <w:bCs/>
        </w:rPr>
        <w:t>Stiglitz</w:t>
      </w:r>
      <w:r w:rsidRPr="003E4EEA">
        <w:rPr>
          <w:b/>
          <w:bCs/>
          <w:lang w:val="el-GR"/>
        </w:rPr>
        <w:t>;</w:t>
      </w:r>
    </w:p>
    <w:p w14:paraId="609B771A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Α. Η αγορά πρέπει να είναι μόνιμα λίγο αναποτελεσματική για να λειτουργεί  ✓</w:t>
      </w:r>
    </w:p>
    <w:p w14:paraId="473508D2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Οι αγορές είναι πάντοτε τέλεια αποτελεσματικές</w:t>
      </w:r>
    </w:p>
    <w:p w14:paraId="58A03B1A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Γ. Η συλλογή πληροφορίας δεν έχει κόστος</w:t>
      </w:r>
    </w:p>
    <w:p w14:paraId="160833FB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Δ. Η τεχνική ανάλυση αποφέρει συστηματικά υπερκέρδη</w:t>
      </w:r>
    </w:p>
    <w:p w14:paraId="53BEEE5D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Αν οι τιμές αντανακλούσαν τέλεια κάθε πληροφορία, κανείς δεν θα είχε κίνητρο να την αναζητήσει.</w:t>
      </w:r>
    </w:p>
    <w:p w14:paraId="5ECB38E1" w14:textId="77777777" w:rsidR="0004078A" w:rsidRPr="003E4EEA" w:rsidRDefault="00000000">
      <w:pPr>
        <w:keepNext/>
        <w:spacing w:before="200" w:after="80"/>
        <w:rPr>
          <w:lang w:val="el-GR"/>
        </w:rPr>
      </w:pPr>
      <w:r w:rsidRPr="003E4EEA">
        <w:rPr>
          <w:b/>
          <w:bCs/>
          <w:lang w:val="el-GR"/>
        </w:rPr>
        <w:t xml:space="preserve">10. Σύμφωνα με τον </w:t>
      </w:r>
      <w:r>
        <w:rPr>
          <w:b/>
          <w:bCs/>
        </w:rPr>
        <w:t>MacKenzie</w:t>
      </w:r>
      <w:r w:rsidRPr="003E4EEA">
        <w:rPr>
          <w:b/>
          <w:bCs/>
          <w:lang w:val="el-GR"/>
        </w:rPr>
        <w:t xml:space="preserve"> (επιτελεστικότητα των μοντέλων), τι συνέβη με το υπόδειγμα </w:t>
      </w:r>
      <w:r>
        <w:rPr>
          <w:b/>
          <w:bCs/>
        </w:rPr>
        <w:t>Black</w:t>
      </w:r>
      <w:r w:rsidRPr="003E4EEA">
        <w:rPr>
          <w:b/>
          <w:bCs/>
          <w:lang w:val="el-GR"/>
        </w:rPr>
        <w:t>–</w:t>
      </w:r>
      <w:r>
        <w:rPr>
          <w:b/>
          <w:bCs/>
        </w:rPr>
        <w:t>Scholes</w:t>
      </w:r>
      <w:r w:rsidRPr="003E4EEA">
        <w:rPr>
          <w:b/>
          <w:bCs/>
          <w:lang w:val="el-GR"/>
        </w:rPr>
        <w:t>;</w:t>
      </w:r>
    </w:p>
    <w:p w14:paraId="3551FA70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Α. Απορρίφθηκε αμέσως από τους επαγγελματίες</w:t>
      </w:r>
    </w:p>
    <w:p w14:paraId="25016757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>Β. Περιέγραφε τέλεια τις τιμές από την αρχή</w:t>
      </w:r>
    </w:p>
    <w:p w14:paraId="41E6477A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b/>
          <w:bCs/>
          <w:color w:val="1B6B3A"/>
          <w:lang w:val="el-GR"/>
        </w:rPr>
        <w:t>Γ. Καθώς όλοι το χρησιμοποιούσαν, οι τιμές συνέκλιναν προς αυτό  ✓</w:t>
      </w:r>
    </w:p>
    <w:p w14:paraId="3A50E91D" w14:textId="77777777" w:rsidR="0004078A" w:rsidRPr="003E4EEA" w:rsidRDefault="00000000">
      <w:pPr>
        <w:keepNext/>
        <w:spacing w:after="40"/>
        <w:ind w:left="360"/>
        <w:rPr>
          <w:lang w:val="el-GR"/>
        </w:rPr>
      </w:pPr>
      <w:r w:rsidRPr="003E4EEA">
        <w:rPr>
          <w:lang w:val="el-GR"/>
        </w:rPr>
        <w:t xml:space="preserve">Δ. Αντικαταστάθηκε από το </w:t>
      </w:r>
      <w:r>
        <w:t>CAPM</w:t>
      </w:r>
    </w:p>
    <w:p w14:paraId="4D0BD68D" w14:textId="77777777" w:rsidR="0004078A" w:rsidRPr="003E4EEA" w:rsidRDefault="00000000">
      <w:pPr>
        <w:spacing w:before="60" w:after="60"/>
        <w:ind w:left="360"/>
        <w:rPr>
          <w:lang w:val="el-GR"/>
        </w:rPr>
      </w:pPr>
      <w:r w:rsidRPr="003E4EEA">
        <w:rPr>
          <w:b/>
          <w:bCs/>
          <w:color w:val="5D6678"/>
          <w:sz w:val="20"/>
          <w:szCs w:val="20"/>
          <w:lang w:val="el-GR"/>
        </w:rPr>
        <w:t xml:space="preserve">Αιτιολόγηση: </w:t>
      </w:r>
      <w:r w:rsidRPr="003E4EEA">
        <w:rPr>
          <w:color w:val="5D6678"/>
          <w:sz w:val="20"/>
          <w:szCs w:val="20"/>
          <w:lang w:val="el-GR"/>
        </w:rPr>
        <w:t>Η θεωρία δεν περιέγραψε την αγορά· την αναδιαμόρφωσε κατ' εικόνα της.</w:t>
      </w:r>
    </w:p>
    <w:sectPr w:rsidR="0004078A" w:rsidRPr="003E4EEA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A7FB1"/>
    <w:multiLevelType w:val="hybridMultilevel"/>
    <w:tmpl w:val="DB0860D0"/>
    <w:lvl w:ilvl="0" w:tplc="8244E85A">
      <w:start w:val="1"/>
      <w:numFmt w:val="bullet"/>
      <w:lvlText w:val="●"/>
      <w:lvlJc w:val="left"/>
      <w:pPr>
        <w:ind w:left="720" w:hanging="360"/>
      </w:pPr>
    </w:lvl>
    <w:lvl w:ilvl="1" w:tplc="5A8ADCBA">
      <w:start w:val="1"/>
      <w:numFmt w:val="bullet"/>
      <w:lvlText w:val="○"/>
      <w:lvlJc w:val="left"/>
      <w:pPr>
        <w:ind w:left="1440" w:hanging="360"/>
      </w:pPr>
    </w:lvl>
    <w:lvl w:ilvl="2" w:tplc="5E182500">
      <w:start w:val="1"/>
      <w:numFmt w:val="bullet"/>
      <w:lvlText w:val="■"/>
      <w:lvlJc w:val="left"/>
      <w:pPr>
        <w:ind w:left="2160" w:hanging="360"/>
      </w:pPr>
    </w:lvl>
    <w:lvl w:ilvl="3" w:tplc="C4349480">
      <w:start w:val="1"/>
      <w:numFmt w:val="bullet"/>
      <w:lvlText w:val="●"/>
      <w:lvlJc w:val="left"/>
      <w:pPr>
        <w:ind w:left="2880" w:hanging="360"/>
      </w:pPr>
    </w:lvl>
    <w:lvl w:ilvl="4" w:tplc="8902B354">
      <w:start w:val="1"/>
      <w:numFmt w:val="bullet"/>
      <w:lvlText w:val="○"/>
      <w:lvlJc w:val="left"/>
      <w:pPr>
        <w:ind w:left="3600" w:hanging="360"/>
      </w:pPr>
    </w:lvl>
    <w:lvl w:ilvl="5" w:tplc="36606C58">
      <w:start w:val="1"/>
      <w:numFmt w:val="bullet"/>
      <w:lvlText w:val="■"/>
      <w:lvlJc w:val="left"/>
      <w:pPr>
        <w:ind w:left="4320" w:hanging="360"/>
      </w:pPr>
    </w:lvl>
    <w:lvl w:ilvl="6" w:tplc="DA1AD9CE">
      <w:start w:val="1"/>
      <w:numFmt w:val="bullet"/>
      <w:lvlText w:val="●"/>
      <w:lvlJc w:val="left"/>
      <w:pPr>
        <w:ind w:left="5040" w:hanging="360"/>
      </w:pPr>
    </w:lvl>
    <w:lvl w:ilvl="7" w:tplc="36361A02">
      <w:start w:val="1"/>
      <w:numFmt w:val="bullet"/>
      <w:lvlText w:val="●"/>
      <w:lvlJc w:val="left"/>
      <w:pPr>
        <w:ind w:left="5760" w:hanging="360"/>
      </w:pPr>
    </w:lvl>
    <w:lvl w:ilvl="8" w:tplc="28F6BB84">
      <w:start w:val="1"/>
      <w:numFmt w:val="bullet"/>
      <w:lvlText w:val="●"/>
      <w:lvlJc w:val="left"/>
      <w:pPr>
        <w:ind w:left="6480" w:hanging="360"/>
      </w:pPr>
    </w:lvl>
  </w:abstractNum>
  <w:num w:numId="1" w16cid:durableId="12598303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78A"/>
    <w:rsid w:val="0004078A"/>
    <w:rsid w:val="003E4EEA"/>
    <w:rsid w:val="004D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4CEEB"/>
  <w15:docId w15:val="{19C7E7A8-FF6C-4367-B4BB-FC82CC775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60"/>
      <w:outlineLvl w:val="0"/>
    </w:pPr>
    <w:rPr>
      <w:b/>
      <w:bCs/>
      <w:color w:val="1F3A5F"/>
      <w:sz w:val="32"/>
      <w:szCs w:val="32"/>
    </w:rPr>
  </w:style>
  <w:style w:type="paragraph" w:styleId="Heading2">
    <w:name w:val="heading 2"/>
    <w:uiPriority w:val="9"/>
    <w:unhideWhenUsed/>
    <w:qFormat/>
    <w:pPr>
      <w:spacing w:before="200" w:after="120"/>
      <w:outlineLvl w:val="1"/>
    </w:pPr>
    <w:rPr>
      <w:b/>
      <w:bCs/>
      <w:color w:val="1F3A5F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1993</Words>
  <Characters>11365</Characters>
  <Application>Microsoft Office Word</Application>
  <DocSecurity>0</DocSecurity>
  <Lines>94</Lines>
  <Paragraphs>26</Paragraphs>
  <ScaleCrop>false</ScaleCrop>
  <Company/>
  <LinksUpToDate>false</LinksUpToDate>
  <CharactersWithSpaces>13332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Georgios Dotsis</cp:lastModifiedBy>
  <cp:revision>2</cp:revision>
  <dcterms:created xsi:type="dcterms:W3CDTF">2026-09-27T07:47:00Z</dcterms:created>
  <dcterms:modified xsi:type="dcterms:W3CDTF">2026-09-27T07:47:00Z</dcterms:modified>
</cp:coreProperties>
</file>