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D56" w:rsidRDefault="008936D4">
      <w:pPr>
        <w:jc w:val="center"/>
        <w:rPr>
          <w:b/>
          <w:sz w:val="28"/>
          <w:lang w:val="el-GR"/>
        </w:rPr>
      </w:pPr>
      <w:bookmarkStart w:id="0" w:name="_GoBack"/>
      <w:bookmarkEnd w:id="0"/>
      <w:r>
        <w:rPr>
          <w:b/>
          <w:sz w:val="28"/>
          <w:lang w:val="el-GR"/>
        </w:rPr>
        <w:t>ΒΥΖΑΝΤΙΝΗ ΚΑΙ ΜΕΤΑΒΥΖΑΝΤΙΝΗ ΜΕΛΟΠΟΙΪΑ</w:t>
      </w:r>
    </w:p>
    <w:p w:rsidR="00006D56" w:rsidRDefault="00006D56">
      <w:pPr>
        <w:jc w:val="center"/>
        <w:rPr>
          <w:b/>
          <w:sz w:val="24"/>
          <w:lang w:val="el-GR"/>
        </w:rPr>
      </w:pPr>
    </w:p>
    <w:p w:rsidR="00006D56" w:rsidRDefault="008936D4">
      <w:pPr>
        <w:jc w:val="center"/>
        <w:rPr>
          <w:b/>
          <w:sz w:val="24"/>
          <w:lang w:val="el-GR"/>
        </w:rPr>
      </w:pPr>
      <w:r>
        <w:rPr>
          <w:b/>
          <w:sz w:val="24"/>
          <w:lang w:val="el-GR"/>
        </w:rPr>
        <w:t>ΕΡΓΑΣΙΑ ΓΙΑ ΤΟ ΜΑΘΗΜΑ</w:t>
      </w:r>
    </w:p>
    <w:p w:rsidR="00006D56" w:rsidRDefault="00006D56">
      <w:pPr>
        <w:jc w:val="center"/>
        <w:rPr>
          <w:b/>
          <w:sz w:val="24"/>
          <w:lang w:val="el-GR"/>
        </w:rPr>
      </w:pPr>
    </w:p>
    <w:p w:rsidR="00006D56" w:rsidRDefault="008936D4">
      <w:pPr>
        <w:jc w:val="both"/>
      </w:pPr>
      <w:r>
        <w:rPr>
          <w:sz w:val="24"/>
          <w:lang w:val="el-GR"/>
        </w:rPr>
        <w:t xml:space="preserve">Η εργασία του μαθήματος αφορά επανανάγνωση και κριτική προσέγγιση </w:t>
      </w:r>
      <w:r>
        <w:rPr>
          <w:b/>
          <w:sz w:val="24"/>
          <w:lang w:val="el-GR"/>
        </w:rPr>
        <w:t>των παραγράφων 389-431 του Θεωρητικού του Χρυσάνθου</w:t>
      </w:r>
      <w:r>
        <w:rPr>
          <w:sz w:val="24"/>
          <w:lang w:val="el-GR"/>
        </w:rPr>
        <w:t>.</w:t>
      </w:r>
    </w:p>
    <w:p w:rsidR="00006D56" w:rsidRDefault="008936D4">
      <w:pPr>
        <w:pStyle w:val="a3"/>
        <w:numPr>
          <w:ilvl w:val="0"/>
          <w:numId w:val="1"/>
        </w:numPr>
        <w:jc w:val="both"/>
      </w:pPr>
      <w:r>
        <w:rPr>
          <w:sz w:val="24"/>
          <w:lang w:val="el-GR"/>
        </w:rPr>
        <w:t xml:space="preserve">Το </w:t>
      </w:r>
      <w:r>
        <w:rPr>
          <w:sz w:val="24"/>
          <w:lang w:val="el-GR"/>
        </w:rPr>
        <w:t xml:space="preserve">εκεί εκτιθέμενο υλικό πρέπει να </w:t>
      </w:r>
      <w:r>
        <w:rPr>
          <w:b/>
          <w:sz w:val="24"/>
          <w:lang w:val="el-GR"/>
        </w:rPr>
        <w:t>αναταξινομηθεί</w:t>
      </w:r>
      <w:r>
        <w:rPr>
          <w:sz w:val="24"/>
          <w:lang w:val="el-GR"/>
        </w:rPr>
        <w:t xml:space="preserve"> </w:t>
      </w:r>
      <w:r>
        <w:rPr>
          <w:b/>
          <w:sz w:val="24"/>
          <w:lang w:val="el-GR"/>
        </w:rPr>
        <w:t>και σχολιασθεί</w:t>
      </w:r>
      <w:r>
        <w:rPr>
          <w:sz w:val="24"/>
          <w:lang w:val="el-GR"/>
        </w:rPr>
        <w:t xml:space="preserve">, σύμφωνα με τη ‘φυσική’ συνέχεια και τη ‘λογική’ προοπτική του, όπως δηλαδή θα πρέπει κανείς να αντιλαμβάνεται επαγωγικά τη διαδικασία και τις παραμέτρους της μελοποιίας. </w:t>
      </w:r>
    </w:p>
    <w:p w:rsidR="00006D56" w:rsidRDefault="008936D4">
      <w:pPr>
        <w:pStyle w:val="a3"/>
        <w:numPr>
          <w:ilvl w:val="0"/>
          <w:numId w:val="1"/>
        </w:numPr>
        <w:jc w:val="both"/>
      </w:pPr>
      <w:r>
        <w:rPr>
          <w:sz w:val="24"/>
          <w:lang w:val="el-GR"/>
        </w:rPr>
        <w:t>Προτάθηκε να σχεδιάσετ</w:t>
      </w:r>
      <w:r>
        <w:rPr>
          <w:sz w:val="24"/>
          <w:lang w:val="el-GR"/>
        </w:rPr>
        <w:t xml:space="preserve">ε ένα </w:t>
      </w:r>
      <w:r>
        <w:rPr>
          <w:b/>
          <w:sz w:val="24"/>
          <w:lang w:val="el-GR"/>
        </w:rPr>
        <w:t>δεντρόγραμμα</w:t>
      </w:r>
      <w:r>
        <w:rPr>
          <w:sz w:val="24"/>
          <w:lang w:val="el-GR"/>
        </w:rPr>
        <w:t>, που θα περιλαμβάνει μόνον τις βασικές έννοιες που εκτίθενται, υπομνηματισμένες όμως, σε υποσημειώσεις, με τις αυτολεξεί σχετικές περιγραφές του Χρυσάνθου.</w:t>
      </w:r>
    </w:p>
    <w:p w:rsidR="00006D56" w:rsidRDefault="008936D4">
      <w:pPr>
        <w:jc w:val="both"/>
      </w:pPr>
      <w:r>
        <w:rPr>
          <w:sz w:val="24"/>
          <w:lang w:val="el-GR"/>
        </w:rPr>
        <w:t>Ιδιαίτερη προσοχή απαιτείται σε εκείνες τις παραγράφους όπου ο Χρύσανθος περιγράφ</w:t>
      </w:r>
      <w:r>
        <w:rPr>
          <w:sz w:val="24"/>
          <w:lang w:val="el-GR"/>
        </w:rPr>
        <w:t xml:space="preserve">ει, λεκτικά, συγκεκριμένα </w:t>
      </w:r>
      <w:r>
        <w:rPr>
          <w:b/>
          <w:sz w:val="24"/>
          <w:lang w:val="el-GR"/>
        </w:rPr>
        <w:t>μουσικά παραδείγματα</w:t>
      </w:r>
      <w:r>
        <w:rPr>
          <w:sz w:val="24"/>
          <w:lang w:val="el-GR"/>
        </w:rPr>
        <w:t>. Εκεί, ο σχολιασμός θα επεκταθεί και στα μουσικά δεδομένα, με βάση το αντίστοιχο μουσικό υλικό που καταχωρίζεται στο άρθρο μου ‘Ο μελοποιός και ο ψάλτης’, που σας έχει επίσης κοινοποιηθεί.</w:t>
      </w:r>
    </w:p>
    <w:p w:rsidR="00006D56" w:rsidRDefault="008936D4">
      <w:pPr>
        <w:jc w:val="both"/>
        <w:rPr>
          <w:sz w:val="24"/>
          <w:lang w:val="el-GR"/>
        </w:rPr>
      </w:pPr>
      <w:r>
        <w:rPr>
          <w:sz w:val="24"/>
          <w:lang w:val="el-GR"/>
        </w:rPr>
        <w:t>Αυτά τα σημεία είναι</w:t>
      </w:r>
      <w:r>
        <w:rPr>
          <w:sz w:val="24"/>
          <w:lang w:val="el-GR"/>
        </w:rPr>
        <w:t xml:space="preserve"> τα ακόλουθα:   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color w:val="FF0000"/>
          <w:sz w:val="24"/>
          <w:lang w:val="el-GR"/>
        </w:rPr>
        <w:t xml:space="preserve">παράγραφος 408: </w:t>
      </w:r>
      <w:r>
        <w:rPr>
          <w:b/>
          <w:color w:val="FF0000"/>
          <w:sz w:val="24"/>
          <w:lang w:val="el-GR"/>
        </w:rPr>
        <w:t>κρατημοϋπόρροον</w:t>
      </w:r>
      <w:r>
        <w:rPr>
          <w:color w:val="FF0000"/>
          <w:sz w:val="24"/>
          <w:lang w:val="el-GR"/>
        </w:rPr>
        <w:t xml:space="preserve"> (βλ. σσ. 55-58 του άρθρου μου)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color w:val="FF0000"/>
          <w:sz w:val="24"/>
          <w:lang w:val="el-GR"/>
        </w:rPr>
        <w:t xml:space="preserve">παράγραφος 414: </w:t>
      </w:r>
      <w:r>
        <w:rPr>
          <w:b/>
          <w:color w:val="FF0000"/>
          <w:sz w:val="24"/>
          <w:lang w:val="el-GR"/>
        </w:rPr>
        <w:t>δοξαστικόν αγ. Ανδρέου</w:t>
      </w:r>
      <w:r>
        <w:rPr>
          <w:color w:val="FF0000"/>
          <w:sz w:val="24"/>
          <w:lang w:val="el-GR"/>
        </w:rPr>
        <w:t xml:space="preserve"> (</w:t>
      </w:r>
      <w:r>
        <w:rPr>
          <w:i/>
          <w:color w:val="FF0000"/>
          <w:sz w:val="24"/>
          <w:lang w:val="el-GR"/>
        </w:rPr>
        <w:t>διανεμήθηκε σχετικό μουσικό υλικό</w:t>
      </w:r>
      <w:r>
        <w:rPr>
          <w:color w:val="FF0000"/>
          <w:sz w:val="24"/>
          <w:lang w:val="el-GR"/>
        </w:rPr>
        <w:t>)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color w:val="FF0000"/>
          <w:sz w:val="24"/>
          <w:lang w:val="el-GR"/>
        </w:rPr>
        <w:t xml:space="preserve">παράγραφος 417: </w:t>
      </w:r>
      <w:r>
        <w:rPr>
          <w:b/>
          <w:color w:val="FF0000"/>
          <w:sz w:val="24"/>
          <w:lang w:val="el-GR"/>
        </w:rPr>
        <w:t>παρακλητική</w:t>
      </w:r>
      <w:r>
        <w:rPr>
          <w:color w:val="FF0000"/>
          <w:sz w:val="24"/>
          <w:lang w:val="el-GR"/>
        </w:rPr>
        <w:t xml:space="preserve"> (βλ. σ. 54 του άρθρου μου)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color w:val="FF0000"/>
          <w:sz w:val="24"/>
          <w:lang w:val="el-GR"/>
        </w:rPr>
        <w:t xml:space="preserve">παράγραφος 418: </w:t>
      </w:r>
      <w:r>
        <w:rPr>
          <w:b/>
          <w:color w:val="FF0000"/>
          <w:sz w:val="24"/>
          <w:lang w:val="el-GR"/>
        </w:rPr>
        <w:t>κρατημοϋπόρροον &amp; πελαστόν</w:t>
      </w:r>
      <w:r>
        <w:rPr>
          <w:color w:val="FF0000"/>
          <w:sz w:val="24"/>
          <w:lang w:val="el-GR"/>
        </w:rPr>
        <w:t xml:space="preserve"> (βλ</w:t>
      </w:r>
      <w:r>
        <w:rPr>
          <w:color w:val="FF0000"/>
          <w:sz w:val="24"/>
          <w:lang w:val="el-GR"/>
        </w:rPr>
        <w:t>. σσ. 55-61 του άρθρου μου)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sz w:val="24"/>
          <w:lang w:val="el-GR"/>
        </w:rPr>
        <w:t xml:space="preserve">παράγραφος 419: </w:t>
      </w:r>
      <w:r>
        <w:rPr>
          <w:b/>
          <w:sz w:val="24"/>
          <w:lang w:val="el-GR"/>
        </w:rPr>
        <w:t>παλιλλογία</w:t>
      </w:r>
      <w:r>
        <w:rPr>
          <w:sz w:val="24"/>
          <w:lang w:val="el-GR"/>
        </w:rPr>
        <w:t xml:space="preserve"> (βλ. σσ. 27-36 του άρθρου μου)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sz w:val="24"/>
          <w:lang w:val="el-GR"/>
        </w:rPr>
        <w:t xml:space="preserve">παράγραφος 420: </w:t>
      </w:r>
      <w:r>
        <w:rPr>
          <w:b/>
          <w:sz w:val="24"/>
          <w:lang w:val="el-GR"/>
        </w:rPr>
        <w:t>επανάληψη</w:t>
      </w:r>
      <w:r>
        <w:rPr>
          <w:sz w:val="24"/>
          <w:lang w:val="el-GR"/>
        </w:rPr>
        <w:t xml:space="preserve"> (βλ. σσ. 37-44 του άρθρου μου)</w:t>
      </w:r>
    </w:p>
    <w:p w:rsidR="00006D56" w:rsidRDefault="008936D4">
      <w:pPr>
        <w:pStyle w:val="a3"/>
        <w:numPr>
          <w:ilvl w:val="0"/>
          <w:numId w:val="2"/>
        </w:numPr>
        <w:jc w:val="both"/>
      </w:pPr>
      <w:r>
        <w:rPr>
          <w:sz w:val="24"/>
          <w:lang w:val="el-GR"/>
        </w:rPr>
        <w:t xml:space="preserve">παράγραφος 423: </w:t>
      </w:r>
      <w:r>
        <w:rPr>
          <w:b/>
          <w:sz w:val="24"/>
          <w:lang w:val="el-GR"/>
        </w:rPr>
        <w:t>απόδοση</w:t>
      </w:r>
      <w:r>
        <w:rPr>
          <w:sz w:val="24"/>
          <w:lang w:val="el-GR"/>
        </w:rPr>
        <w:t xml:space="preserve"> (βλ. σσ. 45-53 του άρθρου μου)</w:t>
      </w:r>
    </w:p>
    <w:p w:rsidR="00006D56" w:rsidRDefault="00006D56">
      <w:pPr>
        <w:jc w:val="both"/>
        <w:rPr>
          <w:sz w:val="24"/>
          <w:lang w:val="el-GR"/>
        </w:rPr>
      </w:pPr>
    </w:p>
    <w:p w:rsidR="00006D56" w:rsidRDefault="008936D4">
      <w:pPr>
        <w:jc w:val="both"/>
      </w:pPr>
      <w:r>
        <w:rPr>
          <w:sz w:val="24"/>
          <w:lang w:val="el-GR"/>
        </w:rPr>
        <w:t xml:space="preserve">Για διευκόλυνσή σας, </w:t>
      </w:r>
      <w:r>
        <w:rPr>
          <w:b/>
          <w:sz w:val="24"/>
          <w:lang w:val="el-GR"/>
        </w:rPr>
        <w:t xml:space="preserve">σχολιάστε μουσικά μόνον τα τέσσερα </w:t>
      </w:r>
      <w:r>
        <w:rPr>
          <w:b/>
          <w:sz w:val="24"/>
          <w:lang w:val="el-GR"/>
        </w:rPr>
        <w:t>πρώτα μουσικά παραδείγματα</w:t>
      </w:r>
      <w:r>
        <w:rPr>
          <w:sz w:val="24"/>
          <w:lang w:val="el-GR"/>
        </w:rPr>
        <w:t xml:space="preserve"> (αυτά που φαίνονται με κόκκινο χρώμα), που είναι και τα ίδια που αναλύσαμε ενδελεχώς μαζί στην τάξη. </w:t>
      </w:r>
    </w:p>
    <w:p w:rsidR="00006D56" w:rsidRDefault="00006D56">
      <w:pPr>
        <w:jc w:val="both"/>
        <w:rPr>
          <w:sz w:val="24"/>
          <w:lang w:val="el-GR"/>
        </w:rPr>
      </w:pPr>
    </w:p>
    <w:p w:rsidR="00006D56" w:rsidRDefault="008936D4">
      <w:pPr>
        <w:jc w:val="center"/>
        <w:rPr>
          <w:b/>
          <w:sz w:val="24"/>
          <w:lang w:val="el-GR"/>
        </w:rPr>
      </w:pPr>
      <w:r>
        <w:rPr>
          <w:b/>
          <w:sz w:val="24"/>
          <w:lang w:val="el-GR"/>
        </w:rPr>
        <w:t>Εύχομαι καλή επιτυχία!</w:t>
      </w:r>
    </w:p>
    <w:p w:rsidR="00006D56" w:rsidRDefault="00006D56">
      <w:pPr>
        <w:jc w:val="both"/>
        <w:rPr>
          <w:sz w:val="24"/>
          <w:lang w:val="el-GR"/>
        </w:rPr>
      </w:pPr>
    </w:p>
    <w:p w:rsidR="00006D56" w:rsidRDefault="00006D56">
      <w:pPr>
        <w:jc w:val="both"/>
        <w:rPr>
          <w:sz w:val="24"/>
          <w:lang w:val="el-GR"/>
        </w:rPr>
      </w:pPr>
    </w:p>
    <w:p w:rsidR="00006D56" w:rsidRDefault="00006D56">
      <w:pPr>
        <w:jc w:val="both"/>
        <w:rPr>
          <w:sz w:val="24"/>
          <w:lang w:val="el-GR"/>
        </w:rPr>
      </w:pPr>
    </w:p>
    <w:sectPr w:rsidR="00006D56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6D4" w:rsidRDefault="008936D4">
      <w:pPr>
        <w:spacing w:after="0" w:line="240" w:lineRule="auto"/>
      </w:pPr>
      <w:r>
        <w:separator/>
      </w:r>
    </w:p>
  </w:endnote>
  <w:endnote w:type="continuationSeparator" w:id="0">
    <w:p w:rsidR="008936D4" w:rsidRDefault="00893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6D4" w:rsidRDefault="008936D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936D4" w:rsidRDefault="00893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346"/>
    <w:multiLevelType w:val="multilevel"/>
    <w:tmpl w:val="89E4850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835FD1"/>
    <w:multiLevelType w:val="multilevel"/>
    <w:tmpl w:val="240C62A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06D56"/>
    <w:rsid w:val="00006D56"/>
    <w:rsid w:val="008936D4"/>
    <w:rsid w:val="0099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62A3D-3AFC-4577-A9BE-18B0F1B8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2019-01-22T08:59:00Z</dcterms:created>
  <dcterms:modified xsi:type="dcterms:W3CDTF">2019-01-22T08:59:00Z</dcterms:modified>
</cp:coreProperties>
</file>