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31D" w:rsidRDefault="0082331D"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04D67" w:rsidRDefault="00804D67"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2331D" w:rsidRDefault="0082331D" w:rsidP="0082331D">
      <w:pPr>
        <w:pStyle w:val="Default"/>
        <w:rPr>
          <w:sz w:val="23"/>
          <w:szCs w:val="23"/>
        </w:rPr>
      </w:pPr>
    </w:p>
    <w:p w:rsidR="0082331D" w:rsidRPr="0082331D" w:rsidRDefault="0082331D" w:rsidP="0082331D">
      <w:pPr>
        <w:pStyle w:val="Default"/>
        <w:jc w:val="center"/>
        <w:rPr>
          <w:sz w:val="32"/>
          <w:szCs w:val="32"/>
        </w:rPr>
      </w:pPr>
      <w:r w:rsidRPr="0082331D">
        <w:rPr>
          <w:sz w:val="32"/>
          <w:szCs w:val="32"/>
        </w:rPr>
        <w:t>ΕΘΝΙΚΟ ΚΑΠΟΔΙΣΤΡΙΑΚΟ ΠΑΝΕΠΙΣΤΗΜΙΟ ΑΘΗΝΩΝ</w:t>
      </w:r>
    </w:p>
    <w:p w:rsidR="0082331D" w:rsidRDefault="0082331D" w:rsidP="0082331D">
      <w:pPr>
        <w:pStyle w:val="Default"/>
        <w:jc w:val="center"/>
        <w:rPr>
          <w:sz w:val="23"/>
          <w:szCs w:val="23"/>
        </w:rPr>
      </w:pPr>
      <w:r w:rsidRPr="0082331D">
        <w:rPr>
          <w:sz w:val="32"/>
          <w:szCs w:val="32"/>
        </w:rPr>
        <w:t>ΙΑΤΡΙΚΗ ΣΧΟΛΗ</w:t>
      </w:r>
      <w:r>
        <w:rPr>
          <w:sz w:val="23"/>
          <w:szCs w:val="23"/>
        </w:rPr>
        <w:t xml:space="preserve"> </w:t>
      </w:r>
    </w:p>
    <w:p w:rsidR="00804D67" w:rsidRDefault="00804D67" w:rsidP="0082331D">
      <w:pPr>
        <w:pStyle w:val="Default"/>
        <w:jc w:val="center"/>
        <w:rPr>
          <w:noProof/>
          <w:sz w:val="23"/>
          <w:szCs w:val="23"/>
          <w:lang w:eastAsia="el-GR"/>
        </w:rPr>
      </w:pPr>
    </w:p>
    <w:p w:rsidR="0082331D" w:rsidRDefault="0082331D" w:rsidP="0082331D">
      <w:pPr>
        <w:pStyle w:val="Default"/>
        <w:jc w:val="center"/>
        <w:rPr>
          <w:sz w:val="23"/>
          <w:szCs w:val="23"/>
        </w:rPr>
      </w:pPr>
      <w:r>
        <w:rPr>
          <w:noProof/>
          <w:sz w:val="23"/>
          <w:szCs w:val="23"/>
          <w:lang w:eastAsia="el-GR"/>
        </w:rPr>
        <w:drawing>
          <wp:anchor distT="0" distB="0" distL="114300" distR="114300" simplePos="0" relativeHeight="251658240" behindDoc="0" locked="0" layoutInCell="1" allowOverlap="1" wp14:anchorId="5E67019B" wp14:editId="30B57C3D">
            <wp:simplePos x="2095500" y="1447800"/>
            <wp:positionH relativeFrom="margin">
              <wp:align>center</wp:align>
            </wp:positionH>
            <wp:positionV relativeFrom="margin">
              <wp:align>top</wp:align>
            </wp:positionV>
            <wp:extent cx="1028700" cy="1638300"/>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638300"/>
                    </a:xfrm>
                    <a:prstGeom prst="rect">
                      <a:avLst/>
                    </a:prstGeom>
                    <a:noFill/>
                    <a:ln>
                      <a:noFill/>
                    </a:ln>
                  </pic:spPr>
                </pic:pic>
              </a:graphicData>
            </a:graphic>
          </wp:anchor>
        </w:drawing>
      </w:r>
    </w:p>
    <w:p w:rsidR="0082331D" w:rsidRDefault="0082331D" w:rsidP="0082331D">
      <w:pPr>
        <w:pStyle w:val="Default"/>
        <w:rPr>
          <w:sz w:val="32"/>
          <w:szCs w:val="32"/>
        </w:rPr>
      </w:pPr>
    </w:p>
    <w:p w:rsidR="0082331D" w:rsidRDefault="0082331D" w:rsidP="0082331D">
      <w:pPr>
        <w:pStyle w:val="Default"/>
        <w:jc w:val="center"/>
        <w:rPr>
          <w:sz w:val="32"/>
          <w:szCs w:val="32"/>
        </w:rPr>
      </w:pPr>
      <w:r>
        <w:rPr>
          <w:sz w:val="32"/>
          <w:szCs w:val="32"/>
        </w:rPr>
        <w:t>ΠΡΟΓΡΑΜΜΑ ΜΕΤΑΠΤΥΧΙΑΚΩΝ ΣΠΟΥΔΩΝ</w:t>
      </w:r>
    </w:p>
    <w:p w:rsidR="0082331D" w:rsidRDefault="0082331D" w:rsidP="0082331D">
      <w:pPr>
        <w:pStyle w:val="Default"/>
        <w:jc w:val="center"/>
        <w:rPr>
          <w:sz w:val="32"/>
          <w:szCs w:val="32"/>
        </w:rPr>
      </w:pPr>
      <w:r>
        <w:rPr>
          <w:sz w:val="32"/>
          <w:szCs w:val="32"/>
        </w:rPr>
        <w:t>«ΦΥΣΙΟΛΟΓΙΑ ΤΗΣ ΓΗΡΑΝΣΗΣ ΚΑΙ ΓΗΡΙΑΤΡΙΚΑ ΣΥΝΔΡΟΜΑ»</w:t>
      </w:r>
    </w:p>
    <w:p w:rsidR="0082331D" w:rsidRDefault="0082331D" w:rsidP="0082331D">
      <w:pPr>
        <w:pStyle w:val="Default"/>
        <w:jc w:val="center"/>
        <w:rPr>
          <w:sz w:val="32"/>
          <w:szCs w:val="32"/>
        </w:rPr>
      </w:pPr>
    </w:p>
    <w:p w:rsidR="0082331D" w:rsidRDefault="0082331D" w:rsidP="0082331D">
      <w:pPr>
        <w:pStyle w:val="Default"/>
        <w:jc w:val="center"/>
        <w:rPr>
          <w:sz w:val="32"/>
          <w:szCs w:val="32"/>
        </w:rPr>
      </w:pPr>
    </w:p>
    <w:p w:rsidR="0082331D" w:rsidRDefault="0082331D" w:rsidP="0082331D">
      <w:pPr>
        <w:pStyle w:val="Default"/>
        <w:jc w:val="center"/>
        <w:rPr>
          <w:sz w:val="32"/>
          <w:szCs w:val="32"/>
        </w:rPr>
      </w:pPr>
      <w:r>
        <w:rPr>
          <w:sz w:val="32"/>
          <w:szCs w:val="32"/>
        </w:rPr>
        <w:t>ΔΙΠΛΩΜΑΤΙΚΗ ΕΡΓΑΣΙΑ</w:t>
      </w:r>
    </w:p>
    <w:p w:rsidR="0082331D" w:rsidRDefault="0082331D" w:rsidP="0082331D">
      <w:pPr>
        <w:pStyle w:val="Default"/>
        <w:jc w:val="center"/>
        <w:rPr>
          <w:sz w:val="32"/>
          <w:szCs w:val="32"/>
        </w:rPr>
      </w:pPr>
    </w:p>
    <w:p w:rsidR="0082331D" w:rsidRDefault="0082331D" w:rsidP="0082331D">
      <w:pPr>
        <w:pStyle w:val="Default"/>
        <w:jc w:val="center"/>
        <w:rPr>
          <w:sz w:val="32"/>
          <w:szCs w:val="32"/>
        </w:rPr>
      </w:pPr>
    </w:p>
    <w:p w:rsidR="0082331D" w:rsidRDefault="0082331D" w:rsidP="0082331D">
      <w:pPr>
        <w:pStyle w:val="Default"/>
        <w:jc w:val="center"/>
        <w:rPr>
          <w:sz w:val="36"/>
          <w:szCs w:val="32"/>
        </w:rPr>
      </w:pPr>
      <w:r w:rsidRPr="0082331D">
        <w:rPr>
          <w:sz w:val="36"/>
          <w:szCs w:val="32"/>
        </w:rPr>
        <w:t>«</w:t>
      </w:r>
      <w:r w:rsidRPr="0082331D">
        <w:rPr>
          <w:i/>
          <w:sz w:val="32"/>
          <w:szCs w:val="28"/>
        </w:rPr>
        <w:t>ΤΟ ΣΥΝΔΡΟΜΟ ΤΗΣ ΕΥΠΑΘΕΙΑΣ ΣΕ ΑΤΟΜΑ ΜΕ ΦΥΣΙΟΛΟΓΙΚΗ  ΓΝΩΣΤΙΚΗ ΛΕΙΤΟΥΡΓΙΑ, ΗΠΙΑ ΝΕΥΡΟΓΝΩΣΤΙΚΗ ΔΙΑΤΑΡΑΧΗ ΚΑΙ ΗΠΙΑ ΑΝΟΙΑ.</w:t>
      </w:r>
      <w:r w:rsidRPr="0082331D">
        <w:rPr>
          <w:sz w:val="36"/>
          <w:szCs w:val="32"/>
        </w:rPr>
        <w:t>»</w:t>
      </w:r>
    </w:p>
    <w:p w:rsidR="0082331D" w:rsidRDefault="0082331D" w:rsidP="0082331D">
      <w:pPr>
        <w:pStyle w:val="Default"/>
        <w:jc w:val="center"/>
        <w:rPr>
          <w:sz w:val="36"/>
          <w:szCs w:val="32"/>
        </w:rPr>
      </w:pPr>
    </w:p>
    <w:p w:rsidR="0082331D" w:rsidRDefault="0082331D" w:rsidP="0082331D">
      <w:pPr>
        <w:pStyle w:val="Default"/>
        <w:jc w:val="center"/>
        <w:rPr>
          <w:sz w:val="36"/>
          <w:szCs w:val="32"/>
        </w:rPr>
      </w:pPr>
    </w:p>
    <w:p w:rsidR="0082331D" w:rsidRDefault="0082331D" w:rsidP="0082331D">
      <w:pPr>
        <w:pStyle w:val="Default"/>
        <w:jc w:val="center"/>
        <w:rPr>
          <w:sz w:val="36"/>
          <w:szCs w:val="32"/>
        </w:rPr>
      </w:pPr>
    </w:p>
    <w:p w:rsidR="0082331D" w:rsidRPr="0082331D" w:rsidRDefault="0082331D" w:rsidP="0082331D">
      <w:pPr>
        <w:pStyle w:val="Default"/>
        <w:jc w:val="center"/>
        <w:rPr>
          <w:sz w:val="36"/>
          <w:szCs w:val="32"/>
        </w:rPr>
      </w:pPr>
    </w:p>
    <w:p w:rsidR="0082331D" w:rsidRPr="0082331D" w:rsidRDefault="0082331D" w:rsidP="0082331D">
      <w:pPr>
        <w:pStyle w:val="Default"/>
        <w:jc w:val="center"/>
        <w:rPr>
          <w:color w:val="auto"/>
          <w:sz w:val="32"/>
          <w:szCs w:val="32"/>
        </w:rPr>
      </w:pPr>
      <w:r w:rsidRPr="0082331D">
        <w:rPr>
          <w:color w:val="auto"/>
          <w:sz w:val="32"/>
          <w:szCs w:val="32"/>
        </w:rPr>
        <w:t>Χρυσούλα Αρματά</w:t>
      </w:r>
    </w:p>
    <w:p w:rsidR="0082331D" w:rsidRPr="0082331D" w:rsidRDefault="0082331D" w:rsidP="0082331D">
      <w:pPr>
        <w:pStyle w:val="Default"/>
        <w:jc w:val="center"/>
        <w:rPr>
          <w:color w:val="auto"/>
          <w:sz w:val="32"/>
          <w:szCs w:val="32"/>
        </w:rPr>
      </w:pPr>
    </w:p>
    <w:p w:rsidR="0082331D" w:rsidRPr="0082331D" w:rsidRDefault="0082331D" w:rsidP="0082331D">
      <w:pPr>
        <w:pStyle w:val="Default"/>
        <w:jc w:val="center"/>
        <w:rPr>
          <w:color w:val="auto"/>
          <w:sz w:val="32"/>
          <w:szCs w:val="32"/>
        </w:rPr>
      </w:pPr>
    </w:p>
    <w:p w:rsidR="0082331D" w:rsidRPr="0082331D" w:rsidRDefault="0082331D" w:rsidP="0082331D">
      <w:pPr>
        <w:pStyle w:val="Default"/>
        <w:jc w:val="center"/>
        <w:rPr>
          <w:color w:val="auto"/>
          <w:sz w:val="32"/>
          <w:szCs w:val="32"/>
        </w:rPr>
      </w:pPr>
    </w:p>
    <w:p w:rsidR="0082331D" w:rsidRPr="0082331D" w:rsidRDefault="0082331D" w:rsidP="0082331D">
      <w:pPr>
        <w:pStyle w:val="Default"/>
        <w:jc w:val="center"/>
        <w:rPr>
          <w:color w:val="auto"/>
          <w:sz w:val="32"/>
          <w:szCs w:val="32"/>
        </w:rPr>
      </w:pPr>
    </w:p>
    <w:p w:rsidR="0082331D" w:rsidRPr="0082331D" w:rsidRDefault="0082331D" w:rsidP="0082331D">
      <w:pPr>
        <w:pStyle w:val="Default"/>
        <w:jc w:val="center"/>
        <w:rPr>
          <w:color w:val="auto"/>
          <w:sz w:val="32"/>
          <w:szCs w:val="32"/>
        </w:rPr>
      </w:pPr>
    </w:p>
    <w:p w:rsidR="0082331D" w:rsidRPr="0082331D" w:rsidRDefault="0082331D" w:rsidP="0082331D">
      <w:pPr>
        <w:pStyle w:val="Default"/>
        <w:jc w:val="center"/>
        <w:rPr>
          <w:color w:val="auto"/>
          <w:sz w:val="32"/>
          <w:szCs w:val="32"/>
        </w:rPr>
      </w:pPr>
    </w:p>
    <w:p w:rsidR="003905C0" w:rsidRDefault="0082331D" w:rsidP="0082331D">
      <w:pPr>
        <w:jc w:val="center"/>
        <w:rPr>
          <w:sz w:val="23"/>
          <w:szCs w:val="23"/>
        </w:rPr>
      </w:pPr>
      <w:r w:rsidRPr="0082331D">
        <w:rPr>
          <w:sz w:val="23"/>
          <w:szCs w:val="23"/>
        </w:rPr>
        <w:t>ΑΘΗΝΑ, -2026</w:t>
      </w:r>
    </w:p>
    <w:p w:rsidR="00E56994" w:rsidRPr="0021728E" w:rsidRDefault="00E56994" w:rsidP="00E56994">
      <w:pPr>
        <w:jc w:val="center"/>
        <w:rPr>
          <w:sz w:val="28"/>
          <w:szCs w:val="28"/>
        </w:rPr>
      </w:pPr>
      <w:r w:rsidRPr="0021728E">
        <w:rPr>
          <w:sz w:val="28"/>
          <w:szCs w:val="28"/>
        </w:rPr>
        <w:lastRenderedPageBreak/>
        <w:t>ΠΡΑΚΤΙΚΟ ΚΡΙΣΕΩΣ</w:t>
      </w:r>
    </w:p>
    <w:p w:rsidR="00E56994" w:rsidRDefault="00E56994" w:rsidP="00E56994">
      <w:r>
        <w:t>ΤΗΣ ΣΥΝΕΔΡΙΑΣΗΣ ΤΗΣ ΤΡΙΜΕΛΟΥΣ ΕΞΕΤΑΣΤΙΚΗΣ ΕΠΙΤΡΟΠΗΣ ΓΙΑ ΤΗΝ ΑΞΙΟΛΟΓΗΣΗ ΤΗΣ ΔΙΠΛΩΜΑΤΙΚΗΣ ΕΡΓΑΣΙΑΣ τ…..Μεταπτυχιακ…..Φοιτητ…........................................................................</w:t>
      </w:r>
    </w:p>
    <w:p w:rsidR="00E56994" w:rsidRDefault="00E56994" w:rsidP="00E56994">
      <w:r>
        <w:t>Εξεταστική Επιτροπή</w:t>
      </w:r>
    </w:p>
    <w:p w:rsidR="00E56994" w:rsidRDefault="00E56994" w:rsidP="00E56994">
      <w:r>
        <w:t>1. ............................................, Επιβλέπων</w:t>
      </w:r>
    </w:p>
    <w:p w:rsidR="00E56994" w:rsidRDefault="00E56994" w:rsidP="00E56994">
      <w:r>
        <w:t>2. .............................................</w:t>
      </w:r>
    </w:p>
    <w:p w:rsidR="00E56994" w:rsidRDefault="00E56994" w:rsidP="00E56994">
      <w:r>
        <w:t>3. ............................................</w:t>
      </w:r>
    </w:p>
    <w:p w:rsidR="00E56994" w:rsidRDefault="00E56994" w:rsidP="00E56994">
      <w:r>
        <w:t>H Τριμελής Εξεταστική Επιτροπή η οποία ορίσθηκε από την ΓΣΕΣ της Ιατρικής Σχολής του Παν. Αθηνών Συνεδρίαση της .....................για την αξιολόγηση και εξέταση τ... υποψηφίου κ... ........................., συνεδρίασε σήμερα ...../…../….... H Επιτροπή διαπίστωσε ότι η Διπλωματική Εργασία τ... Κ... ................................ Με τίτλο:… ....................................... ................................................... ............................... ………...…………………………………………………………………………..……………………………………… ………………………………..………., είναι πρωτότυπη, επιστημονικά και τεχνικά άρτια, και η βιβλιογραφική πληροφορία ολοκληρωμένη και εμπεριστατωμένη. Η εξεταστική επιτροπή αφού έλαβε υπ’ όψη το περιεχόμενο της εργασίας και τη συμβολή της στην επιστήμη, με ψήφους ................ προτείνει την απονομή στον παραπάνω Μεταπτυχιακό Φοιτητή την απονομή του Μεταπτυχιακού Διπλώματος Ειδίκευσης (Μaster's). Στην ψηφοφορία για την βαθμολογία ο υποψήφιος έλαβε για τον βαθμό «ΑΡΙΣΤΑ» ψήφους....................., για τον βαθμό «ΛΙΑΝ ΚΑΛΩΣ» ψήφους ...................., και για τον βαθμό «ΚΑΛΩΣ» ψήφους .................</w:t>
      </w:r>
    </w:p>
    <w:p w:rsidR="00E56994" w:rsidRDefault="00E56994" w:rsidP="00E56994">
      <w:r>
        <w:t>Κατά συνέπεια, απονέμεται ο βαθμός «......................».</w:t>
      </w:r>
    </w:p>
    <w:p w:rsidR="00E56994" w:rsidRDefault="00E56994" w:rsidP="00E56994">
      <w:r>
        <w:t>Tα Μέλη της Εξεταστικής Επιτροπής</w:t>
      </w:r>
    </w:p>
    <w:p w:rsidR="00E56994" w:rsidRDefault="00E56994" w:rsidP="00E56994">
      <w:r>
        <w:t>..................................................., Επιβλέπων (Υπογραφή)</w:t>
      </w:r>
    </w:p>
    <w:p w:rsidR="00E56994" w:rsidRDefault="00E56994" w:rsidP="00E56994">
      <w:r>
        <w:t>................................................... (Υπογραφή)</w:t>
      </w:r>
    </w:p>
    <w:p w:rsidR="00E56994" w:rsidRDefault="00E56994" w:rsidP="00E56994">
      <w:r>
        <w:t>................................................... (Υπογραφή)</w:t>
      </w:r>
    </w:p>
    <w:p w:rsidR="00E56994" w:rsidRDefault="00E56994" w:rsidP="00E56994"/>
    <w:p w:rsidR="00E56994" w:rsidRDefault="00E56994" w:rsidP="00E56994"/>
    <w:p w:rsidR="00E56994" w:rsidRDefault="00E56994" w:rsidP="00E56994"/>
    <w:p w:rsidR="00E56994" w:rsidRDefault="00E56994" w:rsidP="00E56994"/>
    <w:p w:rsidR="00E56994" w:rsidRDefault="00E56994" w:rsidP="00E56994"/>
    <w:p w:rsidR="00E56994" w:rsidRDefault="00E56994" w:rsidP="00E56994"/>
    <w:p w:rsidR="00E56994" w:rsidRPr="004155CB" w:rsidRDefault="00E56994" w:rsidP="00E56994">
      <w:pPr>
        <w:jc w:val="center"/>
        <w:rPr>
          <w:b/>
          <w:sz w:val="28"/>
          <w:szCs w:val="28"/>
        </w:rPr>
      </w:pPr>
      <w:r w:rsidRPr="004155CB">
        <w:rPr>
          <w:b/>
          <w:sz w:val="28"/>
          <w:szCs w:val="28"/>
        </w:rPr>
        <w:lastRenderedPageBreak/>
        <w:t>Πρόλογος</w:t>
      </w:r>
    </w:p>
    <w:p w:rsidR="00E56994" w:rsidRDefault="00E56994" w:rsidP="00E56994">
      <w:pPr>
        <w:jc w:val="center"/>
      </w:pPr>
    </w:p>
    <w:p w:rsidR="00E56994" w:rsidRDefault="004155CB" w:rsidP="0023613B">
      <w:r w:rsidRPr="004155CB">
        <w:t>Η ευπάθεια (frailty) αποτελεί ένα πολυδιάστατο σύνδρομο που έχει απασχολήσει την επιστημονική κοινότητα τις τελευταίες δεκαετίες. Η ευπάθεια αναφέρεται στην απώλεια εφεδρειών του ατόμου σε σωματικό, γνωστικό και ψυχολογικό επίπεδο με την πάροδο της ηλικίας (Mitnitski et al., 2001). Η ευπάθεια αποτελεί δείκτη με δυσμενείς επιπτώσεις για την υγεία αλλά και για αύξηση των νοσηλειών και θανάτων των ατόμων μεγάλης ηλικίας (Fried LP et al., 2001).Το σύνδρομο της ευπάθειας έχει συσχετιστεί με την ήπια νευρογνωστική διαταραχή (MCI) και άνοια και η αξιολόγηση του θα πρέπει να αποτελεί αναπόσπαστο κομμάτι για τη διάγνωση αυτών (F. Petermann-Rocha et al., 2020). Η άνοια είναι ένα σύνδρομο με ετερογενή χαρακτηριστικά που συνδέεται με αναπηρία και μεγάλου βαθμού συναισθηματική, οικονομική και ψυχολογική επίδραση για την οικογένεια των ασθενών αλλά και την κοινωνία σαν σύνολο (WHO-Dementia 2019, Livingston G. et al., 2020). Η έγκαιρη ανίχνευση της ευπάθειας μπορεί να αποτελέσει σημαντικό βιοδείκτη των νευροεκφυλιστικών διαταραχών, όπως η άνοια, και να συντελέσει στην πρόληψη ακόμη και καθυστέρηση εμφάνισης αυτών (Livingston G, Huntley et al., 2020).</w:t>
      </w: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3A684E" w:rsidRDefault="003A684E" w:rsidP="003A684E">
      <w:pPr>
        <w:jc w:val="right"/>
      </w:pPr>
    </w:p>
    <w:p w:rsidR="003A684E" w:rsidRDefault="003A684E" w:rsidP="003A684E">
      <w:pPr>
        <w:jc w:val="right"/>
      </w:pPr>
    </w:p>
    <w:p w:rsidR="003A684E" w:rsidRDefault="003A684E" w:rsidP="003A684E">
      <w:pPr>
        <w:jc w:val="right"/>
      </w:pPr>
    </w:p>
    <w:p w:rsidR="003A684E" w:rsidRDefault="003A684E" w:rsidP="003A684E">
      <w:pPr>
        <w:jc w:val="right"/>
      </w:pPr>
    </w:p>
    <w:p w:rsidR="003A684E" w:rsidRDefault="003A684E" w:rsidP="003A684E">
      <w:pPr>
        <w:jc w:val="right"/>
      </w:pPr>
    </w:p>
    <w:p w:rsidR="003A684E" w:rsidRDefault="003A684E" w:rsidP="003A684E">
      <w:pPr>
        <w:jc w:val="right"/>
      </w:pPr>
    </w:p>
    <w:p w:rsidR="003A684E" w:rsidRDefault="003A684E" w:rsidP="003A684E">
      <w:pPr>
        <w:jc w:val="right"/>
      </w:pPr>
    </w:p>
    <w:p w:rsidR="003A684E" w:rsidRDefault="003A684E" w:rsidP="003A684E">
      <w:pPr>
        <w:jc w:val="right"/>
      </w:pPr>
    </w:p>
    <w:p w:rsidR="003A684E" w:rsidRDefault="003A684E" w:rsidP="003A684E">
      <w:pPr>
        <w:jc w:val="right"/>
      </w:pPr>
    </w:p>
    <w:p w:rsidR="001F6395" w:rsidRPr="000C7DDA" w:rsidRDefault="001F6395" w:rsidP="003A684E">
      <w:pPr>
        <w:jc w:val="right"/>
      </w:pPr>
    </w:p>
    <w:p w:rsidR="003A684E" w:rsidRPr="000C7DDA" w:rsidRDefault="003A684E" w:rsidP="001F6395">
      <w:pPr>
        <w:jc w:val="right"/>
        <w:rPr>
          <w:rFonts w:ascii="Bahnschrift" w:hAnsi="Bahnschrift"/>
        </w:rPr>
      </w:pPr>
      <w:r w:rsidRPr="00AE2244">
        <w:rPr>
          <w:rFonts w:ascii="Bahnschrift" w:hAnsi="Bahnschrift"/>
        </w:rPr>
        <w:t>Ευχαριστίες</w:t>
      </w:r>
    </w:p>
    <w:p w:rsidR="003A684E" w:rsidRPr="00AE2244" w:rsidRDefault="003A684E" w:rsidP="003A684E">
      <w:pPr>
        <w:jc w:val="right"/>
        <w:rPr>
          <w:rFonts w:ascii="Arial Nova Light" w:hAnsi="Arial Nova Light"/>
          <w:i/>
        </w:rPr>
      </w:pPr>
      <w:r w:rsidRPr="00AE2244">
        <w:rPr>
          <w:rFonts w:ascii="Arial Nova Light" w:hAnsi="Arial Nova Light"/>
          <w:i/>
        </w:rPr>
        <w:t>Σε όλους που βοήθησαν, υποστήριξαν,</w:t>
      </w:r>
    </w:p>
    <w:p w:rsidR="00E56994" w:rsidRPr="00AE2244" w:rsidRDefault="0077129E" w:rsidP="003A684E">
      <w:pPr>
        <w:jc w:val="right"/>
        <w:rPr>
          <w:rFonts w:ascii="Arial Nova Light" w:hAnsi="Arial Nova Light"/>
          <w:i/>
        </w:rPr>
      </w:pPr>
      <w:r>
        <w:rPr>
          <w:rFonts w:ascii="Arial Nova Light" w:hAnsi="Arial Nova Light"/>
          <w:i/>
        </w:rPr>
        <w:t>και πίστεψαν την παρούσα</w:t>
      </w:r>
      <w:r w:rsidR="003A684E" w:rsidRPr="00AE2244">
        <w:rPr>
          <w:rFonts w:ascii="Arial Nova Light" w:hAnsi="Arial Nova Light"/>
          <w:i/>
        </w:rPr>
        <w:t xml:space="preserve"> εργασία.</w:t>
      </w: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E56994">
      <w:pPr>
        <w:jc w:val="center"/>
      </w:pPr>
    </w:p>
    <w:p w:rsidR="00E56994" w:rsidRDefault="00E56994" w:rsidP="003A684E"/>
    <w:p w:rsidR="00511D51" w:rsidRPr="002E3E61" w:rsidRDefault="00511D51" w:rsidP="00E56994">
      <w:pPr>
        <w:jc w:val="center"/>
        <w:rPr>
          <w:b/>
          <w:sz w:val="24"/>
          <w:szCs w:val="24"/>
        </w:rPr>
      </w:pPr>
    </w:p>
    <w:p w:rsidR="00E56994" w:rsidRPr="005252D5" w:rsidRDefault="00E56994" w:rsidP="00E56994">
      <w:pPr>
        <w:jc w:val="center"/>
        <w:rPr>
          <w:b/>
          <w:sz w:val="28"/>
          <w:szCs w:val="28"/>
        </w:rPr>
      </w:pPr>
      <w:r w:rsidRPr="005252D5">
        <w:rPr>
          <w:b/>
          <w:sz w:val="28"/>
          <w:szCs w:val="28"/>
        </w:rPr>
        <w:lastRenderedPageBreak/>
        <w:t>Περίληψη</w:t>
      </w:r>
    </w:p>
    <w:p w:rsidR="00511D51" w:rsidRPr="002E3E61" w:rsidRDefault="00511D51" w:rsidP="00E56994">
      <w:pPr>
        <w:jc w:val="center"/>
        <w:rPr>
          <w:b/>
          <w:sz w:val="24"/>
          <w:szCs w:val="24"/>
        </w:rPr>
      </w:pPr>
    </w:p>
    <w:p w:rsidR="00550DD6" w:rsidRPr="00F70AF8" w:rsidRDefault="005565D5" w:rsidP="003A684E">
      <w:pPr>
        <w:rPr>
          <w:b/>
          <w:sz w:val="24"/>
          <w:szCs w:val="24"/>
        </w:rPr>
      </w:pPr>
      <w:r w:rsidRPr="005252D5">
        <w:rPr>
          <w:b/>
          <w:sz w:val="24"/>
          <w:szCs w:val="24"/>
        </w:rPr>
        <w:t>Εισαγωγή</w:t>
      </w:r>
    </w:p>
    <w:p w:rsidR="005252D5" w:rsidRPr="005252D5" w:rsidRDefault="005252D5" w:rsidP="003A684E">
      <w:pPr>
        <w:rPr>
          <w:sz w:val="24"/>
          <w:szCs w:val="24"/>
        </w:rPr>
      </w:pPr>
      <w:r>
        <w:rPr>
          <w:sz w:val="24"/>
          <w:szCs w:val="24"/>
        </w:rPr>
        <w:t>Η ευπάθεια αποτελεί ένα σύνδρομο σχετιζόμενο με την ηλικία και την μειωμένη απόκριση στο στρες. Η μειωμένη λειτουργία σε τομείς όπως ο σωματικός, ο γνωστικός και ο ψυχοκοινωνικός φαίνεται να επηρεάζει  την εμφάνιση και εξέλιξη όλων των ασθενειών που συνυπάρχουν στα άτομα μεγάλης ηλικίας. Η σωματική λειτουργία σε άτομα με προχωρημένη άνοια πλήττετε σε μεγάλο βαθμό αλλά το σύνδρομο της ευπάθειας δεν περιγράφεται επαρκώς σε άτομα με Ήπια Νευρογνωστική Διαταραχή (</w:t>
      </w:r>
      <w:r>
        <w:rPr>
          <w:sz w:val="24"/>
          <w:szCs w:val="24"/>
          <w:lang w:val="en-US"/>
        </w:rPr>
        <w:t>MCI</w:t>
      </w:r>
      <w:r>
        <w:rPr>
          <w:sz w:val="24"/>
          <w:szCs w:val="24"/>
        </w:rPr>
        <w:t>)</w:t>
      </w:r>
      <w:r w:rsidRPr="005252D5">
        <w:rPr>
          <w:sz w:val="24"/>
          <w:szCs w:val="24"/>
        </w:rPr>
        <w:t>.</w:t>
      </w:r>
    </w:p>
    <w:p w:rsidR="005565D5" w:rsidRPr="005252D5" w:rsidRDefault="005565D5" w:rsidP="003A684E">
      <w:pPr>
        <w:rPr>
          <w:b/>
          <w:sz w:val="24"/>
          <w:szCs w:val="24"/>
        </w:rPr>
      </w:pPr>
      <w:r w:rsidRPr="005252D5">
        <w:rPr>
          <w:b/>
          <w:sz w:val="24"/>
          <w:szCs w:val="24"/>
        </w:rPr>
        <w:t>Σκοπός</w:t>
      </w:r>
    </w:p>
    <w:p w:rsidR="005252D5" w:rsidRPr="00052FF9" w:rsidRDefault="005252D5" w:rsidP="003A684E">
      <w:pPr>
        <w:rPr>
          <w:sz w:val="24"/>
          <w:szCs w:val="24"/>
        </w:rPr>
      </w:pPr>
      <w:r>
        <w:rPr>
          <w:sz w:val="24"/>
          <w:szCs w:val="24"/>
        </w:rPr>
        <w:t xml:space="preserve">Σε αυτή τη </w:t>
      </w:r>
      <w:r w:rsidR="00052FF9">
        <w:rPr>
          <w:sz w:val="24"/>
          <w:szCs w:val="24"/>
        </w:rPr>
        <w:t>συγχρονική μελέτη, στόχος ήταν να καθοριστεί και να συγκριθεί ο βαθμός ευπάθειας σε άτομα μεγάλης ηλικίας που διαμένουν στην κοινότητα  με φυσιολογική γνωστική λειτουργία,</w:t>
      </w:r>
      <w:r w:rsidR="00052FF9" w:rsidRPr="00052FF9">
        <w:rPr>
          <w:sz w:val="24"/>
          <w:szCs w:val="24"/>
        </w:rPr>
        <w:t xml:space="preserve"> </w:t>
      </w:r>
      <w:r w:rsidR="00052FF9">
        <w:rPr>
          <w:sz w:val="24"/>
          <w:szCs w:val="24"/>
        </w:rPr>
        <w:t xml:space="preserve">αμνησιακή </w:t>
      </w:r>
      <w:r w:rsidR="00052FF9">
        <w:rPr>
          <w:sz w:val="24"/>
          <w:szCs w:val="24"/>
          <w:lang w:val="en-US"/>
        </w:rPr>
        <w:t>MCI</w:t>
      </w:r>
      <w:r w:rsidR="00052FF9">
        <w:rPr>
          <w:sz w:val="24"/>
          <w:szCs w:val="24"/>
        </w:rPr>
        <w:t>(</w:t>
      </w:r>
      <w:r w:rsidR="00052FF9">
        <w:rPr>
          <w:sz w:val="24"/>
          <w:szCs w:val="24"/>
          <w:lang w:val="en-US"/>
        </w:rPr>
        <w:t>a</w:t>
      </w:r>
      <w:r w:rsidR="00052FF9" w:rsidRPr="00052FF9">
        <w:rPr>
          <w:sz w:val="24"/>
          <w:szCs w:val="24"/>
        </w:rPr>
        <w:t>-</w:t>
      </w:r>
      <w:r w:rsidR="00052FF9">
        <w:rPr>
          <w:sz w:val="24"/>
          <w:szCs w:val="24"/>
          <w:lang w:val="en-US"/>
        </w:rPr>
        <w:t>MCI</w:t>
      </w:r>
      <w:r w:rsidR="00052FF9">
        <w:rPr>
          <w:sz w:val="24"/>
          <w:szCs w:val="24"/>
        </w:rPr>
        <w:t>)</w:t>
      </w:r>
      <w:r w:rsidR="00052FF9" w:rsidRPr="00052FF9">
        <w:rPr>
          <w:sz w:val="24"/>
          <w:szCs w:val="24"/>
        </w:rPr>
        <w:t xml:space="preserve">, </w:t>
      </w:r>
      <w:r w:rsidR="00052FF9">
        <w:rPr>
          <w:sz w:val="24"/>
          <w:szCs w:val="24"/>
        </w:rPr>
        <w:t xml:space="preserve">μη αμνησιακή </w:t>
      </w:r>
      <w:r w:rsidR="00052FF9">
        <w:rPr>
          <w:sz w:val="24"/>
          <w:szCs w:val="24"/>
          <w:lang w:val="en-US"/>
        </w:rPr>
        <w:t>MCI</w:t>
      </w:r>
      <w:r w:rsidR="00052FF9" w:rsidRPr="00052FF9">
        <w:rPr>
          <w:sz w:val="24"/>
          <w:szCs w:val="24"/>
        </w:rPr>
        <w:t>(</w:t>
      </w:r>
      <w:r w:rsidR="00052FF9">
        <w:rPr>
          <w:sz w:val="24"/>
          <w:szCs w:val="24"/>
          <w:lang w:val="en-US"/>
        </w:rPr>
        <w:t>na</w:t>
      </w:r>
      <w:r w:rsidR="00052FF9" w:rsidRPr="00052FF9">
        <w:rPr>
          <w:sz w:val="24"/>
          <w:szCs w:val="24"/>
        </w:rPr>
        <w:t>-</w:t>
      </w:r>
      <w:r w:rsidR="00052FF9">
        <w:rPr>
          <w:sz w:val="24"/>
          <w:szCs w:val="24"/>
          <w:lang w:val="en-US"/>
        </w:rPr>
        <w:t>MCI</w:t>
      </w:r>
      <w:r w:rsidR="00052FF9" w:rsidRPr="00052FF9">
        <w:rPr>
          <w:sz w:val="24"/>
          <w:szCs w:val="24"/>
        </w:rPr>
        <w:t xml:space="preserve">) </w:t>
      </w:r>
      <w:r w:rsidR="00052FF9">
        <w:rPr>
          <w:sz w:val="24"/>
          <w:szCs w:val="24"/>
        </w:rPr>
        <w:t>και ήπια άνοια.</w:t>
      </w:r>
    </w:p>
    <w:p w:rsidR="005565D5" w:rsidRPr="005252D5" w:rsidRDefault="005565D5" w:rsidP="003A684E">
      <w:pPr>
        <w:rPr>
          <w:b/>
          <w:sz w:val="24"/>
          <w:szCs w:val="24"/>
        </w:rPr>
      </w:pPr>
      <w:r w:rsidRPr="005252D5">
        <w:rPr>
          <w:b/>
          <w:sz w:val="24"/>
          <w:szCs w:val="24"/>
        </w:rPr>
        <w:t>Υλικό και μέθοδος</w:t>
      </w:r>
    </w:p>
    <w:p w:rsidR="005252D5" w:rsidRPr="006666FD" w:rsidRDefault="00052FF9" w:rsidP="003A684E">
      <w:pPr>
        <w:rPr>
          <w:sz w:val="24"/>
          <w:szCs w:val="24"/>
        </w:rPr>
      </w:pPr>
      <w:r>
        <w:rPr>
          <w:sz w:val="24"/>
          <w:szCs w:val="24"/>
        </w:rPr>
        <w:t>Στην μελέτη συμπεριλήφθηκαν 100 άτομα άνω των 70 ετών που επισκέφθηκαν τα εξωτερικά ιατρεία της Ψυχογηριατρικής Εταιρεία «Ο Νέστωρ» στην περιοχή της Αθήνας από τον Σεπτέμβριο 2025 ως τον Ιανουάριο 2026</w:t>
      </w:r>
      <w:r w:rsidR="006666FD">
        <w:rPr>
          <w:sz w:val="24"/>
          <w:szCs w:val="24"/>
        </w:rPr>
        <w:t xml:space="preserve"> και υποβλήθηκαν σε πλήρη νευροψυχολογικό έλεγχο</w:t>
      </w:r>
      <w:r>
        <w:rPr>
          <w:sz w:val="24"/>
          <w:szCs w:val="24"/>
        </w:rPr>
        <w:t>.</w:t>
      </w:r>
      <w:r w:rsidR="006666FD">
        <w:rPr>
          <w:sz w:val="24"/>
          <w:szCs w:val="24"/>
        </w:rPr>
        <w:t xml:space="preserve"> Για την αξιολόγηση της σωματικής ευπάθειας χρησιμοποιήθηκε η κλίμακα </w:t>
      </w:r>
      <w:r w:rsidR="006666FD">
        <w:rPr>
          <w:sz w:val="24"/>
          <w:szCs w:val="24"/>
          <w:lang w:val="en-US"/>
        </w:rPr>
        <w:t>SPPB</w:t>
      </w:r>
      <w:r w:rsidR="006666FD" w:rsidRPr="006666FD">
        <w:rPr>
          <w:sz w:val="24"/>
          <w:szCs w:val="24"/>
        </w:rPr>
        <w:t xml:space="preserve"> (</w:t>
      </w:r>
      <w:r w:rsidR="006666FD">
        <w:rPr>
          <w:sz w:val="24"/>
          <w:szCs w:val="24"/>
          <w:lang w:val="en-US"/>
        </w:rPr>
        <w:t>score</w:t>
      </w:r>
      <w:r w:rsidR="006666FD" w:rsidRPr="006666FD">
        <w:rPr>
          <w:sz w:val="24"/>
          <w:szCs w:val="24"/>
        </w:rPr>
        <w:t xml:space="preserve"> </w:t>
      </w:r>
      <w:r w:rsidR="006666FD">
        <w:rPr>
          <w:rFonts w:cstheme="minorHAnsi"/>
          <w:sz w:val="24"/>
          <w:szCs w:val="24"/>
        </w:rPr>
        <w:t>≤</w:t>
      </w:r>
      <w:r w:rsidR="006666FD" w:rsidRPr="006666FD">
        <w:rPr>
          <w:sz w:val="24"/>
          <w:szCs w:val="24"/>
        </w:rPr>
        <w:t xml:space="preserve"> 8).</w:t>
      </w:r>
    </w:p>
    <w:p w:rsidR="005565D5" w:rsidRPr="00052FF9" w:rsidRDefault="005565D5" w:rsidP="003A684E">
      <w:pPr>
        <w:rPr>
          <w:b/>
          <w:sz w:val="24"/>
          <w:szCs w:val="24"/>
        </w:rPr>
      </w:pPr>
      <w:r w:rsidRPr="005252D5">
        <w:rPr>
          <w:b/>
          <w:sz w:val="24"/>
          <w:szCs w:val="24"/>
        </w:rPr>
        <w:t>Αποτελέσματα</w:t>
      </w:r>
    </w:p>
    <w:p w:rsidR="005252D5" w:rsidRPr="006F1702" w:rsidRDefault="00331E8D" w:rsidP="003A684E">
      <w:pPr>
        <w:rPr>
          <w:sz w:val="24"/>
          <w:szCs w:val="24"/>
        </w:rPr>
      </w:pPr>
      <w:r>
        <w:rPr>
          <w:sz w:val="24"/>
          <w:szCs w:val="24"/>
        </w:rPr>
        <w:t xml:space="preserve">Μεταξύ των 100 συμμετεχόντων( μέση ηλικία 76 έτη, 68% γυναίκες), 28 άτομα </w:t>
      </w:r>
      <w:r w:rsidR="006F1702">
        <w:rPr>
          <w:sz w:val="24"/>
          <w:szCs w:val="24"/>
        </w:rPr>
        <w:t xml:space="preserve">που είχαν φυσιολογική γνωστική λειτουργία παρουσίασαν 11% ευπάθεια, 24 άτομα με </w:t>
      </w:r>
      <w:r w:rsidR="006F1702">
        <w:rPr>
          <w:sz w:val="24"/>
          <w:szCs w:val="24"/>
          <w:lang w:val="en-US"/>
        </w:rPr>
        <w:t>a</w:t>
      </w:r>
      <w:r w:rsidR="006F1702" w:rsidRPr="006F1702">
        <w:rPr>
          <w:sz w:val="24"/>
          <w:szCs w:val="24"/>
        </w:rPr>
        <w:t>-</w:t>
      </w:r>
      <w:r w:rsidR="006F1702">
        <w:rPr>
          <w:sz w:val="24"/>
          <w:szCs w:val="24"/>
          <w:lang w:val="en-US"/>
        </w:rPr>
        <w:t>MCI</w:t>
      </w:r>
      <w:r w:rsidR="006F1702">
        <w:rPr>
          <w:sz w:val="24"/>
          <w:szCs w:val="24"/>
        </w:rPr>
        <w:t xml:space="preserve"> είχαν 29% ευπάθεια, 21 άτομα με</w:t>
      </w:r>
      <w:r w:rsidR="006F1702" w:rsidRPr="006F1702">
        <w:rPr>
          <w:sz w:val="24"/>
          <w:szCs w:val="24"/>
        </w:rPr>
        <w:t xml:space="preserve"> </w:t>
      </w:r>
      <w:r w:rsidR="006F1702">
        <w:rPr>
          <w:sz w:val="24"/>
          <w:szCs w:val="24"/>
          <w:lang w:val="en-US"/>
        </w:rPr>
        <w:t>no</w:t>
      </w:r>
      <w:r w:rsidR="006F1702" w:rsidRPr="006F1702">
        <w:rPr>
          <w:sz w:val="24"/>
          <w:szCs w:val="24"/>
        </w:rPr>
        <w:t>-</w:t>
      </w:r>
      <w:r w:rsidR="006F1702">
        <w:rPr>
          <w:sz w:val="24"/>
          <w:szCs w:val="24"/>
          <w:lang w:val="en-US"/>
        </w:rPr>
        <w:t>MCI</w:t>
      </w:r>
      <w:r w:rsidR="006F1702">
        <w:rPr>
          <w:sz w:val="24"/>
          <w:szCs w:val="24"/>
        </w:rPr>
        <w:t xml:space="preserve"> είχαν 38% και 27 άτομα σε ήπιο στάδιο άνοιας παρουσίασαν 67% ευπάθεια. </w:t>
      </w:r>
      <w:r w:rsidR="002507A3">
        <w:rPr>
          <w:sz w:val="24"/>
          <w:szCs w:val="24"/>
        </w:rPr>
        <w:t>Με την χρήση πολυπαραμετρικής λογιστικής παλινδρόμησης και λαμβάνοντας υπόψη παράγοντες όπως η ηλικίας, το φύλο, η πολυφαρμακία και η συνυπάρχουσα διαταραχή διάθεσης, βρέθηκε στατιστικά σημαντική συσχέτιση μεταξύ της γνωστικής κατάστασης και της σωματικής ευπάθειας (</w:t>
      </w:r>
      <w:r w:rsidR="002507A3" w:rsidRPr="002507A3">
        <w:rPr>
          <w:sz w:val="24"/>
          <w:szCs w:val="24"/>
        </w:rPr>
        <w:t>OR=</w:t>
      </w:r>
      <w:r w:rsidR="002507A3">
        <w:rPr>
          <w:sz w:val="24"/>
          <w:szCs w:val="24"/>
        </w:rPr>
        <w:t>4,6, p=0,001)</w:t>
      </w:r>
    </w:p>
    <w:p w:rsidR="005565D5" w:rsidRPr="00315140" w:rsidRDefault="005565D5" w:rsidP="003A684E">
      <w:r w:rsidRPr="005252D5">
        <w:rPr>
          <w:b/>
          <w:sz w:val="24"/>
          <w:szCs w:val="24"/>
        </w:rPr>
        <w:t>Συμπεράσματα</w:t>
      </w:r>
    </w:p>
    <w:p w:rsidR="00550DD6" w:rsidRPr="00800B6F" w:rsidRDefault="00800B6F" w:rsidP="002507A3">
      <w:pPr>
        <w:rPr>
          <w:sz w:val="24"/>
          <w:szCs w:val="24"/>
        </w:rPr>
      </w:pPr>
      <w:r>
        <w:rPr>
          <w:sz w:val="24"/>
          <w:szCs w:val="24"/>
        </w:rPr>
        <w:t xml:space="preserve">Η σωματική ευπάθεια εμφανίζεται συχνότερα σε άτομα μεγάλης ηλικίας με </w:t>
      </w:r>
      <w:r>
        <w:rPr>
          <w:sz w:val="24"/>
          <w:szCs w:val="24"/>
          <w:lang w:val="en-US"/>
        </w:rPr>
        <w:t>MCI</w:t>
      </w:r>
      <w:r w:rsidRPr="00800B6F">
        <w:rPr>
          <w:sz w:val="24"/>
          <w:szCs w:val="24"/>
        </w:rPr>
        <w:t xml:space="preserve"> </w:t>
      </w:r>
      <w:r>
        <w:rPr>
          <w:sz w:val="24"/>
          <w:szCs w:val="24"/>
        </w:rPr>
        <w:t xml:space="preserve">και ήπια άνοια πέρα από την επίδραση λοιπών παραγόντων, γεγονός που υπογραμμίζει την ανάγκη για αξιολόγηση και κατάλληλες παρεμβάσεις σε αυτόν τον πληθυσμό. </w:t>
      </w:r>
      <w:r w:rsidR="001922B4" w:rsidRPr="001922B4">
        <w:rPr>
          <w:sz w:val="24"/>
          <w:szCs w:val="24"/>
        </w:rPr>
        <w:lastRenderedPageBreak/>
        <w:t>Περαιτέρω έρευνα θα πρέπει να διερευνήσει την προγνωστική σημασία της συνυπάρχουσας ευθραυστότητας σε άτομα με MCI και ήπια άνοια, και να διευκρινίσει πιθανούς παθοφυσιολογικούς μηχανισμούς που συνδέουν τις δύο παθήσεις.</w:t>
      </w:r>
    </w:p>
    <w:p w:rsidR="00550DD6" w:rsidRPr="00315140" w:rsidRDefault="00550DD6" w:rsidP="00E56994">
      <w:pPr>
        <w:jc w:val="center"/>
      </w:pPr>
    </w:p>
    <w:p w:rsidR="00550DD6" w:rsidRPr="00315140" w:rsidRDefault="00550DD6" w:rsidP="001922B4"/>
    <w:p w:rsidR="00E56994" w:rsidRPr="005252D5" w:rsidRDefault="00E56994" w:rsidP="00550DD6">
      <w:pPr>
        <w:rPr>
          <w:b/>
          <w:i/>
        </w:rPr>
      </w:pPr>
      <w:r w:rsidRPr="005252D5">
        <w:rPr>
          <w:b/>
          <w:i/>
        </w:rPr>
        <w:t>Λέξεις κλειδιά:</w:t>
      </w:r>
      <w:r w:rsidR="00315140" w:rsidRPr="005252D5">
        <w:rPr>
          <w:b/>
          <w:i/>
        </w:rPr>
        <w:t xml:space="preserve"> Ευπάθεια, Άνοια, Ήπια Γνωστική Διαταραχή</w:t>
      </w:r>
    </w:p>
    <w:p w:rsidR="00550DD6" w:rsidRPr="00315140" w:rsidRDefault="00550DD6" w:rsidP="00550DD6">
      <w:pPr>
        <w:rPr>
          <w:i/>
        </w:rPr>
      </w:pPr>
    </w:p>
    <w:p w:rsidR="00550DD6" w:rsidRPr="00315140" w:rsidRDefault="00550DD6" w:rsidP="00550DD6">
      <w:pPr>
        <w:rPr>
          <w:i/>
        </w:rPr>
      </w:pPr>
    </w:p>
    <w:p w:rsidR="00550DD6" w:rsidRPr="000C7DDA" w:rsidRDefault="00550DD6" w:rsidP="00550DD6">
      <w:pPr>
        <w:rPr>
          <w:i/>
        </w:rPr>
      </w:pPr>
    </w:p>
    <w:p w:rsidR="005F640E" w:rsidRPr="000C7DDA" w:rsidRDefault="005F640E" w:rsidP="00550DD6">
      <w:pPr>
        <w:rPr>
          <w:i/>
        </w:rPr>
      </w:pPr>
    </w:p>
    <w:p w:rsidR="005F640E" w:rsidRPr="000C7DDA" w:rsidRDefault="005F640E" w:rsidP="00550DD6">
      <w:pPr>
        <w:rPr>
          <w:i/>
        </w:rPr>
      </w:pPr>
    </w:p>
    <w:p w:rsidR="005F640E" w:rsidRPr="000C7DDA" w:rsidRDefault="005F640E" w:rsidP="00550DD6">
      <w:pPr>
        <w:rPr>
          <w:i/>
        </w:rPr>
      </w:pPr>
    </w:p>
    <w:p w:rsidR="005F640E" w:rsidRPr="000C7DDA" w:rsidRDefault="005F640E" w:rsidP="00550DD6">
      <w:pPr>
        <w:rPr>
          <w:i/>
        </w:rPr>
      </w:pPr>
    </w:p>
    <w:p w:rsidR="005F640E" w:rsidRPr="000C7DDA" w:rsidRDefault="005F640E" w:rsidP="00550DD6">
      <w:pPr>
        <w:rPr>
          <w:i/>
        </w:rPr>
      </w:pPr>
    </w:p>
    <w:p w:rsidR="005F640E" w:rsidRPr="000C7DDA" w:rsidRDefault="005F640E" w:rsidP="00550DD6">
      <w:pPr>
        <w:rPr>
          <w:i/>
        </w:rPr>
      </w:pPr>
    </w:p>
    <w:p w:rsidR="005F640E" w:rsidRPr="000C7DDA" w:rsidRDefault="005F640E" w:rsidP="00550DD6">
      <w:pPr>
        <w:rPr>
          <w:i/>
        </w:rPr>
      </w:pPr>
    </w:p>
    <w:p w:rsidR="005F640E" w:rsidRPr="000C7DDA" w:rsidRDefault="005F640E" w:rsidP="00550DD6">
      <w:pPr>
        <w:rPr>
          <w:i/>
        </w:rPr>
      </w:pPr>
    </w:p>
    <w:p w:rsidR="005F640E" w:rsidRDefault="005F640E" w:rsidP="00550DD6">
      <w:pPr>
        <w:rPr>
          <w:i/>
        </w:rPr>
      </w:pPr>
    </w:p>
    <w:p w:rsidR="00252BB9" w:rsidRDefault="00252BB9" w:rsidP="00550DD6">
      <w:pPr>
        <w:rPr>
          <w:i/>
        </w:rPr>
      </w:pPr>
    </w:p>
    <w:p w:rsidR="00252BB9" w:rsidRDefault="00252BB9" w:rsidP="00550DD6">
      <w:pPr>
        <w:rPr>
          <w:i/>
        </w:rPr>
      </w:pPr>
    </w:p>
    <w:p w:rsidR="00252BB9" w:rsidRDefault="00252BB9" w:rsidP="00550DD6">
      <w:pPr>
        <w:rPr>
          <w:i/>
        </w:rPr>
      </w:pPr>
    </w:p>
    <w:p w:rsidR="00252BB9" w:rsidRDefault="00252BB9" w:rsidP="00550DD6">
      <w:pPr>
        <w:rPr>
          <w:i/>
        </w:rPr>
      </w:pPr>
    </w:p>
    <w:p w:rsidR="00252BB9" w:rsidRDefault="00252BB9" w:rsidP="00550DD6">
      <w:pPr>
        <w:rPr>
          <w:i/>
        </w:rPr>
      </w:pPr>
    </w:p>
    <w:p w:rsidR="00252BB9" w:rsidRDefault="00252BB9" w:rsidP="00550DD6">
      <w:pPr>
        <w:rPr>
          <w:i/>
        </w:rPr>
      </w:pPr>
    </w:p>
    <w:p w:rsidR="00252BB9" w:rsidRPr="000C7DDA" w:rsidRDefault="00252BB9" w:rsidP="00550DD6">
      <w:pPr>
        <w:rPr>
          <w:i/>
        </w:rPr>
      </w:pPr>
    </w:p>
    <w:p w:rsidR="005F640E" w:rsidRPr="000C7DDA" w:rsidRDefault="005F640E" w:rsidP="00550DD6">
      <w:pPr>
        <w:rPr>
          <w:i/>
        </w:rPr>
      </w:pPr>
    </w:p>
    <w:p w:rsidR="005252D5" w:rsidRPr="005252D5" w:rsidRDefault="005252D5" w:rsidP="005252D5">
      <w:pPr>
        <w:rPr>
          <w:b/>
          <w:sz w:val="28"/>
          <w:szCs w:val="28"/>
          <w:lang w:val="en-US"/>
        </w:rPr>
      </w:pPr>
      <w:r w:rsidRPr="005252D5">
        <w:rPr>
          <w:b/>
          <w:sz w:val="28"/>
          <w:szCs w:val="28"/>
          <w:lang w:val="en-US"/>
        </w:rPr>
        <w:lastRenderedPageBreak/>
        <w:t>PREVALENCE OF PHYSICAL FRAILTY IN COMMUNITY-DWELLING OLDER ADULTS WITH MILD COGNITIVE IMPAIRMENT</w:t>
      </w:r>
    </w:p>
    <w:p w:rsidR="00550DD6" w:rsidRPr="005252D5" w:rsidRDefault="00550DD6" w:rsidP="00550DD6">
      <w:pPr>
        <w:rPr>
          <w:b/>
          <w:i/>
          <w:lang w:val="en-US"/>
        </w:rPr>
      </w:pPr>
    </w:p>
    <w:p w:rsidR="00511D51" w:rsidRPr="000C7DDA" w:rsidRDefault="005A78A2" w:rsidP="005252D5">
      <w:pPr>
        <w:jc w:val="center"/>
        <w:rPr>
          <w:b/>
          <w:sz w:val="24"/>
          <w:szCs w:val="24"/>
          <w:lang w:val="en-US"/>
        </w:rPr>
      </w:pPr>
      <w:r w:rsidRPr="004731E2">
        <w:rPr>
          <w:b/>
          <w:sz w:val="24"/>
          <w:szCs w:val="24"/>
          <w:lang w:val="en-US"/>
        </w:rPr>
        <w:t>Abstract</w:t>
      </w:r>
    </w:p>
    <w:p w:rsidR="005252D5" w:rsidRPr="005252D5" w:rsidRDefault="005252D5" w:rsidP="005252D5">
      <w:pPr>
        <w:rPr>
          <w:b/>
          <w:sz w:val="24"/>
          <w:szCs w:val="24"/>
          <w:lang w:val="en-US"/>
        </w:rPr>
      </w:pPr>
      <w:r w:rsidRPr="005252D5">
        <w:rPr>
          <w:b/>
          <w:sz w:val="24"/>
          <w:szCs w:val="24"/>
          <w:lang w:val="en-US"/>
        </w:rPr>
        <w:t>Introduction</w:t>
      </w:r>
    </w:p>
    <w:p w:rsidR="005252D5" w:rsidRPr="005252D5" w:rsidRDefault="005252D5" w:rsidP="005252D5">
      <w:pPr>
        <w:rPr>
          <w:sz w:val="24"/>
          <w:szCs w:val="24"/>
          <w:lang w:val="en-US"/>
        </w:rPr>
      </w:pPr>
      <w:r w:rsidRPr="005252D5">
        <w:rPr>
          <w:sz w:val="24"/>
          <w:szCs w:val="24"/>
          <w:lang w:val="en-US"/>
        </w:rPr>
        <w:t>Frailty is an age-related syndrome of impaired response to stress and reduced function in physical, cognitive, and psychosocial domains, affecting the management of all coexistent diseases. Physical function declines in patients with advanced dementia, but the prevalence of frailty in persons with mild cognitive impairment (MCI) is not well described. In this cross-sectional study, we aimed to compare frailty status between community-dwelling older persons with normal cognition, amnestic MCI (a-MCI), non-amnestic MCI (na-MCI), and mild dementia.</w:t>
      </w:r>
    </w:p>
    <w:p w:rsidR="005252D5" w:rsidRPr="005252D5" w:rsidRDefault="005252D5" w:rsidP="005252D5">
      <w:pPr>
        <w:rPr>
          <w:b/>
          <w:sz w:val="24"/>
          <w:szCs w:val="24"/>
          <w:lang w:val="en-US"/>
        </w:rPr>
      </w:pPr>
      <w:r w:rsidRPr="005252D5">
        <w:rPr>
          <w:b/>
          <w:sz w:val="24"/>
          <w:szCs w:val="24"/>
          <w:lang w:val="en-US"/>
        </w:rPr>
        <w:t>Methods</w:t>
      </w:r>
    </w:p>
    <w:p w:rsidR="005252D5" w:rsidRPr="005252D5" w:rsidRDefault="005252D5" w:rsidP="005252D5">
      <w:pPr>
        <w:rPr>
          <w:sz w:val="24"/>
          <w:szCs w:val="24"/>
          <w:lang w:val="en-US"/>
        </w:rPr>
      </w:pPr>
      <w:r w:rsidRPr="005252D5">
        <w:rPr>
          <w:sz w:val="24"/>
          <w:szCs w:val="24"/>
          <w:lang w:val="en-US"/>
        </w:rPr>
        <w:t>We included all consecutive persons older than 70 years who underwent a complete neuropsychological assessment in an urban outpatient Memory Clinic, between September 2025 and January 2026. Physical frailty defined as a short physical performance battery (SPPB) score ≤8.</w:t>
      </w:r>
    </w:p>
    <w:p w:rsidR="005252D5" w:rsidRPr="005252D5" w:rsidRDefault="005252D5" w:rsidP="005252D5">
      <w:pPr>
        <w:rPr>
          <w:b/>
          <w:sz w:val="24"/>
          <w:szCs w:val="24"/>
          <w:lang w:val="en-US"/>
        </w:rPr>
      </w:pPr>
      <w:r w:rsidRPr="005252D5">
        <w:rPr>
          <w:b/>
          <w:sz w:val="24"/>
          <w:szCs w:val="24"/>
          <w:lang w:val="en-US"/>
        </w:rPr>
        <w:t>Results</w:t>
      </w:r>
    </w:p>
    <w:p w:rsidR="005252D5" w:rsidRPr="005252D5" w:rsidRDefault="005252D5" w:rsidP="005252D5">
      <w:pPr>
        <w:rPr>
          <w:sz w:val="24"/>
          <w:szCs w:val="24"/>
          <w:lang w:val="en-US"/>
        </w:rPr>
      </w:pPr>
      <w:r w:rsidRPr="005252D5">
        <w:rPr>
          <w:sz w:val="24"/>
          <w:szCs w:val="24"/>
          <w:lang w:val="en-US"/>
        </w:rPr>
        <w:t xml:space="preserve">Among 100 participants (median age 76 years, 68% women) 28 had normal cognition among which 11% had frailty, 24 had a-MCI among which 29% had frailty; 21 had na-MCI among which 38% had frailty, and 27 had early-stage dementia, among which 67% had </w:t>
      </w:r>
      <w:proofErr w:type="gramStart"/>
      <w:r w:rsidRPr="005252D5">
        <w:rPr>
          <w:sz w:val="24"/>
          <w:szCs w:val="24"/>
          <w:lang w:val="en-US"/>
        </w:rPr>
        <w:t>frailty .</w:t>
      </w:r>
      <w:proofErr w:type="gramEnd"/>
      <w:r w:rsidRPr="005252D5">
        <w:rPr>
          <w:sz w:val="24"/>
          <w:szCs w:val="24"/>
          <w:lang w:val="en-US"/>
        </w:rPr>
        <w:t xml:space="preserve"> After controlling for age, gender, polypharmacy, and concomitant mood disorder in multivariable ordinal logistic regression, there was a statistically significant association between cognitive status and physical frailty (OR=4.6, p=0.001).</w:t>
      </w:r>
    </w:p>
    <w:p w:rsidR="005252D5" w:rsidRPr="005252D5" w:rsidRDefault="005252D5" w:rsidP="005252D5">
      <w:pPr>
        <w:rPr>
          <w:b/>
          <w:sz w:val="24"/>
          <w:szCs w:val="24"/>
          <w:lang w:val="en-US"/>
        </w:rPr>
      </w:pPr>
      <w:r w:rsidRPr="005252D5">
        <w:rPr>
          <w:b/>
          <w:sz w:val="24"/>
          <w:szCs w:val="24"/>
          <w:lang w:val="en-US"/>
        </w:rPr>
        <w:t>Conclusions</w:t>
      </w:r>
    </w:p>
    <w:p w:rsidR="005252D5" w:rsidRPr="005252D5" w:rsidRDefault="005252D5" w:rsidP="005252D5">
      <w:pPr>
        <w:rPr>
          <w:sz w:val="24"/>
          <w:szCs w:val="24"/>
          <w:lang w:val="en-US"/>
        </w:rPr>
      </w:pPr>
      <w:r w:rsidRPr="005252D5">
        <w:rPr>
          <w:sz w:val="24"/>
          <w:szCs w:val="24"/>
          <w:lang w:val="en-US"/>
        </w:rPr>
        <w:t>Physical frailty prevalence is increased in older persons with MCI and mild dementia beyond the effect of potential confounders, highlighting a need for screening and appropriate referral in this population. Further research should investigate the prognostic significance of co-existing frailty in persons with MCI and mild dementia, and elucidate potential pathophysiologic mechanisms linking the two conditions.</w:t>
      </w:r>
    </w:p>
    <w:p w:rsidR="005565D5" w:rsidRPr="005565D5" w:rsidRDefault="005565D5" w:rsidP="005565D5">
      <w:pPr>
        <w:rPr>
          <w:lang w:val="en-US"/>
        </w:rPr>
      </w:pPr>
    </w:p>
    <w:p w:rsidR="005252D5" w:rsidRPr="005252D5" w:rsidRDefault="005252D5" w:rsidP="005252D5">
      <w:pPr>
        <w:rPr>
          <w:b/>
          <w:i/>
          <w:lang w:val="en-US"/>
        </w:rPr>
      </w:pPr>
      <w:r w:rsidRPr="005252D5">
        <w:rPr>
          <w:b/>
          <w:i/>
          <w:lang w:val="en-US"/>
        </w:rPr>
        <w:t xml:space="preserve">Key words: Frailty, Dementia, Mild Cognitive Impairment </w:t>
      </w: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Pr="000C7DDA" w:rsidRDefault="00550DD6" w:rsidP="00E56994">
      <w:pPr>
        <w:jc w:val="center"/>
        <w:rPr>
          <w:sz w:val="24"/>
          <w:szCs w:val="24"/>
          <w:lang w:val="en-US"/>
        </w:rPr>
      </w:pPr>
    </w:p>
    <w:p w:rsidR="00550DD6" w:rsidRDefault="00550DD6" w:rsidP="00550DD6">
      <w:pPr>
        <w:rPr>
          <w:i/>
          <w:lang w:val="en-US"/>
        </w:rPr>
      </w:pPr>
    </w:p>
    <w:p w:rsidR="005F640E" w:rsidRDefault="005F640E" w:rsidP="00550DD6">
      <w:pPr>
        <w:rPr>
          <w:i/>
          <w:lang w:val="en-US"/>
        </w:rPr>
      </w:pPr>
    </w:p>
    <w:p w:rsidR="005F640E" w:rsidRDefault="005F640E" w:rsidP="00550DD6">
      <w:pPr>
        <w:rPr>
          <w:i/>
          <w:lang w:val="en-US"/>
        </w:rPr>
      </w:pPr>
    </w:p>
    <w:p w:rsidR="005F640E" w:rsidRDefault="005F640E" w:rsidP="00550DD6">
      <w:pPr>
        <w:rPr>
          <w:i/>
          <w:lang w:val="en-US"/>
        </w:rPr>
      </w:pPr>
    </w:p>
    <w:p w:rsidR="005F640E" w:rsidRDefault="005F640E" w:rsidP="00550DD6">
      <w:pPr>
        <w:rPr>
          <w:i/>
          <w:lang w:val="en-US"/>
        </w:rPr>
      </w:pPr>
    </w:p>
    <w:p w:rsidR="005F640E" w:rsidRDefault="005F640E" w:rsidP="00550DD6">
      <w:pPr>
        <w:rPr>
          <w:i/>
          <w:lang w:val="en-US"/>
        </w:rPr>
      </w:pPr>
    </w:p>
    <w:p w:rsidR="005F640E" w:rsidRDefault="005F640E" w:rsidP="00550DD6">
      <w:pPr>
        <w:rPr>
          <w:i/>
          <w:lang w:val="en-US"/>
        </w:rPr>
      </w:pPr>
    </w:p>
    <w:p w:rsidR="005F640E" w:rsidRPr="00F70AF8" w:rsidRDefault="005F640E"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252BB9" w:rsidRPr="00F70AF8" w:rsidRDefault="00252BB9" w:rsidP="00550DD6">
      <w:pPr>
        <w:rPr>
          <w:i/>
          <w:lang w:val="en-US"/>
        </w:rPr>
      </w:pPr>
    </w:p>
    <w:p w:rsidR="00550DD6" w:rsidRPr="00F043D9" w:rsidRDefault="00550DD6" w:rsidP="00550DD6">
      <w:pPr>
        <w:jc w:val="center"/>
        <w:rPr>
          <w:b/>
          <w:bCs/>
          <w:sz w:val="28"/>
          <w:szCs w:val="28"/>
        </w:rPr>
      </w:pPr>
      <w:r w:rsidRPr="00F043D9">
        <w:rPr>
          <w:b/>
          <w:bCs/>
          <w:sz w:val="28"/>
          <w:szCs w:val="28"/>
        </w:rPr>
        <w:lastRenderedPageBreak/>
        <w:t>Περιεχόμενα</w:t>
      </w:r>
    </w:p>
    <w:p w:rsidR="004731E2" w:rsidRPr="00F043D9" w:rsidRDefault="00AB5424" w:rsidP="00F043D9">
      <w:pPr>
        <w:pStyle w:val="Default"/>
        <w:tabs>
          <w:tab w:val="center" w:pos="4153"/>
        </w:tabs>
        <w:rPr>
          <w:b/>
          <w:bCs/>
        </w:rPr>
      </w:pPr>
      <w:r>
        <w:rPr>
          <w:b/>
          <w:bCs/>
        </w:rPr>
        <w:t>ΠΡΑΚΤΙΚΟ ΚΡΙΣΕΩΣ……………………………………………………………………………………………</w:t>
      </w:r>
      <w:r>
        <w:rPr>
          <w:b/>
          <w:bCs/>
        </w:rPr>
        <w:tab/>
      </w:r>
    </w:p>
    <w:p w:rsidR="004731E2" w:rsidRPr="00F043D9" w:rsidRDefault="004731E2" w:rsidP="004731E2">
      <w:pPr>
        <w:pStyle w:val="Default"/>
      </w:pPr>
      <w:r w:rsidRPr="00F043D9">
        <w:rPr>
          <w:b/>
          <w:bCs/>
        </w:rPr>
        <w:t xml:space="preserve">Πρόλογος </w:t>
      </w:r>
      <w:r w:rsidR="00AB5424">
        <w:rPr>
          <w:b/>
          <w:bCs/>
        </w:rPr>
        <w:t>..........................................................................................................</w:t>
      </w:r>
    </w:p>
    <w:p w:rsidR="004731E2" w:rsidRPr="00F043D9" w:rsidRDefault="004731E2" w:rsidP="004731E2">
      <w:pPr>
        <w:pStyle w:val="Default"/>
      </w:pPr>
      <w:r w:rsidRPr="00F043D9">
        <w:rPr>
          <w:b/>
          <w:bCs/>
        </w:rPr>
        <w:t>Ευχαριστίες</w:t>
      </w:r>
      <w:r w:rsidR="00AB5424">
        <w:rPr>
          <w:b/>
          <w:bCs/>
        </w:rPr>
        <w:t>..........................................................................................................</w:t>
      </w:r>
    </w:p>
    <w:p w:rsidR="004731E2" w:rsidRPr="00F043D9" w:rsidRDefault="004731E2" w:rsidP="004731E2">
      <w:pPr>
        <w:pStyle w:val="Default"/>
        <w:rPr>
          <w:b/>
          <w:bCs/>
        </w:rPr>
      </w:pPr>
      <w:r w:rsidRPr="00F043D9">
        <w:rPr>
          <w:b/>
          <w:bCs/>
        </w:rPr>
        <w:t xml:space="preserve">Περίληψη </w:t>
      </w:r>
      <w:r w:rsidR="00AB5424">
        <w:rPr>
          <w:b/>
          <w:bCs/>
        </w:rPr>
        <w:t>..........................................................................................................</w:t>
      </w:r>
    </w:p>
    <w:p w:rsidR="004731E2" w:rsidRPr="00F043D9" w:rsidRDefault="004731E2" w:rsidP="004731E2">
      <w:pPr>
        <w:pStyle w:val="Default"/>
      </w:pPr>
      <w:r w:rsidRPr="00F043D9">
        <w:rPr>
          <w:b/>
          <w:bCs/>
          <w:lang w:val="en-US"/>
        </w:rPr>
        <w:t>Abstract</w:t>
      </w:r>
      <w:r w:rsidR="00AB5424">
        <w:rPr>
          <w:b/>
          <w:bCs/>
        </w:rPr>
        <w:t>..........................................................................................................</w:t>
      </w:r>
    </w:p>
    <w:p w:rsidR="004731E2" w:rsidRPr="00F043D9" w:rsidRDefault="00244015" w:rsidP="004731E2">
      <w:pPr>
        <w:pStyle w:val="Default"/>
      </w:pPr>
      <w:r>
        <w:rPr>
          <w:b/>
          <w:bCs/>
        </w:rPr>
        <w:t>Λίστα Εικόνων</w:t>
      </w:r>
      <w:r w:rsidR="004731E2" w:rsidRPr="00F043D9">
        <w:rPr>
          <w:b/>
          <w:bCs/>
        </w:rPr>
        <w:t xml:space="preserve"> </w:t>
      </w:r>
      <w:r w:rsidR="00AB5424">
        <w:rPr>
          <w:b/>
          <w:bCs/>
        </w:rPr>
        <w:t>....................................................................................................</w:t>
      </w:r>
    </w:p>
    <w:p w:rsidR="004731E2" w:rsidRPr="00F043D9" w:rsidRDefault="004731E2" w:rsidP="004731E2">
      <w:pPr>
        <w:pStyle w:val="Default"/>
      </w:pPr>
      <w:r w:rsidRPr="00F043D9">
        <w:rPr>
          <w:b/>
          <w:bCs/>
        </w:rPr>
        <w:t xml:space="preserve">Λίστα Διαγραμμάτων </w:t>
      </w:r>
      <w:r w:rsidR="00AB5424">
        <w:rPr>
          <w:b/>
          <w:bCs/>
        </w:rPr>
        <w:t>.............................................................................................</w:t>
      </w:r>
    </w:p>
    <w:p w:rsidR="004731E2" w:rsidRPr="00F043D9" w:rsidRDefault="004731E2" w:rsidP="004731E2">
      <w:pPr>
        <w:pStyle w:val="Default"/>
      </w:pPr>
      <w:r w:rsidRPr="00F043D9">
        <w:rPr>
          <w:b/>
          <w:bCs/>
        </w:rPr>
        <w:t xml:space="preserve">Λίστα Πινάκων </w:t>
      </w:r>
      <w:r w:rsidR="00AB5424">
        <w:rPr>
          <w:b/>
          <w:bCs/>
        </w:rPr>
        <w:t>......................................................................................................</w:t>
      </w:r>
    </w:p>
    <w:p w:rsidR="004731E2" w:rsidRPr="00F043D9" w:rsidRDefault="004731E2" w:rsidP="004731E2">
      <w:pPr>
        <w:pStyle w:val="Default"/>
      </w:pPr>
      <w:r w:rsidRPr="00F043D9">
        <w:rPr>
          <w:b/>
          <w:bCs/>
        </w:rPr>
        <w:t xml:space="preserve">Συντομογραφίες </w:t>
      </w:r>
      <w:r w:rsidR="00AB5424">
        <w:rPr>
          <w:b/>
          <w:bCs/>
        </w:rPr>
        <w:t>.</w:t>
      </w:r>
      <w:r w:rsidR="00AB5424" w:rsidRPr="00AB5424">
        <w:rPr>
          <w:b/>
          <w:bCs/>
        </w:rPr>
        <w:t xml:space="preserve"> </w:t>
      </w:r>
      <w:r w:rsidR="00AB5424">
        <w:rPr>
          <w:b/>
          <w:bCs/>
        </w:rPr>
        <w:t>................................................................................................</w:t>
      </w:r>
    </w:p>
    <w:p w:rsidR="004731E2" w:rsidRPr="002553A6" w:rsidRDefault="004731E2" w:rsidP="004731E2">
      <w:pPr>
        <w:pStyle w:val="Default"/>
        <w:rPr>
          <w:b/>
          <w:bCs/>
          <w:sz w:val="28"/>
          <w:szCs w:val="28"/>
        </w:rPr>
      </w:pPr>
      <w:r w:rsidRPr="002553A6">
        <w:rPr>
          <w:b/>
          <w:bCs/>
          <w:sz w:val="28"/>
          <w:szCs w:val="28"/>
        </w:rPr>
        <w:t xml:space="preserve">Α. Γενικό Μέρος </w:t>
      </w:r>
    </w:p>
    <w:p w:rsidR="00536D2B" w:rsidRPr="00F043D9" w:rsidRDefault="002F3A4F" w:rsidP="004731E2">
      <w:pPr>
        <w:pStyle w:val="Default"/>
        <w:rPr>
          <w:b/>
          <w:bCs/>
        </w:rPr>
      </w:pPr>
      <w:r w:rsidRPr="00F043D9">
        <w:rPr>
          <w:b/>
          <w:bCs/>
        </w:rPr>
        <w:t>1.</w:t>
      </w:r>
      <w:r w:rsidR="00536D2B" w:rsidRPr="00F043D9">
        <w:rPr>
          <w:b/>
          <w:bCs/>
        </w:rPr>
        <w:t>Εισαγωγή</w:t>
      </w:r>
      <w:r w:rsidR="00AB5424">
        <w:rPr>
          <w:b/>
          <w:bCs/>
        </w:rPr>
        <w:t>..........................................................................................................</w:t>
      </w:r>
    </w:p>
    <w:p w:rsidR="002F3A4F" w:rsidRPr="00A123D7" w:rsidRDefault="002F3A4F" w:rsidP="004731E2">
      <w:pPr>
        <w:pStyle w:val="Default"/>
        <w:rPr>
          <w:b/>
          <w:bCs/>
        </w:rPr>
      </w:pPr>
      <w:r w:rsidRPr="00F043D9">
        <w:rPr>
          <w:b/>
          <w:bCs/>
        </w:rPr>
        <w:t>2. Το σύνδρομο της Ευπάθειας</w:t>
      </w:r>
      <w:r w:rsidR="00AB5424">
        <w:rPr>
          <w:b/>
          <w:bCs/>
        </w:rPr>
        <w:t>.............................................................................</w:t>
      </w:r>
    </w:p>
    <w:p w:rsidR="00F043D9" w:rsidRPr="00F043D9" w:rsidRDefault="00F043D9" w:rsidP="004731E2">
      <w:pPr>
        <w:pStyle w:val="Default"/>
        <w:rPr>
          <w:b/>
          <w:bCs/>
        </w:rPr>
      </w:pPr>
      <w:r w:rsidRPr="00A123D7">
        <w:rPr>
          <w:b/>
          <w:bCs/>
        </w:rPr>
        <w:t>2.</w:t>
      </w:r>
      <w:r w:rsidRPr="00F043D9">
        <w:rPr>
          <w:b/>
          <w:bCs/>
        </w:rPr>
        <w:t>1</w:t>
      </w:r>
      <w:r w:rsidRPr="00A123D7">
        <w:rPr>
          <w:b/>
          <w:bCs/>
        </w:rPr>
        <w:t xml:space="preserve"> </w:t>
      </w:r>
      <w:r w:rsidRPr="00F043D9">
        <w:rPr>
          <w:b/>
          <w:bCs/>
        </w:rPr>
        <w:t>Επιπολασμός της Ευπάθειας</w:t>
      </w:r>
      <w:r w:rsidR="00AB5424">
        <w:rPr>
          <w:b/>
          <w:bCs/>
        </w:rPr>
        <w:t>...........................................................................</w:t>
      </w:r>
    </w:p>
    <w:p w:rsidR="00536D2B" w:rsidRDefault="00355024" w:rsidP="004731E2">
      <w:pPr>
        <w:pStyle w:val="Default"/>
        <w:rPr>
          <w:b/>
          <w:bCs/>
        </w:rPr>
      </w:pPr>
      <w:r>
        <w:rPr>
          <w:b/>
          <w:bCs/>
        </w:rPr>
        <w:t>2.2 Φυσιολογία και παράγοντες κινδύνου ευπάθειας</w:t>
      </w:r>
      <w:r w:rsidR="00AB5424">
        <w:rPr>
          <w:b/>
          <w:bCs/>
        </w:rPr>
        <w:t>...........................................</w:t>
      </w:r>
    </w:p>
    <w:p w:rsidR="00355024" w:rsidRDefault="006859A3" w:rsidP="004731E2">
      <w:pPr>
        <w:pStyle w:val="Default"/>
        <w:rPr>
          <w:b/>
          <w:bCs/>
        </w:rPr>
      </w:pPr>
      <w:r>
        <w:rPr>
          <w:b/>
          <w:bCs/>
        </w:rPr>
        <w:t>2.2.1 Βιολογικοί παράγοντες</w:t>
      </w:r>
      <w:r w:rsidR="00AB5424">
        <w:rPr>
          <w:b/>
          <w:bCs/>
        </w:rPr>
        <w:t>.................................................................................</w:t>
      </w:r>
    </w:p>
    <w:p w:rsidR="006859A3" w:rsidRPr="00F043D9" w:rsidRDefault="006859A3" w:rsidP="004731E2">
      <w:pPr>
        <w:pStyle w:val="Default"/>
        <w:rPr>
          <w:b/>
          <w:bCs/>
        </w:rPr>
      </w:pPr>
      <w:r>
        <w:rPr>
          <w:b/>
          <w:bCs/>
        </w:rPr>
        <w:t>2.2.2 Κοινωνικοί παράγοντες</w:t>
      </w:r>
      <w:r w:rsidR="00AB5424">
        <w:rPr>
          <w:b/>
          <w:bCs/>
        </w:rPr>
        <w:t>................................................................................</w:t>
      </w:r>
    </w:p>
    <w:p w:rsidR="004731E2" w:rsidRDefault="00F26D87" w:rsidP="004731E2">
      <w:pPr>
        <w:pStyle w:val="Default"/>
        <w:rPr>
          <w:b/>
        </w:rPr>
      </w:pPr>
      <w:r w:rsidRPr="00F26D87">
        <w:rPr>
          <w:b/>
        </w:rPr>
        <w:t>2.2.3 Κλινικοί παράγοντες</w:t>
      </w:r>
      <w:r w:rsidR="00AB5424">
        <w:rPr>
          <w:b/>
          <w:bCs/>
        </w:rPr>
        <w:t>.....................................................................................</w:t>
      </w:r>
    </w:p>
    <w:p w:rsidR="00032FD8" w:rsidRDefault="00032FD8" w:rsidP="004731E2">
      <w:pPr>
        <w:pStyle w:val="Default"/>
        <w:rPr>
          <w:b/>
          <w:bCs/>
        </w:rPr>
      </w:pPr>
      <w:r>
        <w:rPr>
          <w:b/>
        </w:rPr>
        <w:t xml:space="preserve">2.2.4 Ευπάθεια και </w:t>
      </w:r>
      <w:r w:rsidR="00D1561F">
        <w:rPr>
          <w:b/>
        </w:rPr>
        <w:t>άλλοι παράγοντες</w:t>
      </w:r>
      <w:r w:rsidR="00AB5424">
        <w:rPr>
          <w:b/>
          <w:bCs/>
        </w:rPr>
        <w:t>...................................................................</w:t>
      </w:r>
    </w:p>
    <w:p w:rsidR="00AB43BD" w:rsidRDefault="00AB43BD" w:rsidP="004731E2">
      <w:pPr>
        <w:pStyle w:val="Default"/>
        <w:rPr>
          <w:b/>
          <w:bCs/>
        </w:rPr>
      </w:pPr>
      <w:r>
        <w:rPr>
          <w:b/>
          <w:bCs/>
        </w:rPr>
        <w:t>2.3</w:t>
      </w:r>
      <w:r w:rsidR="006904B1">
        <w:rPr>
          <w:b/>
          <w:bCs/>
        </w:rPr>
        <w:t xml:space="preserve"> Μέτρηση ευπάθειας………………………………………………………………………………………</w:t>
      </w:r>
    </w:p>
    <w:p w:rsidR="006904B1" w:rsidRDefault="006904B1" w:rsidP="004731E2">
      <w:pPr>
        <w:pStyle w:val="Default"/>
        <w:rPr>
          <w:b/>
          <w:bCs/>
        </w:rPr>
      </w:pPr>
      <w:r>
        <w:rPr>
          <w:b/>
          <w:bCs/>
        </w:rPr>
        <w:t>2.4 Επιπτώσεις ευπάθειας…</w:t>
      </w:r>
      <w:r w:rsidR="001E00E3">
        <w:rPr>
          <w:b/>
          <w:bCs/>
        </w:rPr>
        <w:t>…………………………………………………………………………………</w:t>
      </w:r>
    </w:p>
    <w:p w:rsidR="006904B1" w:rsidRDefault="006904B1" w:rsidP="004731E2">
      <w:pPr>
        <w:pStyle w:val="Default"/>
        <w:rPr>
          <w:b/>
          <w:bCs/>
        </w:rPr>
      </w:pPr>
      <w:r>
        <w:rPr>
          <w:b/>
          <w:bCs/>
        </w:rPr>
        <w:t>2.5 Πρόληψη ευπάθειας………………………………………………………………………………………</w:t>
      </w:r>
    </w:p>
    <w:p w:rsidR="001E00E3" w:rsidRPr="001E00E3" w:rsidRDefault="006A4E49" w:rsidP="001E00E3">
      <w:pPr>
        <w:pStyle w:val="Default"/>
        <w:rPr>
          <w:b/>
          <w:bCs/>
        </w:rPr>
      </w:pPr>
      <w:r>
        <w:rPr>
          <w:b/>
          <w:bCs/>
        </w:rPr>
        <w:t>3. Ευπάθεια και άνοια………………………………………………………………………………………</w:t>
      </w:r>
      <w:r w:rsidR="001E00E3">
        <w:rPr>
          <w:b/>
          <w:bCs/>
        </w:rPr>
        <w:t>…</w:t>
      </w:r>
    </w:p>
    <w:p w:rsidR="001E00E3" w:rsidRPr="001E00E3" w:rsidRDefault="001E00E3" w:rsidP="001E00E3">
      <w:pPr>
        <w:pStyle w:val="NoSpacing"/>
        <w:rPr>
          <w:b/>
          <w:sz w:val="24"/>
          <w:szCs w:val="24"/>
        </w:rPr>
      </w:pPr>
      <w:r w:rsidRPr="001E00E3">
        <w:rPr>
          <w:b/>
          <w:sz w:val="24"/>
          <w:szCs w:val="24"/>
        </w:rPr>
        <w:t>3.1 Άνοια και Ήπια Νευρογνωστική Διαταραχή</w:t>
      </w:r>
      <w:r>
        <w:rPr>
          <w:b/>
          <w:sz w:val="24"/>
          <w:szCs w:val="24"/>
        </w:rPr>
        <w:t>……………………………………………………</w:t>
      </w:r>
    </w:p>
    <w:p w:rsidR="001E00E3" w:rsidRDefault="001E00E3" w:rsidP="001E00E3">
      <w:pPr>
        <w:pStyle w:val="NoSpacing"/>
        <w:rPr>
          <w:b/>
          <w:bCs/>
          <w:sz w:val="24"/>
          <w:szCs w:val="24"/>
        </w:rPr>
      </w:pPr>
      <w:r w:rsidRPr="001E00E3">
        <w:rPr>
          <w:b/>
          <w:sz w:val="24"/>
          <w:szCs w:val="24"/>
        </w:rPr>
        <w:t>3.1.1 Αιτιολογία των ανοιών</w:t>
      </w:r>
      <w:r w:rsidRPr="001E00E3">
        <w:rPr>
          <w:b/>
          <w:bCs/>
          <w:sz w:val="24"/>
          <w:szCs w:val="24"/>
        </w:rPr>
        <w:t>……………………………………………………………</w:t>
      </w:r>
      <w:r>
        <w:rPr>
          <w:b/>
          <w:bCs/>
          <w:sz w:val="24"/>
          <w:szCs w:val="24"/>
        </w:rPr>
        <w:t>……………………</w:t>
      </w:r>
    </w:p>
    <w:p w:rsidR="001E00E3" w:rsidRPr="001E00E3" w:rsidRDefault="001E00E3" w:rsidP="001E00E3">
      <w:pPr>
        <w:pStyle w:val="NoSpacing"/>
        <w:rPr>
          <w:b/>
          <w:sz w:val="24"/>
          <w:szCs w:val="24"/>
        </w:rPr>
      </w:pPr>
      <w:r w:rsidRPr="001E00E3">
        <w:rPr>
          <w:b/>
          <w:sz w:val="24"/>
          <w:szCs w:val="24"/>
        </w:rPr>
        <w:t>3.1.2 Επιδημιολογικά στοιχεία…………………………………………………………………</w:t>
      </w:r>
      <w:r>
        <w:rPr>
          <w:b/>
          <w:sz w:val="24"/>
          <w:szCs w:val="24"/>
        </w:rPr>
        <w:t>…………..</w:t>
      </w:r>
    </w:p>
    <w:p w:rsidR="001E00E3" w:rsidRPr="001E00E3" w:rsidRDefault="001E00E3" w:rsidP="001E00E3">
      <w:pPr>
        <w:pStyle w:val="NoSpacing"/>
        <w:rPr>
          <w:b/>
          <w:sz w:val="24"/>
          <w:szCs w:val="24"/>
        </w:rPr>
      </w:pPr>
      <w:r w:rsidRPr="001E00E3">
        <w:rPr>
          <w:b/>
          <w:sz w:val="24"/>
          <w:szCs w:val="24"/>
        </w:rPr>
        <w:t>3.1.3 Παράγοντες κινδύνου για την εμφάνιση άνοιας και ήπιας νευρογνωστικής διαταραχής…………………………………………………………………</w:t>
      </w:r>
      <w:r>
        <w:rPr>
          <w:b/>
          <w:sz w:val="24"/>
          <w:szCs w:val="24"/>
        </w:rPr>
        <w:t>…………………………………………</w:t>
      </w:r>
    </w:p>
    <w:p w:rsidR="001E00E3" w:rsidRPr="001E00E3" w:rsidRDefault="001E00E3" w:rsidP="001E00E3">
      <w:pPr>
        <w:pStyle w:val="NoSpacing"/>
        <w:rPr>
          <w:b/>
          <w:sz w:val="24"/>
          <w:szCs w:val="24"/>
        </w:rPr>
      </w:pPr>
      <w:r w:rsidRPr="001E00E3">
        <w:rPr>
          <w:b/>
          <w:sz w:val="24"/>
          <w:szCs w:val="24"/>
        </w:rPr>
        <w:t>3.1.4 Διάγνωση και θεραπεία άνοιας…………………………………………………………………..</w:t>
      </w:r>
    </w:p>
    <w:p w:rsidR="001E00E3" w:rsidRDefault="001E00E3" w:rsidP="001E00E3">
      <w:pPr>
        <w:pStyle w:val="NoSpacing"/>
        <w:rPr>
          <w:b/>
          <w:bCs/>
          <w:sz w:val="24"/>
          <w:szCs w:val="24"/>
        </w:rPr>
      </w:pPr>
      <w:r w:rsidRPr="001E00E3">
        <w:rPr>
          <w:b/>
          <w:bCs/>
          <w:sz w:val="24"/>
          <w:szCs w:val="24"/>
        </w:rPr>
        <w:t>3.1.5 Πρόληψη άνοιας και ήπιας νευρογνωστικής διαταραχής……………………………</w:t>
      </w:r>
    </w:p>
    <w:p w:rsidR="00F135E5" w:rsidRPr="009A2372" w:rsidRDefault="00F135E5" w:rsidP="001E00E3">
      <w:pPr>
        <w:pStyle w:val="NoSpacing"/>
        <w:rPr>
          <w:b/>
          <w:sz w:val="24"/>
          <w:szCs w:val="24"/>
        </w:rPr>
      </w:pPr>
      <w:r>
        <w:rPr>
          <w:b/>
          <w:bCs/>
          <w:sz w:val="24"/>
          <w:szCs w:val="24"/>
        </w:rPr>
        <w:t>3.2 Άνοια και Ευπάθεια</w:t>
      </w:r>
      <w:r w:rsidR="00B64359" w:rsidRPr="001E00E3">
        <w:rPr>
          <w:b/>
          <w:bCs/>
          <w:sz w:val="24"/>
          <w:szCs w:val="24"/>
        </w:rPr>
        <w:t>………………………………………………………………………</w:t>
      </w:r>
      <w:r w:rsidR="00B64359" w:rsidRPr="009A2372">
        <w:rPr>
          <w:b/>
          <w:bCs/>
          <w:sz w:val="24"/>
          <w:szCs w:val="24"/>
        </w:rPr>
        <w:t>………………..</w:t>
      </w:r>
    </w:p>
    <w:p w:rsidR="004731E2" w:rsidRPr="002553A6" w:rsidRDefault="004731E2" w:rsidP="001E00E3">
      <w:pPr>
        <w:pStyle w:val="NoSpacing"/>
        <w:rPr>
          <w:b/>
          <w:sz w:val="28"/>
          <w:szCs w:val="28"/>
        </w:rPr>
      </w:pPr>
      <w:r w:rsidRPr="002553A6">
        <w:rPr>
          <w:b/>
          <w:bCs/>
          <w:sz w:val="28"/>
          <w:szCs w:val="28"/>
        </w:rPr>
        <w:t xml:space="preserve">Β. Ειδικό μέρος </w:t>
      </w:r>
    </w:p>
    <w:p w:rsidR="004731E2" w:rsidRPr="00B64359" w:rsidRDefault="004731E2" w:rsidP="001E00E3">
      <w:pPr>
        <w:pStyle w:val="NoSpacing"/>
        <w:rPr>
          <w:b/>
          <w:sz w:val="24"/>
          <w:szCs w:val="24"/>
        </w:rPr>
      </w:pPr>
      <w:r w:rsidRPr="001E00E3">
        <w:rPr>
          <w:b/>
          <w:bCs/>
          <w:sz w:val="24"/>
          <w:szCs w:val="24"/>
        </w:rPr>
        <w:t xml:space="preserve">Β1. Εισαγωγή και Σκοπός </w:t>
      </w:r>
      <w:r w:rsidR="001E00E3" w:rsidRPr="001E00E3">
        <w:rPr>
          <w:b/>
          <w:bCs/>
          <w:sz w:val="24"/>
          <w:szCs w:val="24"/>
        </w:rPr>
        <w:t>…</w:t>
      </w:r>
      <w:r w:rsidR="00B64359">
        <w:rPr>
          <w:b/>
          <w:bCs/>
          <w:sz w:val="24"/>
          <w:szCs w:val="24"/>
        </w:rPr>
        <w:t>…………………………………………………………………………………</w:t>
      </w:r>
      <w:r w:rsidR="00B64359" w:rsidRPr="00B64359">
        <w:rPr>
          <w:b/>
          <w:bCs/>
          <w:sz w:val="24"/>
          <w:szCs w:val="24"/>
        </w:rPr>
        <w:t>..</w:t>
      </w:r>
    </w:p>
    <w:p w:rsidR="00020FE7" w:rsidRDefault="004731E2" w:rsidP="001E00E3">
      <w:pPr>
        <w:pStyle w:val="NoSpacing"/>
        <w:rPr>
          <w:b/>
          <w:bCs/>
          <w:sz w:val="24"/>
          <w:szCs w:val="24"/>
        </w:rPr>
      </w:pPr>
      <w:r w:rsidRPr="001E00E3">
        <w:rPr>
          <w:b/>
          <w:bCs/>
          <w:sz w:val="24"/>
          <w:szCs w:val="24"/>
        </w:rPr>
        <w:t>Β2. Υλικό και Μέθοδος</w:t>
      </w:r>
      <w:r w:rsidR="00020FE7">
        <w:rPr>
          <w:b/>
          <w:bCs/>
          <w:sz w:val="24"/>
          <w:szCs w:val="24"/>
        </w:rPr>
        <w:t>…………………………………………………………………………………………</w:t>
      </w:r>
    </w:p>
    <w:p w:rsidR="004731E2" w:rsidRPr="00B64359" w:rsidRDefault="00020FE7" w:rsidP="001E00E3">
      <w:pPr>
        <w:pStyle w:val="NoSpacing"/>
        <w:rPr>
          <w:b/>
          <w:sz w:val="24"/>
          <w:szCs w:val="24"/>
        </w:rPr>
      </w:pPr>
      <w:r w:rsidRPr="00020FE7">
        <w:rPr>
          <w:b/>
          <w:bCs/>
          <w:sz w:val="24"/>
          <w:szCs w:val="24"/>
        </w:rPr>
        <w:t>Β.2.1 Χαρακτηριστικά Δείγματος και κριτήρια αποκλεισμού</w:t>
      </w:r>
      <w:r w:rsidR="004731E2" w:rsidRPr="001E00E3">
        <w:rPr>
          <w:b/>
          <w:bCs/>
          <w:sz w:val="24"/>
          <w:szCs w:val="24"/>
        </w:rPr>
        <w:t xml:space="preserve"> </w:t>
      </w:r>
      <w:r>
        <w:rPr>
          <w:b/>
          <w:bCs/>
          <w:sz w:val="24"/>
          <w:szCs w:val="24"/>
        </w:rPr>
        <w:t>………………………………</w:t>
      </w:r>
    </w:p>
    <w:p w:rsidR="004D06B2" w:rsidRDefault="004D06B2" w:rsidP="001E00E3">
      <w:pPr>
        <w:pStyle w:val="NoSpacing"/>
        <w:rPr>
          <w:b/>
          <w:bCs/>
          <w:sz w:val="24"/>
          <w:szCs w:val="24"/>
        </w:rPr>
      </w:pPr>
      <w:r w:rsidRPr="004D06B2">
        <w:rPr>
          <w:b/>
          <w:bCs/>
          <w:sz w:val="24"/>
          <w:szCs w:val="24"/>
        </w:rPr>
        <w:t>Β.2.2 Λήψη ιστορικού και εργαλεία έρευνας</w:t>
      </w:r>
      <w:r>
        <w:rPr>
          <w:b/>
          <w:bCs/>
          <w:sz w:val="24"/>
          <w:szCs w:val="24"/>
        </w:rPr>
        <w:t>………………………………………………………..</w:t>
      </w:r>
    </w:p>
    <w:p w:rsidR="004731E2" w:rsidRPr="009A2372" w:rsidRDefault="004731E2" w:rsidP="001E00E3">
      <w:pPr>
        <w:pStyle w:val="NoSpacing"/>
        <w:rPr>
          <w:b/>
          <w:sz w:val="24"/>
          <w:szCs w:val="24"/>
        </w:rPr>
      </w:pPr>
      <w:r w:rsidRPr="001E00E3">
        <w:rPr>
          <w:b/>
          <w:bCs/>
          <w:sz w:val="24"/>
          <w:szCs w:val="24"/>
        </w:rPr>
        <w:t xml:space="preserve">Β3. Αποτελέσματα </w:t>
      </w:r>
      <w:r w:rsidR="00B64359" w:rsidRPr="001E00E3">
        <w:rPr>
          <w:b/>
          <w:bCs/>
          <w:sz w:val="24"/>
          <w:szCs w:val="24"/>
        </w:rPr>
        <w:t>………………………………………………………………………</w:t>
      </w:r>
      <w:r w:rsidR="00B64359" w:rsidRPr="009A2372">
        <w:rPr>
          <w:b/>
          <w:bCs/>
          <w:sz w:val="24"/>
          <w:szCs w:val="24"/>
        </w:rPr>
        <w:t>……………………….</w:t>
      </w:r>
    </w:p>
    <w:p w:rsidR="004731E2" w:rsidRPr="009A2372" w:rsidRDefault="004731E2" w:rsidP="004731E2">
      <w:pPr>
        <w:pStyle w:val="Default"/>
      </w:pPr>
      <w:r w:rsidRPr="00F043D9">
        <w:rPr>
          <w:b/>
          <w:bCs/>
        </w:rPr>
        <w:t xml:space="preserve">Β4. Συζήτηση </w:t>
      </w:r>
      <w:r w:rsidR="00B64359" w:rsidRPr="001E00E3">
        <w:rPr>
          <w:b/>
          <w:bCs/>
        </w:rPr>
        <w:t>………………………………………………………………………</w:t>
      </w:r>
      <w:r w:rsidR="00B64359" w:rsidRPr="009A2372">
        <w:rPr>
          <w:b/>
          <w:bCs/>
        </w:rPr>
        <w:t>……………………………….</w:t>
      </w:r>
    </w:p>
    <w:p w:rsidR="004731E2" w:rsidRPr="00F043D9" w:rsidRDefault="004731E2" w:rsidP="004731E2">
      <w:pPr>
        <w:pStyle w:val="Default"/>
        <w:spacing w:after="37"/>
      </w:pPr>
      <w:r w:rsidRPr="00F043D9">
        <w:rPr>
          <w:b/>
          <w:bCs/>
        </w:rPr>
        <w:t xml:space="preserve">- Σύνοψη βασικών ευρημάτων και σύγκριση με προηγούμενα αποτελέσματα παρόμοιων μελετών </w:t>
      </w:r>
    </w:p>
    <w:p w:rsidR="004731E2" w:rsidRPr="00F043D9" w:rsidRDefault="004731E2" w:rsidP="004731E2">
      <w:pPr>
        <w:pStyle w:val="Default"/>
        <w:spacing w:after="37"/>
      </w:pPr>
      <w:r w:rsidRPr="00F043D9">
        <w:rPr>
          <w:b/>
          <w:bCs/>
        </w:rPr>
        <w:t xml:space="preserve">- Ερμηνεία ευρημάτων </w:t>
      </w:r>
    </w:p>
    <w:p w:rsidR="004731E2" w:rsidRPr="00F043D9" w:rsidRDefault="004731E2" w:rsidP="004731E2">
      <w:pPr>
        <w:pStyle w:val="Default"/>
        <w:spacing w:after="37"/>
      </w:pPr>
      <w:r w:rsidRPr="00F043D9">
        <w:rPr>
          <w:b/>
          <w:bCs/>
        </w:rPr>
        <w:t xml:space="preserve">- Περιορισμοί και προτερήματα της μελέτης </w:t>
      </w:r>
    </w:p>
    <w:p w:rsidR="004731E2" w:rsidRPr="00F043D9" w:rsidRDefault="004731E2" w:rsidP="004731E2">
      <w:pPr>
        <w:pStyle w:val="Default"/>
        <w:spacing w:after="37"/>
      </w:pPr>
      <w:r w:rsidRPr="00F043D9">
        <w:rPr>
          <w:b/>
          <w:bCs/>
        </w:rPr>
        <w:t xml:space="preserve">- Προτάσεις για περαιτέρω διερεύνηση (προαιρετικά) </w:t>
      </w:r>
    </w:p>
    <w:p w:rsidR="004731E2" w:rsidRPr="00F043D9" w:rsidRDefault="004731E2" w:rsidP="004731E2">
      <w:pPr>
        <w:pStyle w:val="Default"/>
      </w:pPr>
      <w:r w:rsidRPr="00F043D9">
        <w:rPr>
          <w:b/>
          <w:bCs/>
        </w:rPr>
        <w:t xml:space="preserve">- Τελικά συμπεράσματα </w:t>
      </w:r>
    </w:p>
    <w:p w:rsidR="004731E2" w:rsidRPr="00F043D9" w:rsidRDefault="004731E2" w:rsidP="004731E2">
      <w:pPr>
        <w:pStyle w:val="Default"/>
      </w:pPr>
    </w:p>
    <w:p w:rsidR="004731E2" w:rsidRPr="007B27A7" w:rsidRDefault="004731E2" w:rsidP="004731E2">
      <w:pPr>
        <w:pStyle w:val="Default"/>
        <w:rPr>
          <w:b/>
          <w:bCs/>
          <w:sz w:val="28"/>
          <w:szCs w:val="28"/>
        </w:rPr>
      </w:pPr>
      <w:r w:rsidRPr="007B27A7">
        <w:rPr>
          <w:b/>
          <w:bCs/>
          <w:sz w:val="28"/>
          <w:szCs w:val="28"/>
        </w:rPr>
        <w:lastRenderedPageBreak/>
        <w:t xml:space="preserve">Γ. Βιβλιογραφία </w:t>
      </w:r>
    </w:p>
    <w:p w:rsidR="004731E2" w:rsidRPr="007B27A7" w:rsidRDefault="004731E2" w:rsidP="004731E2">
      <w:pPr>
        <w:pStyle w:val="Default"/>
        <w:rPr>
          <w:sz w:val="28"/>
          <w:szCs w:val="28"/>
        </w:rPr>
      </w:pPr>
    </w:p>
    <w:p w:rsidR="004731E2" w:rsidRPr="007B27A7" w:rsidRDefault="004731E2" w:rsidP="004731E2">
      <w:pPr>
        <w:pStyle w:val="Default"/>
        <w:rPr>
          <w:sz w:val="28"/>
          <w:szCs w:val="28"/>
        </w:rPr>
      </w:pPr>
      <w:r w:rsidRPr="007B27A7">
        <w:rPr>
          <w:b/>
          <w:bCs/>
          <w:sz w:val="28"/>
          <w:szCs w:val="28"/>
        </w:rPr>
        <w:t xml:space="preserve">Δ. Παράρτημα </w:t>
      </w:r>
    </w:p>
    <w:p w:rsidR="004731E2" w:rsidRPr="009A2372" w:rsidRDefault="004731E2" w:rsidP="004731E2">
      <w:pPr>
        <w:pStyle w:val="Default"/>
        <w:rPr>
          <w:b/>
          <w:bCs/>
        </w:rPr>
      </w:pPr>
      <w:r w:rsidRPr="00F043D9">
        <w:rPr>
          <w:b/>
          <w:bCs/>
        </w:rPr>
        <w:t xml:space="preserve">- Παράρτημα Ι </w:t>
      </w:r>
      <w:r w:rsidR="007B27A7" w:rsidRPr="009A2372">
        <w:rPr>
          <w:b/>
          <w:bCs/>
        </w:rPr>
        <w:t>………………………………………………………………………………………………………</w:t>
      </w:r>
    </w:p>
    <w:p w:rsidR="00D12EB9" w:rsidRPr="00F043D9" w:rsidRDefault="00D12EB9" w:rsidP="004731E2">
      <w:pPr>
        <w:pStyle w:val="Default"/>
        <w:rPr>
          <w:b/>
          <w:bCs/>
        </w:rPr>
      </w:pPr>
    </w:p>
    <w:p w:rsidR="004731E2" w:rsidRPr="009A2372" w:rsidRDefault="004731E2" w:rsidP="004731E2">
      <w:pPr>
        <w:rPr>
          <w:b/>
          <w:bCs/>
          <w:sz w:val="24"/>
          <w:szCs w:val="24"/>
        </w:rPr>
      </w:pPr>
      <w:r w:rsidRPr="00F043D9">
        <w:rPr>
          <w:b/>
          <w:bCs/>
          <w:sz w:val="24"/>
          <w:szCs w:val="24"/>
        </w:rPr>
        <w:t xml:space="preserve">- Παράρτημα ΙΙ </w:t>
      </w:r>
      <w:r w:rsidR="007B27A7" w:rsidRPr="009A2372">
        <w:rPr>
          <w:b/>
          <w:bCs/>
          <w:sz w:val="24"/>
          <w:szCs w:val="24"/>
        </w:rPr>
        <w:t>…………………………………………………………………………………………………….</w:t>
      </w:r>
    </w:p>
    <w:p w:rsidR="00D12EB9" w:rsidRPr="00F043D9" w:rsidRDefault="00D12EB9" w:rsidP="004731E2">
      <w:pPr>
        <w:rPr>
          <w:b/>
          <w:bCs/>
          <w:sz w:val="24"/>
          <w:szCs w:val="24"/>
        </w:rPr>
      </w:pPr>
      <w:r w:rsidRPr="00F043D9">
        <w:rPr>
          <w:b/>
          <w:bCs/>
          <w:sz w:val="24"/>
          <w:szCs w:val="24"/>
        </w:rPr>
        <w:t>- Παράρτημα ΙΙ</w:t>
      </w:r>
      <w:r w:rsidRPr="00F043D9">
        <w:rPr>
          <w:b/>
          <w:bCs/>
          <w:sz w:val="24"/>
          <w:szCs w:val="24"/>
          <w:lang w:val="en-US"/>
        </w:rPr>
        <w:t>I</w:t>
      </w:r>
      <w:r w:rsidR="007B27A7" w:rsidRPr="009A2372">
        <w:rPr>
          <w:b/>
          <w:bCs/>
          <w:sz w:val="24"/>
          <w:szCs w:val="24"/>
        </w:rPr>
        <w:t>……………………………………………………………………………………………………</w:t>
      </w:r>
    </w:p>
    <w:p w:rsidR="004731E2" w:rsidRPr="00F043D9" w:rsidRDefault="004731E2" w:rsidP="004731E2">
      <w:pPr>
        <w:jc w:val="center"/>
        <w:rPr>
          <w:b/>
          <w:bCs/>
          <w:sz w:val="24"/>
          <w:szCs w:val="24"/>
        </w:rPr>
      </w:pPr>
    </w:p>
    <w:p w:rsidR="004731E2" w:rsidRPr="00F043D9" w:rsidRDefault="004731E2" w:rsidP="004731E2">
      <w:pPr>
        <w:jc w:val="center"/>
        <w:rPr>
          <w:b/>
          <w:bCs/>
          <w:sz w:val="24"/>
          <w:szCs w:val="24"/>
        </w:rPr>
      </w:pPr>
    </w:p>
    <w:p w:rsidR="004731E2" w:rsidRPr="00F043D9" w:rsidRDefault="004731E2" w:rsidP="004731E2">
      <w:pPr>
        <w:jc w:val="center"/>
        <w:rPr>
          <w:b/>
          <w:bCs/>
          <w:sz w:val="24"/>
          <w:szCs w:val="24"/>
        </w:rPr>
      </w:pPr>
    </w:p>
    <w:p w:rsidR="004731E2" w:rsidRDefault="004731E2" w:rsidP="005565D5">
      <w:pPr>
        <w:rPr>
          <w:b/>
          <w:bCs/>
          <w:sz w:val="24"/>
          <w:szCs w:val="24"/>
        </w:rPr>
      </w:pPr>
    </w:p>
    <w:p w:rsidR="00052385" w:rsidRPr="00B91CBA" w:rsidRDefault="00052385" w:rsidP="005565D5">
      <w:pPr>
        <w:rPr>
          <w:b/>
          <w:bCs/>
        </w:rPr>
      </w:pPr>
    </w:p>
    <w:p w:rsidR="00871DD4" w:rsidRPr="00B91CBA" w:rsidRDefault="00B91CBA" w:rsidP="00B91CBA">
      <w:pPr>
        <w:pStyle w:val="Default"/>
        <w:rPr>
          <w:b/>
          <w:bCs/>
          <w:sz w:val="28"/>
          <w:szCs w:val="28"/>
        </w:rPr>
      </w:pPr>
      <w:r>
        <w:rPr>
          <w:b/>
          <w:bCs/>
          <w:sz w:val="28"/>
          <w:szCs w:val="28"/>
        </w:rPr>
        <w:t>Λίστα Εικόνων</w:t>
      </w:r>
    </w:p>
    <w:p w:rsidR="00871DD4" w:rsidRPr="00315140" w:rsidRDefault="00871DD4" w:rsidP="00871DD4">
      <w:pPr>
        <w:pStyle w:val="Default"/>
        <w:jc w:val="center"/>
        <w:rPr>
          <w:b/>
          <w:bCs/>
          <w:sz w:val="22"/>
          <w:szCs w:val="22"/>
        </w:rPr>
      </w:pPr>
    </w:p>
    <w:p w:rsidR="00871DD4" w:rsidRDefault="00B91CBA" w:rsidP="00B91CBA">
      <w:r>
        <w:t xml:space="preserve">Εικόνα 1. </w:t>
      </w:r>
      <w:r w:rsidRPr="00B91CBA">
        <w:t>Ποσοστά ηλικιωμένων στην ΕΕ</w:t>
      </w:r>
      <w:r>
        <w:t xml:space="preserve"> (2020)…………………………………………………………………</w:t>
      </w:r>
    </w:p>
    <w:p w:rsidR="00B91CBA" w:rsidRPr="00315140" w:rsidRDefault="00B91CBA" w:rsidP="00B91CBA">
      <w:r>
        <w:t xml:space="preserve">Εικόνα 2. </w:t>
      </w:r>
      <w:r w:rsidRPr="00B91CBA">
        <w:t>Ποσοστά ηλικιωμένων στις περιφέρειες της ΕΕ</w:t>
      </w:r>
      <w:r>
        <w:t xml:space="preserve"> (2020)…………………………………………</w:t>
      </w:r>
    </w:p>
    <w:p w:rsidR="00871DD4" w:rsidRDefault="00DE487C" w:rsidP="00DE487C">
      <w:r>
        <w:t xml:space="preserve">Εικόνα 3. </w:t>
      </w:r>
      <w:r w:rsidR="0049352A" w:rsidRPr="0049352A">
        <w:t>Ιππόκαμπος  σε φυσιολογικό εγκέφαλο και σε ασθενή με ν. Alzheimer</w:t>
      </w:r>
      <w:r w:rsidR="0049352A">
        <w:t>………………</w:t>
      </w:r>
    </w:p>
    <w:p w:rsidR="0049352A" w:rsidRPr="00315140" w:rsidRDefault="0049352A" w:rsidP="00DE487C"/>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sz w:val="22"/>
          <w:szCs w:val="22"/>
        </w:rPr>
      </w:pPr>
    </w:p>
    <w:p w:rsidR="00871DD4" w:rsidRPr="00E730CE" w:rsidRDefault="00871DD4" w:rsidP="00E730CE">
      <w:pPr>
        <w:pStyle w:val="Default"/>
        <w:rPr>
          <w:b/>
          <w:bCs/>
          <w:sz w:val="28"/>
          <w:szCs w:val="28"/>
        </w:rPr>
      </w:pPr>
      <w:r w:rsidRPr="00E730CE">
        <w:rPr>
          <w:b/>
          <w:bCs/>
          <w:sz w:val="28"/>
          <w:szCs w:val="28"/>
        </w:rPr>
        <w:t>Λίστα Διαγραμμάτων</w:t>
      </w:r>
    </w:p>
    <w:p w:rsidR="00871DD4" w:rsidRPr="00E730CE" w:rsidRDefault="00871DD4" w:rsidP="00E730CE">
      <w:pPr>
        <w:pStyle w:val="Default"/>
        <w:rPr>
          <w:b/>
          <w:bCs/>
          <w:sz w:val="28"/>
          <w:szCs w:val="28"/>
        </w:rPr>
      </w:pPr>
    </w:p>
    <w:p w:rsidR="00871DD4" w:rsidRPr="00244015" w:rsidRDefault="00C65257" w:rsidP="00E730CE">
      <w:pPr>
        <w:pStyle w:val="Default"/>
        <w:rPr>
          <w:bCs/>
        </w:rPr>
      </w:pPr>
      <w:r w:rsidRPr="00244015">
        <w:rPr>
          <w:bCs/>
        </w:rPr>
        <w:t>Σχήμα 1: Πληθυσμός &gt;65 ετών με ευπάθεια και προ-ευπάθεια ανά χώρα (2009)…………………………………………………………………………………………………………………</w:t>
      </w:r>
      <w:r w:rsidR="006859A3">
        <w:rPr>
          <w:bCs/>
        </w:rPr>
        <w:t>……..</w:t>
      </w:r>
    </w:p>
    <w:p w:rsidR="00C65257" w:rsidRPr="006859A3" w:rsidRDefault="006859A3" w:rsidP="00E730CE">
      <w:pPr>
        <w:pStyle w:val="Default"/>
        <w:rPr>
          <w:bCs/>
        </w:rPr>
      </w:pPr>
      <w:r w:rsidRPr="006859A3">
        <w:rPr>
          <w:bCs/>
        </w:rPr>
        <w:t>Σχήμα 2: Παράγοντες κινδύνου για την ευπάθεια</w:t>
      </w:r>
      <w:r>
        <w:rPr>
          <w:bCs/>
        </w:rPr>
        <w:t>…………………………………………………….</w:t>
      </w:r>
      <w:r w:rsidR="00716316">
        <w:rPr>
          <w:bCs/>
        </w:rPr>
        <w:t>.</w:t>
      </w:r>
    </w:p>
    <w:p w:rsidR="006859A3" w:rsidRPr="00716316" w:rsidRDefault="006859A3" w:rsidP="00E730CE">
      <w:pPr>
        <w:pStyle w:val="Default"/>
        <w:rPr>
          <w:bCs/>
        </w:rPr>
      </w:pPr>
      <w:r w:rsidRPr="00716316">
        <w:rPr>
          <w:bCs/>
        </w:rPr>
        <w:t>Σχήμα 3: Η φυσιολογία της ευπάθειας………………………………………………………………………</w:t>
      </w:r>
    </w:p>
    <w:p w:rsidR="00871DD4" w:rsidRPr="00716316" w:rsidRDefault="00716316" w:rsidP="00E730CE">
      <w:pPr>
        <w:pStyle w:val="Default"/>
        <w:rPr>
          <w:bCs/>
        </w:rPr>
      </w:pPr>
      <w:r w:rsidRPr="00716316">
        <w:rPr>
          <w:bCs/>
        </w:rPr>
        <w:t>Σχήμα 4:Ολοκληρωμένη Γηριατρική Αξιολόγηση</w:t>
      </w:r>
      <w:r>
        <w:rPr>
          <w:bCs/>
        </w:rPr>
        <w:t>……………………………………………………….</w:t>
      </w:r>
    </w:p>
    <w:p w:rsidR="00D822BF" w:rsidRPr="00D822BF" w:rsidRDefault="00D822BF" w:rsidP="00E730CE">
      <w:pPr>
        <w:pStyle w:val="Default"/>
        <w:rPr>
          <w:bCs/>
        </w:rPr>
      </w:pPr>
      <w:r w:rsidRPr="00D822BF">
        <w:rPr>
          <w:bCs/>
        </w:rPr>
        <w:t xml:space="preserve">Σχήμα 5: Κριτήρια Φαινοτύπου της </w:t>
      </w:r>
      <w:r w:rsidRPr="00D822BF">
        <w:rPr>
          <w:bCs/>
          <w:lang w:val="en-US"/>
        </w:rPr>
        <w:t>Fried</w:t>
      </w:r>
      <w:r>
        <w:rPr>
          <w:bCs/>
        </w:rPr>
        <w:t>…………………………………………………………………</w:t>
      </w:r>
      <w:r w:rsidRPr="00D822BF">
        <w:rPr>
          <w:bCs/>
        </w:rPr>
        <w:t>..</w:t>
      </w:r>
    </w:p>
    <w:p w:rsidR="00871DD4" w:rsidRPr="00F92A30" w:rsidRDefault="00D822BF" w:rsidP="00E730CE">
      <w:pPr>
        <w:pStyle w:val="Default"/>
        <w:rPr>
          <w:bCs/>
        </w:rPr>
      </w:pPr>
      <w:r>
        <w:rPr>
          <w:bCs/>
        </w:rPr>
        <w:t xml:space="preserve">Σχήμα </w:t>
      </w:r>
      <w:r w:rsidRPr="00D822BF">
        <w:rPr>
          <w:bCs/>
        </w:rPr>
        <w:t>6:</w:t>
      </w:r>
      <w:r w:rsidR="00F92A30">
        <w:rPr>
          <w:bCs/>
        </w:rPr>
        <w:t xml:space="preserve"> Επιπτώσεις ευπάθειας………………………………………………………………………………..</w:t>
      </w:r>
      <w:r w:rsidR="00F92A30" w:rsidRPr="00E730CE">
        <w:rPr>
          <w:b/>
          <w:bCs/>
          <w:sz w:val="28"/>
          <w:szCs w:val="28"/>
        </w:rPr>
        <w:t xml:space="preserve"> </w:t>
      </w:r>
    </w:p>
    <w:p w:rsidR="00871DD4" w:rsidRPr="002D2D35" w:rsidRDefault="0059380A" w:rsidP="00E730CE">
      <w:pPr>
        <w:pStyle w:val="Default"/>
        <w:rPr>
          <w:bCs/>
        </w:rPr>
      </w:pPr>
      <w:r w:rsidRPr="0059380A">
        <w:rPr>
          <w:bCs/>
        </w:rPr>
        <w:t xml:space="preserve">Σχήμα </w:t>
      </w:r>
      <w:r w:rsidR="00D822BF" w:rsidRPr="00D822BF">
        <w:rPr>
          <w:bCs/>
        </w:rPr>
        <w:t>7</w:t>
      </w:r>
      <w:r w:rsidRPr="0059380A">
        <w:rPr>
          <w:bCs/>
        </w:rPr>
        <w:t>: Διάγραμμα του Bouchon</w:t>
      </w:r>
      <w:r>
        <w:rPr>
          <w:bCs/>
        </w:rPr>
        <w:t>…</w:t>
      </w:r>
      <w:r w:rsidRPr="002D2D35">
        <w:rPr>
          <w:bCs/>
        </w:rPr>
        <w:t>………………………………………………………………………….</w:t>
      </w:r>
    </w:p>
    <w:p w:rsidR="00871DD4" w:rsidRPr="007E0031" w:rsidRDefault="00D822BF" w:rsidP="00E730CE">
      <w:pPr>
        <w:pStyle w:val="Default"/>
        <w:rPr>
          <w:bCs/>
        </w:rPr>
      </w:pPr>
      <w:r>
        <w:rPr>
          <w:bCs/>
        </w:rPr>
        <w:t xml:space="preserve">Σχήμα </w:t>
      </w:r>
      <w:r w:rsidRPr="00D822BF">
        <w:rPr>
          <w:bCs/>
        </w:rPr>
        <w:t>8</w:t>
      </w:r>
      <w:r w:rsidR="007E0031" w:rsidRPr="007E0031">
        <w:rPr>
          <w:bCs/>
        </w:rPr>
        <w:t>: Υπότυποι ΗΝΔ</w:t>
      </w:r>
      <w:r w:rsidR="00D32C97">
        <w:rPr>
          <w:bCs/>
        </w:rPr>
        <w:t xml:space="preserve"> και Άνοιες……..</w:t>
      </w:r>
      <w:r w:rsidR="007E0031">
        <w:rPr>
          <w:bCs/>
        </w:rPr>
        <w:t>…………………………………………………………………….</w:t>
      </w:r>
    </w:p>
    <w:p w:rsidR="008A4149" w:rsidRDefault="008A4149" w:rsidP="00E730CE">
      <w:pPr>
        <w:pStyle w:val="Default"/>
        <w:rPr>
          <w:bCs/>
        </w:rPr>
      </w:pPr>
      <w:r w:rsidRPr="008A4149">
        <w:rPr>
          <w:bCs/>
        </w:rPr>
        <w:t>Σχήμα 9: Παράγοντες που συμβάλλουν στην γνωστική έκπτωση</w:t>
      </w:r>
      <w:r>
        <w:rPr>
          <w:bCs/>
        </w:rPr>
        <w:t>……………………………..</w:t>
      </w:r>
    </w:p>
    <w:p w:rsidR="00871DD4" w:rsidRPr="008A4149" w:rsidRDefault="008A4149" w:rsidP="00E730CE">
      <w:pPr>
        <w:pStyle w:val="Default"/>
        <w:rPr>
          <w:bCs/>
        </w:rPr>
      </w:pPr>
      <w:r>
        <w:rPr>
          <w:bCs/>
        </w:rPr>
        <w:t>Σχήμα 10</w:t>
      </w:r>
      <w:r w:rsidR="00F702F5" w:rsidRPr="00F702F5">
        <w:rPr>
          <w:bCs/>
        </w:rPr>
        <w:t>: Ευπάθεια και ΗΝΔ</w:t>
      </w:r>
      <w:r w:rsidR="00F702F5">
        <w:rPr>
          <w:bCs/>
        </w:rPr>
        <w:t>…</w:t>
      </w:r>
      <w:r w:rsidR="00F702F5" w:rsidRPr="009C494C">
        <w:rPr>
          <w:bCs/>
        </w:rPr>
        <w:t>………………………………</w:t>
      </w:r>
      <w:r>
        <w:rPr>
          <w:bCs/>
        </w:rPr>
        <w:t>…</w:t>
      </w:r>
      <w:r w:rsidR="00F702F5" w:rsidRPr="009C494C">
        <w:rPr>
          <w:bCs/>
        </w:rPr>
        <w:t>………………………………………………</w:t>
      </w:r>
      <w:r>
        <w:rPr>
          <w:bCs/>
        </w:rPr>
        <w:t>.</w:t>
      </w:r>
    </w:p>
    <w:p w:rsidR="00871DD4" w:rsidRPr="00E730CE" w:rsidRDefault="00871DD4" w:rsidP="00E730CE">
      <w:pPr>
        <w:pStyle w:val="Default"/>
        <w:rPr>
          <w:b/>
          <w:bCs/>
          <w:sz w:val="28"/>
          <w:szCs w:val="28"/>
        </w:rPr>
      </w:pPr>
    </w:p>
    <w:p w:rsidR="00871DD4" w:rsidRPr="00E730CE" w:rsidRDefault="00871DD4" w:rsidP="00E730CE">
      <w:pPr>
        <w:pStyle w:val="Default"/>
        <w:rPr>
          <w:b/>
          <w:bCs/>
          <w:sz w:val="28"/>
          <w:szCs w:val="28"/>
        </w:rPr>
      </w:pPr>
    </w:p>
    <w:p w:rsidR="00871DD4" w:rsidRPr="00E730CE" w:rsidRDefault="00871DD4" w:rsidP="00E730CE">
      <w:pPr>
        <w:pStyle w:val="Default"/>
        <w:rPr>
          <w:sz w:val="28"/>
          <w:szCs w:val="28"/>
        </w:rPr>
      </w:pPr>
    </w:p>
    <w:p w:rsidR="00871DD4" w:rsidRPr="00E730CE" w:rsidRDefault="00871DD4" w:rsidP="00E730CE">
      <w:pPr>
        <w:pStyle w:val="Default"/>
        <w:rPr>
          <w:b/>
          <w:bCs/>
          <w:sz w:val="28"/>
          <w:szCs w:val="28"/>
        </w:rPr>
      </w:pPr>
      <w:r w:rsidRPr="00E730CE">
        <w:rPr>
          <w:b/>
          <w:bCs/>
          <w:sz w:val="28"/>
          <w:szCs w:val="28"/>
        </w:rPr>
        <w:t>Λίστα Πινάκων</w:t>
      </w:r>
    </w:p>
    <w:p w:rsidR="00871DD4" w:rsidRPr="00E730CE" w:rsidRDefault="00871DD4" w:rsidP="00E730CE">
      <w:pPr>
        <w:pStyle w:val="Default"/>
        <w:rPr>
          <w:b/>
          <w:bCs/>
          <w:sz w:val="28"/>
          <w:szCs w:val="28"/>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b/>
          <w:bCs/>
          <w:sz w:val="22"/>
          <w:szCs w:val="22"/>
        </w:rPr>
      </w:pPr>
    </w:p>
    <w:p w:rsidR="00871DD4" w:rsidRPr="00315140" w:rsidRDefault="00871DD4" w:rsidP="00871DD4">
      <w:pPr>
        <w:pStyle w:val="Default"/>
        <w:jc w:val="center"/>
        <w:rPr>
          <w:sz w:val="22"/>
          <w:szCs w:val="22"/>
        </w:rPr>
      </w:pPr>
    </w:p>
    <w:p w:rsidR="00871DD4" w:rsidRDefault="00871DD4" w:rsidP="00E730CE">
      <w:pPr>
        <w:pStyle w:val="Default"/>
        <w:rPr>
          <w:b/>
          <w:bCs/>
          <w:sz w:val="28"/>
          <w:szCs w:val="28"/>
        </w:rPr>
      </w:pPr>
      <w:r w:rsidRPr="00E730CE">
        <w:rPr>
          <w:b/>
          <w:bCs/>
          <w:sz w:val="28"/>
          <w:szCs w:val="28"/>
        </w:rPr>
        <w:t>Συντομογραφίες</w:t>
      </w:r>
    </w:p>
    <w:p w:rsidR="00052385" w:rsidRPr="00E730CE" w:rsidRDefault="00052385" w:rsidP="00E730CE">
      <w:pPr>
        <w:pStyle w:val="Default"/>
        <w:rPr>
          <w:b/>
          <w:bCs/>
          <w:sz w:val="28"/>
          <w:szCs w:val="28"/>
        </w:rPr>
      </w:pPr>
    </w:p>
    <w:p w:rsidR="00871DD4" w:rsidRPr="00C931EC" w:rsidRDefault="00C931EC" w:rsidP="00C931EC">
      <w:pPr>
        <w:pStyle w:val="Default"/>
        <w:rPr>
          <w:b/>
          <w:bCs/>
        </w:rPr>
      </w:pPr>
      <w:r w:rsidRPr="00C931EC">
        <w:rPr>
          <w:b/>
          <w:bCs/>
        </w:rPr>
        <w:t>ΑΕΕ</w:t>
      </w:r>
      <w:r>
        <w:rPr>
          <w:b/>
          <w:bCs/>
        </w:rPr>
        <w:t xml:space="preserve">                    Αγγειακό Εγκεφαλικό Επεισόδιο</w:t>
      </w:r>
    </w:p>
    <w:p w:rsidR="005B4DFC" w:rsidRDefault="005B4DFC" w:rsidP="005B4DFC">
      <w:pPr>
        <w:pStyle w:val="Default"/>
        <w:rPr>
          <w:b/>
          <w:bCs/>
        </w:rPr>
      </w:pPr>
      <w:r w:rsidRPr="00216459">
        <w:rPr>
          <w:b/>
          <w:bCs/>
        </w:rPr>
        <w:t>ΔΜΖ</w:t>
      </w:r>
      <w:r w:rsidR="00C94E04" w:rsidRPr="00216459">
        <w:rPr>
          <w:b/>
          <w:bCs/>
        </w:rPr>
        <w:t xml:space="preserve"> </w:t>
      </w:r>
      <w:r w:rsidR="00216459" w:rsidRPr="00216459">
        <w:rPr>
          <w:b/>
          <w:bCs/>
        </w:rPr>
        <w:t xml:space="preserve"> </w:t>
      </w:r>
      <w:r w:rsidR="00A41FDD">
        <w:rPr>
          <w:b/>
          <w:bCs/>
        </w:rPr>
        <w:t xml:space="preserve">                Δείκτης Μάζας Σώματος</w:t>
      </w:r>
    </w:p>
    <w:p w:rsidR="00DF44FA" w:rsidRPr="00511D51" w:rsidRDefault="00DF44FA" w:rsidP="005B4DFC">
      <w:pPr>
        <w:pStyle w:val="Default"/>
        <w:rPr>
          <w:b/>
          <w:bCs/>
        </w:rPr>
      </w:pPr>
      <w:r>
        <w:rPr>
          <w:b/>
          <w:bCs/>
        </w:rPr>
        <w:t xml:space="preserve">ΗΝΔ                   </w:t>
      </w:r>
      <w:r w:rsidR="00F404F2">
        <w:rPr>
          <w:b/>
          <w:bCs/>
        </w:rPr>
        <w:t>Ή</w:t>
      </w:r>
      <w:r>
        <w:rPr>
          <w:b/>
          <w:bCs/>
        </w:rPr>
        <w:t>πια Νευρογνωστική Διαταραχή</w:t>
      </w:r>
    </w:p>
    <w:p w:rsidR="003A684E" w:rsidRPr="00216459" w:rsidRDefault="003A684E" w:rsidP="002F3A4F">
      <w:pPr>
        <w:pStyle w:val="Default"/>
        <w:rPr>
          <w:b/>
          <w:bCs/>
        </w:rPr>
      </w:pPr>
      <w:r w:rsidRPr="00216459">
        <w:rPr>
          <w:b/>
          <w:bCs/>
        </w:rPr>
        <w:t xml:space="preserve">ΠΟΥ </w:t>
      </w:r>
      <w:r w:rsidR="00216459" w:rsidRPr="00216459">
        <w:rPr>
          <w:b/>
          <w:bCs/>
        </w:rPr>
        <w:t xml:space="preserve">                  </w:t>
      </w:r>
      <w:r w:rsidR="00D95C7A" w:rsidRPr="00216459">
        <w:rPr>
          <w:b/>
          <w:bCs/>
        </w:rPr>
        <w:t>Παγκόσμιος Οργανισμός Υγείας</w:t>
      </w:r>
    </w:p>
    <w:p w:rsidR="00871DD4" w:rsidRPr="009C494C" w:rsidRDefault="003A684E" w:rsidP="002F3A4F">
      <w:pPr>
        <w:pStyle w:val="Default"/>
        <w:rPr>
          <w:b/>
          <w:bCs/>
          <w:lang w:val="en-US"/>
        </w:rPr>
      </w:pPr>
      <w:r w:rsidRPr="00216459">
        <w:rPr>
          <w:b/>
          <w:bCs/>
          <w:lang w:val="en-US"/>
        </w:rPr>
        <w:t>AD</w:t>
      </w:r>
      <w:r w:rsidR="00D95C7A" w:rsidRPr="009C494C">
        <w:rPr>
          <w:b/>
          <w:bCs/>
          <w:lang w:val="en-US"/>
        </w:rPr>
        <w:t xml:space="preserve"> </w:t>
      </w:r>
      <w:r w:rsidR="00216459" w:rsidRPr="009C494C">
        <w:rPr>
          <w:b/>
          <w:bCs/>
          <w:lang w:val="en-US"/>
        </w:rPr>
        <w:t xml:space="preserve">                     </w:t>
      </w:r>
      <w:r w:rsidR="00D95C7A" w:rsidRPr="00216459">
        <w:rPr>
          <w:b/>
          <w:bCs/>
          <w:lang w:val="en-US"/>
        </w:rPr>
        <w:t>Alzheimer</w:t>
      </w:r>
      <w:r w:rsidR="00D95C7A" w:rsidRPr="009C494C">
        <w:rPr>
          <w:b/>
          <w:bCs/>
          <w:lang w:val="en-US"/>
        </w:rPr>
        <w:t xml:space="preserve"> </w:t>
      </w:r>
      <w:r w:rsidR="00D95C7A" w:rsidRPr="00216459">
        <w:rPr>
          <w:b/>
          <w:bCs/>
          <w:lang w:val="en-US"/>
        </w:rPr>
        <w:t>Disease</w:t>
      </w:r>
    </w:p>
    <w:p w:rsidR="00871DD4" w:rsidRPr="00CF7455" w:rsidRDefault="003A684E" w:rsidP="002F3A4F">
      <w:pPr>
        <w:pStyle w:val="Default"/>
        <w:rPr>
          <w:b/>
          <w:bCs/>
          <w:lang w:val="en-US"/>
        </w:rPr>
      </w:pPr>
      <w:r w:rsidRPr="00216459">
        <w:rPr>
          <w:b/>
          <w:bCs/>
          <w:lang w:val="en-US"/>
        </w:rPr>
        <w:t>ADL</w:t>
      </w:r>
      <w:r w:rsidR="00216459" w:rsidRPr="00216459">
        <w:rPr>
          <w:b/>
          <w:bCs/>
          <w:lang w:val="en-US"/>
        </w:rPr>
        <w:t xml:space="preserve">                    Activities of Daily Living</w:t>
      </w:r>
    </w:p>
    <w:p w:rsidR="00E1328C" w:rsidRPr="00E1328C" w:rsidRDefault="00E1328C" w:rsidP="002F3A4F">
      <w:pPr>
        <w:pStyle w:val="Default"/>
        <w:rPr>
          <w:b/>
          <w:bCs/>
          <w:lang w:val="en-US"/>
        </w:rPr>
      </w:pPr>
      <w:r>
        <w:rPr>
          <w:b/>
          <w:bCs/>
          <w:lang w:val="en-US"/>
        </w:rPr>
        <w:t>BMI</w:t>
      </w:r>
      <w:r w:rsidR="00F55DB4">
        <w:rPr>
          <w:b/>
          <w:bCs/>
          <w:lang w:val="en-US"/>
        </w:rPr>
        <w:t xml:space="preserve">                    Body Mass </w:t>
      </w:r>
      <w:r w:rsidR="00F404F2">
        <w:rPr>
          <w:b/>
          <w:bCs/>
          <w:lang w:val="en-US"/>
        </w:rPr>
        <w:t>Index</w:t>
      </w:r>
    </w:p>
    <w:p w:rsidR="003A684E" w:rsidRPr="00216459" w:rsidRDefault="003A684E" w:rsidP="002F3A4F">
      <w:pPr>
        <w:pStyle w:val="Default"/>
        <w:rPr>
          <w:b/>
          <w:bCs/>
          <w:lang w:val="en-US"/>
        </w:rPr>
      </w:pPr>
      <w:r w:rsidRPr="00216459">
        <w:rPr>
          <w:b/>
          <w:bCs/>
          <w:lang w:val="en-US"/>
        </w:rPr>
        <w:t>IADL</w:t>
      </w:r>
      <w:r w:rsidR="00216459" w:rsidRPr="00216459">
        <w:rPr>
          <w:b/>
          <w:bCs/>
          <w:lang w:val="en-US"/>
        </w:rPr>
        <w:t xml:space="preserve">                   Instrument Activities of Daily Living</w:t>
      </w:r>
    </w:p>
    <w:p w:rsidR="003A684E" w:rsidRPr="00216459" w:rsidRDefault="003A684E" w:rsidP="002F3A4F">
      <w:pPr>
        <w:pStyle w:val="Default"/>
        <w:rPr>
          <w:b/>
          <w:bCs/>
          <w:lang w:val="en-US"/>
        </w:rPr>
      </w:pPr>
      <w:r w:rsidRPr="00216459">
        <w:rPr>
          <w:b/>
          <w:bCs/>
          <w:lang w:val="en-US"/>
        </w:rPr>
        <w:t>MCI</w:t>
      </w:r>
      <w:r w:rsidR="00D95C7A" w:rsidRPr="00216459">
        <w:rPr>
          <w:b/>
          <w:bCs/>
          <w:lang w:val="en-US"/>
        </w:rPr>
        <w:t xml:space="preserve"> </w:t>
      </w:r>
      <w:r w:rsidR="00216459" w:rsidRPr="00216459">
        <w:rPr>
          <w:b/>
          <w:bCs/>
          <w:lang w:val="en-US"/>
        </w:rPr>
        <w:t xml:space="preserve">                   </w:t>
      </w:r>
      <w:r w:rsidR="00D95C7A" w:rsidRPr="00216459">
        <w:rPr>
          <w:b/>
          <w:bCs/>
          <w:lang w:val="en-US"/>
        </w:rPr>
        <w:t>Mild Cognitive Impairment</w:t>
      </w:r>
    </w:p>
    <w:p w:rsidR="003A684E" w:rsidRPr="00216459" w:rsidRDefault="003A684E" w:rsidP="002F3A4F">
      <w:pPr>
        <w:pStyle w:val="Default"/>
        <w:rPr>
          <w:b/>
          <w:bCs/>
          <w:lang w:val="en-US"/>
        </w:rPr>
      </w:pPr>
      <w:r w:rsidRPr="00216459">
        <w:rPr>
          <w:b/>
          <w:bCs/>
          <w:lang w:val="en-US"/>
        </w:rPr>
        <w:t>TFI</w:t>
      </w:r>
      <w:r w:rsidR="00D95C7A" w:rsidRPr="00216459">
        <w:rPr>
          <w:b/>
          <w:bCs/>
          <w:lang w:val="en-US"/>
        </w:rPr>
        <w:t xml:space="preserve"> </w:t>
      </w:r>
      <w:r w:rsidR="00216459" w:rsidRPr="00216459">
        <w:rPr>
          <w:b/>
          <w:bCs/>
          <w:lang w:val="en-US"/>
        </w:rPr>
        <w:t xml:space="preserve">                     Tilburg Frailty Indicator</w:t>
      </w:r>
    </w:p>
    <w:p w:rsidR="000C7DDA" w:rsidRPr="00216459" w:rsidRDefault="000C7DDA" w:rsidP="002F3A4F">
      <w:pPr>
        <w:pStyle w:val="Default"/>
        <w:rPr>
          <w:b/>
          <w:bCs/>
          <w:lang w:val="en-US"/>
        </w:rPr>
      </w:pPr>
      <w:proofErr w:type="gramStart"/>
      <w:r w:rsidRPr="00216459">
        <w:rPr>
          <w:b/>
          <w:bCs/>
          <w:lang w:val="en-US"/>
        </w:rPr>
        <w:t>WHO</w:t>
      </w:r>
      <w:proofErr w:type="gramEnd"/>
      <w:r w:rsidR="00D95C7A" w:rsidRPr="00216459">
        <w:rPr>
          <w:b/>
          <w:bCs/>
          <w:lang w:val="en-US"/>
        </w:rPr>
        <w:t xml:space="preserve"> </w:t>
      </w:r>
      <w:r w:rsidR="00216459" w:rsidRPr="00216459">
        <w:rPr>
          <w:b/>
          <w:bCs/>
          <w:lang w:val="en-US"/>
        </w:rPr>
        <w:t xml:space="preserve">                 </w:t>
      </w:r>
      <w:r w:rsidR="00D95C7A" w:rsidRPr="00216459">
        <w:rPr>
          <w:b/>
          <w:bCs/>
          <w:lang w:val="en-US"/>
        </w:rPr>
        <w:t>World Health Organization</w:t>
      </w:r>
    </w:p>
    <w:p w:rsidR="003A684E" w:rsidRPr="00216459" w:rsidRDefault="003A684E" w:rsidP="002F3A4F">
      <w:pPr>
        <w:pStyle w:val="Default"/>
        <w:rPr>
          <w:b/>
          <w:bCs/>
          <w:lang w:val="en-US"/>
        </w:rPr>
      </w:pPr>
    </w:p>
    <w:p w:rsidR="003A684E" w:rsidRPr="00216459" w:rsidRDefault="003A684E" w:rsidP="00871DD4">
      <w:pPr>
        <w:pStyle w:val="Default"/>
        <w:jc w:val="center"/>
        <w:rPr>
          <w:b/>
          <w:bCs/>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871DD4" w:rsidRPr="00216459" w:rsidRDefault="00871DD4" w:rsidP="00871DD4">
      <w:pPr>
        <w:pStyle w:val="Default"/>
        <w:jc w:val="center"/>
        <w:rPr>
          <w:b/>
          <w:bCs/>
          <w:sz w:val="22"/>
          <w:szCs w:val="22"/>
          <w:lang w:val="en-US"/>
        </w:rPr>
      </w:pPr>
    </w:p>
    <w:p w:rsidR="00D95C7A" w:rsidRPr="00F70AF8" w:rsidRDefault="00D95C7A" w:rsidP="00E730CE">
      <w:pPr>
        <w:pStyle w:val="Default"/>
        <w:rPr>
          <w:b/>
          <w:bCs/>
          <w:sz w:val="22"/>
          <w:szCs w:val="22"/>
          <w:lang w:val="en-US"/>
        </w:rPr>
      </w:pPr>
    </w:p>
    <w:p w:rsidR="00871DD4" w:rsidRPr="00216459" w:rsidRDefault="00871DD4" w:rsidP="00871DD4">
      <w:pPr>
        <w:pStyle w:val="Default"/>
        <w:jc w:val="center"/>
        <w:rPr>
          <w:b/>
          <w:bCs/>
          <w:sz w:val="22"/>
          <w:szCs w:val="22"/>
          <w:lang w:val="en-US"/>
        </w:rPr>
      </w:pPr>
    </w:p>
    <w:p w:rsidR="00871DD4" w:rsidRPr="00A123D7" w:rsidRDefault="00871DD4" w:rsidP="00536D2B">
      <w:pPr>
        <w:rPr>
          <w:b/>
          <w:sz w:val="28"/>
          <w:szCs w:val="28"/>
          <w:lang w:val="en-US"/>
        </w:rPr>
      </w:pPr>
      <w:r w:rsidRPr="00536D2B">
        <w:rPr>
          <w:b/>
          <w:sz w:val="28"/>
          <w:szCs w:val="28"/>
        </w:rPr>
        <w:lastRenderedPageBreak/>
        <w:t>Α</w:t>
      </w:r>
      <w:r w:rsidRPr="00A123D7">
        <w:rPr>
          <w:b/>
          <w:sz w:val="28"/>
          <w:szCs w:val="28"/>
          <w:lang w:val="en-US"/>
        </w:rPr>
        <w:t xml:space="preserve">. </w:t>
      </w:r>
      <w:r w:rsidRPr="00536D2B">
        <w:rPr>
          <w:b/>
          <w:sz w:val="28"/>
          <w:szCs w:val="28"/>
        </w:rPr>
        <w:t>Γενικό</w:t>
      </w:r>
      <w:r w:rsidRPr="00A123D7">
        <w:rPr>
          <w:b/>
          <w:sz w:val="28"/>
          <w:szCs w:val="28"/>
          <w:lang w:val="en-US"/>
        </w:rPr>
        <w:t xml:space="preserve"> </w:t>
      </w:r>
      <w:r w:rsidRPr="00536D2B">
        <w:rPr>
          <w:b/>
          <w:sz w:val="28"/>
          <w:szCs w:val="28"/>
        </w:rPr>
        <w:t>Μέρος</w:t>
      </w:r>
    </w:p>
    <w:p w:rsidR="00871DD4" w:rsidRPr="00A123D7" w:rsidRDefault="00871DD4" w:rsidP="00871DD4">
      <w:pPr>
        <w:pStyle w:val="Default"/>
        <w:jc w:val="center"/>
        <w:rPr>
          <w:b/>
          <w:bCs/>
          <w:sz w:val="28"/>
          <w:szCs w:val="28"/>
          <w:lang w:val="en-US"/>
        </w:rPr>
      </w:pPr>
    </w:p>
    <w:p w:rsidR="00871DD4" w:rsidRDefault="00536D2B" w:rsidP="00536D2B">
      <w:pPr>
        <w:rPr>
          <w:b/>
          <w:sz w:val="28"/>
          <w:szCs w:val="28"/>
        </w:rPr>
      </w:pPr>
      <w:r w:rsidRPr="00536D2B">
        <w:rPr>
          <w:b/>
          <w:sz w:val="28"/>
          <w:szCs w:val="28"/>
        </w:rPr>
        <w:t>1.Εισαγωγή</w:t>
      </w:r>
    </w:p>
    <w:p w:rsidR="00536D2B" w:rsidRPr="00A260DB" w:rsidRDefault="00263292" w:rsidP="00263292">
      <w:pPr>
        <w:rPr>
          <w:sz w:val="24"/>
          <w:szCs w:val="24"/>
        </w:rPr>
      </w:pPr>
      <w:r w:rsidRPr="00A260DB">
        <w:rPr>
          <w:sz w:val="24"/>
          <w:szCs w:val="24"/>
        </w:rPr>
        <w:t>Τις τελευταίες δεκαετίες παρατηρείται ταχεία αύξηση του ρυθμού γήρανσης του πληθυσμού σε παγκόσμιο επίπεδο. Η δημογραφική αυτή αλλαγή αποτελεί σημαντική πρόκληση για τα συστήματα υγείας</w:t>
      </w:r>
      <w:r w:rsidR="00F44708" w:rsidRPr="00A260DB">
        <w:rPr>
          <w:sz w:val="24"/>
          <w:szCs w:val="24"/>
        </w:rPr>
        <w:t>. Ο Παγκόσμιος Οργανισμός Υγείας αναφέρει ότι μόνο αξιοσημείωτη αύξηση του παγκόσμιου πληθυσμού αλλά και του ποσοστού των ατόμων μεγάλης ηλικίας σε κάθε χώρα (</w:t>
      </w:r>
      <w:r w:rsidR="00F44708" w:rsidRPr="00A260DB">
        <w:rPr>
          <w:sz w:val="24"/>
          <w:szCs w:val="24"/>
          <w:lang w:val="en-US"/>
        </w:rPr>
        <w:t>WHO</w:t>
      </w:r>
      <w:r w:rsidR="00F44708" w:rsidRPr="00A260DB">
        <w:rPr>
          <w:sz w:val="24"/>
          <w:szCs w:val="24"/>
        </w:rPr>
        <w:t xml:space="preserve">, 2021). </w:t>
      </w:r>
      <w:r w:rsidR="00B90442" w:rsidRPr="00A260DB">
        <w:rPr>
          <w:sz w:val="24"/>
          <w:szCs w:val="24"/>
        </w:rPr>
        <w:t>Μέχρι το 2030, αναμένεται 1 στα 6 άτομα παγκοσμίως να είναι άνω των 60 ετών ενώ το σύνολο των ατόμων αυτό θα φτάσει τα 1,4 δισεκατομμύρια παγκοσμίως. Ο αριθμός αυτός θα φτάσει τα 2,1 δισεκατομμύρια ως το 2050. Επιπλέον, ο αριθμός των ατόμων άνω των</w:t>
      </w:r>
      <w:r w:rsidR="00FE0A3A" w:rsidRPr="00A260DB">
        <w:rPr>
          <w:sz w:val="24"/>
          <w:szCs w:val="24"/>
        </w:rPr>
        <w:t xml:space="preserve"> 80 ετών θα τριπλασιαστεί και θα ανέλθει σε 426 εκατομμύρια το 2050(, </w:t>
      </w:r>
      <w:r w:rsidR="00FE0A3A" w:rsidRPr="00A260DB">
        <w:rPr>
          <w:sz w:val="24"/>
          <w:szCs w:val="24"/>
          <w:lang w:val="en-US"/>
        </w:rPr>
        <w:t>Clegg</w:t>
      </w:r>
      <w:r w:rsidR="00FE0A3A" w:rsidRPr="00A260DB">
        <w:rPr>
          <w:sz w:val="24"/>
          <w:szCs w:val="24"/>
        </w:rPr>
        <w:t xml:space="preserve"> &amp; </w:t>
      </w:r>
      <w:r w:rsidR="00FE0A3A" w:rsidRPr="00A260DB">
        <w:rPr>
          <w:sz w:val="24"/>
          <w:szCs w:val="24"/>
          <w:lang w:val="en-US"/>
        </w:rPr>
        <w:t>Hassan</w:t>
      </w:r>
      <w:r w:rsidR="00FE0A3A" w:rsidRPr="00A260DB">
        <w:rPr>
          <w:sz w:val="24"/>
          <w:szCs w:val="24"/>
        </w:rPr>
        <w:t>-</w:t>
      </w:r>
      <w:r w:rsidR="00FE0A3A" w:rsidRPr="00A260DB">
        <w:rPr>
          <w:sz w:val="24"/>
          <w:szCs w:val="24"/>
          <w:lang w:val="en-US"/>
        </w:rPr>
        <w:t>Smith</w:t>
      </w:r>
      <w:r w:rsidR="00FE0A3A" w:rsidRPr="00A260DB">
        <w:rPr>
          <w:sz w:val="24"/>
          <w:szCs w:val="24"/>
        </w:rPr>
        <w:t>, 2018).</w:t>
      </w:r>
    </w:p>
    <w:p w:rsidR="00680CF6" w:rsidRPr="00A260DB" w:rsidRDefault="00484AB9" w:rsidP="00263292">
      <w:pPr>
        <w:rPr>
          <w:sz w:val="24"/>
          <w:szCs w:val="24"/>
        </w:rPr>
      </w:pPr>
      <w:r w:rsidRPr="00A260DB">
        <w:rPr>
          <w:sz w:val="24"/>
          <w:szCs w:val="24"/>
        </w:rPr>
        <w:t xml:space="preserve">Μέχρι το 2050, αναμένεται τα δυο τρίτα των ατόμων μεγάλης ηλικίας να ζουν σε χώρες με χαμηλό και μεσαίο εισόδημα καθώς αποτελούν και τις χώρες στις οποίες υπάρχει και η μεγαλύτερη </w:t>
      </w:r>
      <w:r w:rsidR="00C00269" w:rsidRPr="00A260DB">
        <w:rPr>
          <w:sz w:val="24"/>
          <w:szCs w:val="24"/>
        </w:rPr>
        <w:t>μετατόπιση της κατανομής του πληθυσμού, σύμφωνα με τον ΠΟΥ. (</w:t>
      </w:r>
      <w:r w:rsidR="00C00269" w:rsidRPr="00A260DB">
        <w:rPr>
          <w:sz w:val="24"/>
          <w:szCs w:val="24"/>
          <w:lang w:val="en-US"/>
        </w:rPr>
        <w:t>WHO</w:t>
      </w:r>
      <w:r w:rsidR="00C00269" w:rsidRPr="00A260DB">
        <w:rPr>
          <w:sz w:val="24"/>
          <w:szCs w:val="24"/>
        </w:rPr>
        <w:t>, 2021).</w:t>
      </w:r>
    </w:p>
    <w:p w:rsidR="00C00269" w:rsidRPr="00A260DB" w:rsidRDefault="00B85639" w:rsidP="00263292">
      <w:pPr>
        <w:rPr>
          <w:sz w:val="24"/>
          <w:szCs w:val="24"/>
        </w:rPr>
      </w:pPr>
      <w:r w:rsidRPr="00A260DB">
        <w:rPr>
          <w:sz w:val="24"/>
          <w:szCs w:val="24"/>
        </w:rPr>
        <w:t>Η υγιής γήρανση παραμένει στόχος παγκοσμίως με την Γενική Συνέλευση των Ηνωμένων Εθνών να κηρύσσει την περίοδο 2021-2030, Δεκαετία Υγιούς Γήρανσης.  Η απόφαση αυτή αφορά την συνεργασία πολιτικών, κοινωνικών και εκπαιδευτικών φορέων με απώτερο σκοπό να προωθηθεί η βελτίωση της ποιότητας ζώης (</w:t>
      </w:r>
      <w:r w:rsidRPr="00A260DB">
        <w:rPr>
          <w:sz w:val="24"/>
          <w:szCs w:val="24"/>
          <w:lang w:val="en-US"/>
        </w:rPr>
        <w:t>WHO</w:t>
      </w:r>
      <w:r w:rsidRPr="00A260DB">
        <w:rPr>
          <w:sz w:val="24"/>
          <w:szCs w:val="24"/>
        </w:rPr>
        <w:t xml:space="preserve">, 2021). Για τον ΠΟΥ, </w:t>
      </w:r>
      <w:r w:rsidR="00BC69DC" w:rsidRPr="00A260DB">
        <w:rPr>
          <w:sz w:val="24"/>
          <w:szCs w:val="24"/>
        </w:rPr>
        <w:t>ήδη από το 1946</w:t>
      </w:r>
      <w:r w:rsidRPr="00A260DB">
        <w:rPr>
          <w:sz w:val="24"/>
          <w:szCs w:val="24"/>
        </w:rPr>
        <w:t>, η υγεία ορίζεται ως  η κατάσταση γενικής ευημερίας σε σωματικό, ψυχικό και κοινωνικό επίπεδο και όχι απαραίτητα η μη ύπαρξη ασθένειας ή αναπηρίας (</w:t>
      </w:r>
      <w:r w:rsidRPr="00A260DB">
        <w:rPr>
          <w:sz w:val="24"/>
          <w:szCs w:val="24"/>
          <w:lang w:val="en-US"/>
        </w:rPr>
        <w:t>WHO</w:t>
      </w:r>
      <w:r w:rsidRPr="00A260DB">
        <w:rPr>
          <w:sz w:val="24"/>
          <w:szCs w:val="24"/>
        </w:rPr>
        <w:t>, 1946)</w:t>
      </w:r>
      <w:r w:rsidR="00BC69DC" w:rsidRPr="00A260DB">
        <w:rPr>
          <w:sz w:val="24"/>
          <w:szCs w:val="24"/>
        </w:rPr>
        <w:t xml:space="preserve">. Ως συνέπεια η υγιής γήρανση δεν αποτελεί, πλέον, την απουσία ασθένειας στο άτομο μεγάλης ηλικίας αλλά και τη διατήρηση της ικανότητας του. </w:t>
      </w:r>
    </w:p>
    <w:p w:rsidR="00B4690A" w:rsidRPr="00A260DB" w:rsidRDefault="00B632B1" w:rsidP="00263292">
      <w:pPr>
        <w:rPr>
          <w:sz w:val="24"/>
          <w:szCs w:val="24"/>
        </w:rPr>
      </w:pPr>
      <w:r w:rsidRPr="00A260DB">
        <w:rPr>
          <w:sz w:val="24"/>
          <w:szCs w:val="24"/>
        </w:rPr>
        <w:t>Όπως φαίνεται σ</w:t>
      </w:r>
      <w:r w:rsidR="00E67154" w:rsidRPr="00A260DB">
        <w:rPr>
          <w:sz w:val="24"/>
          <w:szCs w:val="24"/>
        </w:rPr>
        <w:t>την εικόνα 1</w:t>
      </w:r>
      <w:r w:rsidR="006201BA" w:rsidRPr="00A260DB">
        <w:rPr>
          <w:sz w:val="24"/>
          <w:szCs w:val="24"/>
        </w:rPr>
        <w:t>,</w:t>
      </w:r>
      <w:r w:rsidR="00E67154" w:rsidRPr="00A260DB">
        <w:rPr>
          <w:sz w:val="24"/>
          <w:szCs w:val="24"/>
        </w:rPr>
        <w:t xml:space="preserve"> το 2020 </w:t>
      </w:r>
      <w:r w:rsidRPr="00A260DB">
        <w:rPr>
          <w:sz w:val="24"/>
          <w:szCs w:val="24"/>
        </w:rPr>
        <w:t xml:space="preserve">παρατηρήθηκε </w:t>
      </w:r>
      <w:r w:rsidR="00E67154" w:rsidRPr="00A260DB">
        <w:rPr>
          <w:sz w:val="24"/>
          <w:szCs w:val="24"/>
        </w:rPr>
        <w:t xml:space="preserve">το μεγαλύτερο ποσοστό ηλικιωμένων στην Ιταλία (23,2%), στην Ελλάδα και Φινλανδία (22,3% έκαστος), στην Πορτογαλία (22,1%), στη Γερμανία(21,8%) και στη Βουλγαρία (21,6%), σύμφωνα με στοιχεία της </w:t>
      </w:r>
      <w:r w:rsidR="00E67154" w:rsidRPr="00A260DB">
        <w:rPr>
          <w:sz w:val="24"/>
          <w:szCs w:val="24"/>
          <w:lang w:val="en-US"/>
        </w:rPr>
        <w:t>Eurostat</w:t>
      </w:r>
      <w:r w:rsidR="00E67154" w:rsidRPr="00A260DB">
        <w:rPr>
          <w:sz w:val="24"/>
          <w:szCs w:val="24"/>
        </w:rPr>
        <w:t xml:space="preserve">. </w:t>
      </w:r>
      <w:r w:rsidR="006201BA" w:rsidRPr="00A260DB">
        <w:rPr>
          <w:sz w:val="24"/>
          <w:szCs w:val="24"/>
        </w:rPr>
        <w:t xml:space="preserve">Ενώ, πιο συγκεκριμένα, σύμφωνα πάλι με τη </w:t>
      </w:r>
      <w:r w:rsidR="006201BA" w:rsidRPr="00A260DB">
        <w:rPr>
          <w:sz w:val="24"/>
          <w:szCs w:val="24"/>
          <w:lang w:val="en-US"/>
        </w:rPr>
        <w:t>Eurostat</w:t>
      </w:r>
      <w:r w:rsidR="006201BA" w:rsidRPr="00A260DB">
        <w:rPr>
          <w:sz w:val="24"/>
          <w:szCs w:val="24"/>
        </w:rPr>
        <w:t xml:space="preserve"> το 2020, στην Ελλάδα τα μεγαλύτερα ποσοστά ατόμων μεγάλης ηλικίας παρατηρήθηκαν στο γεωγραφικό διαμέρισμα της Ηπείρου (Εικόνα 2).</w:t>
      </w:r>
    </w:p>
    <w:p w:rsidR="005E6C32" w:rsidRPr="00A260DB" w:rsidRDefault="00B632B1" w:rsidP="00263292">
      <w:pPr>
        <w:rPr>
          <w:sz w:val="24"/>
          <w:szCs w:val="24"/>
        </w:rPr>
      </w:pPr>
      <w:r w:rsidRPr="00A260DB">
        <w:rPr>
          <w:sz w:val="24"/>
          <w:szCs w:val="24"/>
        </w:rPr>
        <w:t xml:space="preserve">Η υγιής γήρανση συχνά δεν μπορεί να επιτεχθεί. Ο λόγος είναι τα πολλά προβλήματα σωματικής και ψυχικής υγείας που φαίνεται να πληθαίνουν στα άτομα μεγάλης ηλικίας με άμεσο αντίκτυπο στην έκπτωση της λειτουργικότητας τους και την ποιότητα ζωής τους. Το σύνδρομο της Ευπάθειας αποτελεί μια βασική αιτία μη υγιούς γήρανσης </w:t>
      </w:r>
      <w:r w:rsidR="0059741B" w:rsidRPr="00A260DB">
        <w:rPr>
          <w:sz w:val="24"/>
          <w:szCs w:val="24"/>
        </w:rPr>
        <w:t xml:space="preserve">καθώς χαρακτηρίζεται από πολυπλοκότητα και επηρεάζει την </w:t>
      </w:r>
      <w:r w:rsidR="0059741B" w:rsidRPr="00A260DB">
        <w:rPr>
          <w:sz w:val="24"/>
          <w:szCs w:val="24"/>
        </w:rPr>
        <w:lastRenderedPageBreak/>
        <w:t xml:space="preserve">πορεία υγείας των ατόμων μεγάλης ηλικίας </w:t>
      </w:r>
      <w:r w:rsidRPr="00A260DB">
        <w:rPr>
          <w:sz w:val="24"/>
          <w:szCs w:val="24"/>
        </w:rPr>
        <w:t>(</w:t>
      </w:r>
      <w:r w:rsidR="00336830" w:rsidRPr="00A260DB">
        <w:rPr>
          <w:sz w:val="24"/>
          <w:szCs w:val="24"/>
          <w:lang w:val="en-US"/>
        </w:rPr>
        <w:t>Theou</w:t>
      </w:r>
      <w:r w:rsidR="00336830" w:rsidRPr="00A260DB">
        <w:rPr>
          <w:sz w:val="24"/>
          <w:szCs w:val="24"/>
        </w:rPr>
        <w:t xml:space="preserve"> </w:t>
      </w:r>
      <w:r w:rsidR="00336830" w:rsidRPr="00A260DB">
        <w:rPr>
          <w:sz w:val="24"/>
          <w:szCs w:val="24"/>
          <w:lang w:val="en-US"/>
        </w:rPr>
        <w:t>et</w:t>
      </w:r>
      <w:r w:rsidR="00336830" w:rsidRPr="00A260DB">
        <w:rPr>
          <w:sz w:val="24"/>
          <w:szCs w:val="24"/>
        </w:rPr>
        <w:t xml:space="preserve"> </w:t>
      </w:r>
      <w:r w:rsidR="00336830" w:rsidRPr="00A260DB">
        <w:rPr>
          <w:sz w:val="24"/>
          <w:szCs w:val="24"/>
          <w:lang w:val="en-US"/>
        </w:rPr>
        <w:t>al</w:t>
      </w:r>
      <w:r w:rsidR="00336830" w:rsidRPr="00A260DB">
        <w:rPr>
          <w:sz w:val="24"/>
          <w:szCs w:val="24"/>
        </w:rPr>
        <w:t>., 2012</w:t>
      </w:r>
      <w:r w:rsidRPr="00A260DB">
        <w:rPr>
          <w:sz w:val="24"/>
          <w:szCs w:val="24"/>
        </w:rPr>
        <w:t>)</w:t>
      </w:r>
      <w:r w:rsidR="00336830" w:rsidRPr="00A260DB">
        <w:rPr>
          <w:sz w:val="24"/>
          <w:szCs w:val="24"/>
        </w:rPr>
        <w:t>.</w:t>
      </w:r>
      <w:r w:rsidR="00235936" w:rsidRPr="00A260DB">
        <w:rPr>
          <w:sz w:val="24"/>
          <w:szCs w:val="24"/>
        </w:rPr>
        <w:t xml:space="preserve"> Περίπου το 10% των ατόμων άνω των 65 ετών θα επηρεαστούν από το Σύνδρομο Ευπάθειας δίχως να είναι σαφείς οι παράγοντες που οδηγούν σε αυτό</w:t>
      </w:r>
      <w:r w:rsidR="002834C4" w:rsidRPr="00A260DB">
        <w:rPr>
          <w:sz w:val="24"/>
          <w:szCs w:val="24"/>
        </w:rPr>
        <w:t xml:space="preserve"> (</w:t>
      </w:r>
      <w:r w:rsidR="002834C4" w:rsidRPr="00A260DB">
        <w:rPr>
          <w:sz w:val="24"/>
          <w:szCs w:val="24"/>
          <w:lang w:val="en-US"/>
        </w:rPr>
        <w:t>Rockwood</w:t>
      </w:r>
      <w:r w:rsidR="002834C4" w:rsidRPr="00A260DB">
        <w:rPr>
          <w:sz w:val="24"/>
          <w:szCs w:val="24"/>
        </w:rPr>
        <w:t xml:space="preserve"> </w:t>
      </w:r>
      <w:r w:rsidR="002834C4" w:rsidRPr="00A260DB">
        <w:rPr>
          <w:sz w:val="24"/>
          <w:szCs w:val="24"/>
          <w:lang w:val="en-US"/>
        </w:rPr>
        <w:t>et</w:t>
      </w:r>
      <w:r w:rsidR="002834C4" w:rsidRPr="00A260DB">
        <w:rPr>
          <w:sz w:val="24"/>
          <w:szCs w:val="24"/>
        </w:rPr>
        <w:t xml:space="preserve"> </w:t>
      </w:r>
      <w:r w:rsidR="002834C4" w:rsidRPr="00A260DB">
        <w:rPr>
          <w:sz w:val="24"/>
          <w:szCs w:val="24"/>
          <w:lang w:val="en-US"/>
        </w:rPr>
        <w:t>al</w:t>
      </w:r>
      <w:r w:rsidR="002834C4" w:rsidRPr="00A260DB">
        <w:rPr>
          <w:sz w:val="24"/>
          <w:szCs w:val="24"/>
        </w:rPr>
        <w:t>., 1994)</w:t>
      </w:r>
      <w:r w:rsidR="00235936" w:rsidRPr="00A260DB">
        <w:rPr>
          <w:sz w:val="24"/>
          <w:szCs w:val="24"/>
        </w:rPr>
        <w:t>.</w:t>
      </w:r>
    </w:p>
    <w:p w:rsidR="001E173F" w:rsidRPr="00A260DB" w:rsidRDefault="001E173F" w:rsidP="00263292">
      <w:pPr>
        <w:rPr>
          <w:sz w:val="24"/>
          <w:szCs w:val="24"/>
        </w:rPr>
      </w:pPr>
      <w:r w:rsidRPr="00A260DB">
        <w:rPr>
          <w:sz w:val="24"/>
          <w:szCs w:val="24"/>
        </w:rPr>
        <w:t>Σήμερα, η ευπάθεια αναφέρεται και αξιολογείται όλο και περισσότερο στην πρωτοβάθμια φροντίδα χωρίς, ωστόσο, να έχει ορισθεί πλήρως ή να έχει υπάρξει συμφωνία ως προς το εργαλείο μέτρησης της (</w:t>
      </w:r>
      <w:r w:rsidRPr="00A260DB">
        <w:rPr>
          <w:sz w:val="24"/>
          <w:szCs w:val="24"/>
          <w:lang w:val="en-US"/>
        </w:rPr>
        <w:t>Hoogendijk</w:t>
      </w:r>
      <w:r w:rsidRPr="00A260DB">
        <w:rPr>
          <w:sz w:val="24"/>
          <w:szCs w:val="24"/>
        </w:rPr>
        <w:t xml:space="preserve"> </w:t>
      </w:r>
      <w:r w:rsidRPr="00A260DB">
        <w:rPr>
          <w:sz w:val="24"/>
          <w:szCs w:val="24"/>
          <w:lang w:val="en-US"/>
        </w:rPr>
        <w:t>et</w:t>
      </w:r>
      <w:r w:rsidRPr="00A260DB">
        <w:rPr>
          <w:sz w:val="24"/>
          <w:szCs w:val="24"/>
        </w:rPr>
        <w:t xml:space="preserve"> </w:t>
      </w:r>
      <w:r w:rsidRPr="00A260DB">
        <w:rPr>
          <w:sz w:val="24"/>
          <w:szCs w:val="24"/>
          <w:lang w:val="en-US"/>
        </w:rPr>
        <w:t>al</w:t>
      </w:r>
      <w:r w:rsidRPr="00A260DB">
        <w:rPr>
          <w:sz w:val="24"/>
          <w:szCs w:val="24"/>
        </w:rPr>
        <w:t>., 2019).</w:t>
      </w:r>
    </w:p>
    <w:p w:rsidR="00235936" w:rsidRPr="00336830" w:rsidRDefault="00235936" w:rsidP="00263292"/>
    <w:p w:rsidR="00E67154" w:rsidRPr="00E67154" w:rsidRDefault="00E67154" w:rsidP="00B4690A">
      <w:pPr>
        <w:jc w:val="center"/>
      </w:pPr>
      <w:r>
        <w:rPr>
          <w:noProof/>
          <w:lang w:eastAsia="el-GR"/>
        </w:rPr>
        <w:drawing>
          <wp:inline distT="0" distB="0" distL="0" distR="0" wp14:anchorId="22951C06" wp14:editId="4D60D34B">
            <wp:extent cx="4541520" cy="297942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h in EU map 202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42770" cy="2980240"/>
                    </a:xfrm>
                    <a:prstGeom prst="rect">
                      <a:avLst/>
                    </a:prstGeom>
                  </pic:spPr>
                </pic:pic>
              </a:graphicData>
            </a:graphic>
          </wp:inline>
        </w:drawing>
      </w:r>
    </w:p>
    <w:p w:rsidR="00FE0A3A" w:rsidRPr="00A260DB" w:rsidRDefault="00E67154" w:rsidP="00E67154">
      <w:pPr>
        <w:jc w:val="center"/>
        <w:rPr>
          <w:b/>
          <w:sz w:val="20"/>
          <w:szCs w:val="20"/>
        </w:rPr>
      </w:pPr>
      <w:r w:rsidRPr="00A260DB">
        <w:rPr>
          <w:b/>
          <w:sz w:val="20"/>
          <w:szCs w:val="20"/>
        </w:rPr>
        <w:t>Εικόνα 1. Ποσοστά ηλικιωμένων</w:t>
      </w:r>
      <w:r w:rsidR="006201BA" w:rsidRPr="00A260DB">
        <w:rPr>
          <w:b/>
          <w:sz w:val="20"/>
          <w:szCs w:val="20"/>
        </w:rPr>
        <w:t xml:space="preserve"> στην ΕΕ.</w:t>
      </w:r>
    </w:p>
    <w:p w:rsidR="006201BA" w:rsidRPr="00A260DB" w:rsidRDefault="006201BA" w:rsidP="00E67154">
      <w:pPr>
        <w:jc w:val="center"/>
        <w:rPr>
          <w:b/>
          <w:i/>
          <w:sz w:val="20"/>
          <w:szCs w:val="20"/>
          <w:lang w:val="en-US"/>
        </w:rPr>
      </w:pPr>
      <w:r w:rsidRPr="00A260DB">
        <w:rPr>
          <w:b/>
          <w:i/>
          <w:sz w:val="20"/>
          <w:szCs w:val="20"/>
        </w:rPr>
        <w:t>Πηγή</w:t>
      </w:r>
      <w:r w:rsidRPr="00A260DB">
        <w:rPr>
          <w:b/>
          <w:i/>
          <w:sz w:val="20"/>
          <w:szCs w:val="20"/>
          <w:lang w:val="en-US"/>
        </w:rPr>
        <w:t>: Eurostat (2020)</w:t>
      </w:r>
    </w:p>
    <w:p w:rsidR="00B4690A" w:rsidRPr="006201BA" w:rsidRDefault="00B4690A" w:rsidP="00E67154">
      <w:pPr>
        <w:jc w:val="center"/>
        <w:rPr>
          <w:b/>
          <w:i/>
          <w:sz w:val="18"/>
          <w:szCs w:val="18"/>
          <w:lang w:val="en-US"/>
        </w:rPr>
      </w:pPr>
    </w:p>
    <w:p w:rsidR="00E67154" w:rsidRDefault="00CA705B" w:rsidP="00B4690A">
      <w:pPr>
        <w:jc w:val="center"/>
      </w:pPr>
      <w:r>
        <w:rPr>
          <w:noProof/>
          <w:lang w:eastAsia="el-GR"/>
        </w:rPr>
        <w:drawing>
          <wp:inline distT="0" distB="0" distL="0" distR="0">
            <wp:extent cx="3489960" cy="2896756"/>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derly population across EU regions_map.p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87022" cy="2894318"/>
                    </a:xfrm>
                    <a:prstGeom prst="rect">
                      <a:avLst/>
                    </a:prstGeom>
                  </pic:spPr>
                </pic:pic>
              </a:graphicData>
            </a:graphic>
          </wp:inline>
        </w:drawing>
      </w:r>
    </w:p>
    <w:p w:rsidR="00CA705B" w:rsidRPr="00A260DB" w:rsidRDefault="00CA705B" w:rsidP="00CA705B">
      <w:pPr>
        <w:jc w:val="center"/>
        <w:rPr>
          <w:b/>
          <w:sz w:val="20"/>
          <w:szCs w:val="20"/>
        </w:rPr>
      </w:pPr>
      <w:r w:rsidRPr="00A260DB">
        <w:rPr>
          <w:b/>
          <w:sz w:val="20"/>
          <w:szCs w:val="20"/>
        </w:rPr>
        <w:lastRenderedPageBreak/>
        <w:t>Εικόνα 2. Ποσοστά ηλικιωμένων στις περιφέρειες της ΕΕ.</w:t>
      </w:r>
    </w:p>
    <w:p w:rsidR="00CA705B" w:rsidRPr="00A260DB" w:rsidRDefault="00CA705B" w:rsidP="00CA705B">
      <w:pPr>
        <w:jc w:val="center"/>
        <w:rPr>
          <w:b/>
          <w:i/>
          <w:sz w:val="20"/>
          <w:szCs w:val="20"/>
        </w:rPr>
      </w:pPr>
      <w:r w:rsidRPr="00A260DB">
        <w:rPr>
          <w:b/>
          <w:i/>
          <w:sz w:val="20"/>
          <w:szCs w:val="20"/>
        </w:rPr>
        <w:t xml:space="preserve">Πηγή: </w:t>
      </w:r>
      <w:r w:rsidRPr="00A260DB">
        <w:rPr>
          <w:b/>
          <w:i/>
          <w:sz w:val="20"/>
          <w:szCs w:val="20"/>
          <w:lang w:val="en-US"/>
        </w:rPr>
        <w:t>Eurostat</w:t>
      </w:r>
      <w:r w:rsidRPr="00A260DB">
        <w:rPr>
          <w:b/>
          <w:i/>
          <w:sz w:val="20"/>
          <w:szCs w:val="20"/>
        </w:rPr>
        <w:t xml:space="preserve"> (2020)</w:t>
      </w:r>
    </w:p>
    <w:p w:rsidR="00CA705B" w:rsidRPr="000C7DDA" w:rsidRDefault="00CA705B" w:rsidP="00CA705B">
      <w:pPr>
        <w:jc w:val="center"/>
      </w:pPr>
    </w:p>
    <w:p w:rsidR="00536D2B" w:rsidRDefault="00536D2B" w:rsidP="00536D2B">
      <w:pPr>
        <w:rPr>
          <w:b/>
          <w:sz w:val="28"/>
          <w:szCs w:val="28"/>
        </w:rPr>
      </w:pPr>
      <w:r w:rsidRPr="00536D2B">
        <w:rPr>
          <w:b/>
          <w:sz w:val="28"/>
          <w:szCs w:val="28"/>
        </w:rPr>
        <w:t>2.</w:t>
      </w:r>
      <w:r w:rsidR="004C7F2C" w:rsidRPr="000C7DDA">
        <w:rPr>
          <w:b/>
          <w:sz w:val="28"/>
          <w:szCs w:val="28"/>
        </w:rPr>
        <w:t xml:space="preserve"> </w:t>
      </w:r>
      <w:r w:rsidR="004C7F2C">
        <w:rPr>
          <w:b/>
          <w:sz w:val="28"/>
          <w:szCs w:val="28"/>
        </w:rPr>
        <w:t>Το σύνδρομο της Ευπάθειας</w:t>
      </w:r>
    </w:p>
    <w:p w:rsidR="004C7F2C" w:rsidRPr="00A260DB" w:rsidRDefault="000C7DDA" w:rsidP="000C7DDA">
      <w:pPr>
        <w:rPr>
          <w:sz w:val="24"/>
          <w:szCs w:val="24"/>
        </w:rPr>
      </w:pPr>
      <w:r w:rsidRPr="00A260DB">
        <w:rPr>
          <w:sz w:val="24"/>
          <w:szCs w:val="24"/>
        </w:rPr>
        <w:t xml:space="preserve">Η έννοια της ευπάθειας εμφανίστηκε πριν περίπου τρεις δεκαετίες στην γηριατρική ως μια μέθοδος να κατανοηθεί και </w:t>
      </w:r>
      <w:r w:rsidR="006F1AED" w:rsidRPr="00A260DB">
        <w:rPr>
          <w:sz w:val="24"/>
          <w:szCs w:val="24"/>
        </w:rPr>
        <w:t>να αντιληφθεί η πολυπλοκότητα της υγείας των ατόμων μεγάλης ηλικίας. Σήμερα, η ευπάθεια δεν έχει έναν επίσημο καθολικό ορισμό, θεωρείται ένα δυναμικό γηριατρικό σύνδρομο, στο οποίο δίδεται βάση στη δυσλειτουργία πολλών και σύνθετων οργανικών συστημάτων (</w:t>
      </w:r>
      <w:r w:rsidR="006F1AED" w:rsidRPr="00A260DB">
        <w:rPr>
          <w:sz w:val="24"/>
          <w:szCs w:val="24"/>
          <w:lang w:val="en-US"/>
        </w:rPr>
        <w:t>Church</w:t>
      </w:r>
      <w:r w:rsidR="006F1AED" w:rsidRPr="00A260DB">
        <w:rPr>
          <w:sz w:val="24"/>
          <w:szCs w:val="24"/>
        </w:rPr>
        <w:t xml:space="preserve"> </w:t>
      </w:r>
      <w:r w:rsidR="006F1AED" w:rsidRPr="00A260DB">
        <w:rPr>
          <w:sz w:val="24"/>
          <w:szCs w:val="24"/>
          <w:lang w:val="en-US"/>
        </w:rPr>
        <w:t>et</w:t>
      </w:r>
      <w:r w:rsidR="006F1AED" w:rsidRPr="00A260DB">
        <w:rPr>
          <w:sz w:val="24"/>
          <w:szCs w:val="24"/>
        </w:rPr>
        <w:t xml:space="preserve"> </w:t>
      </w:r>
      <w:r w:rsidR="006F1AED" w:rsidRPr="00A260DB">
        <w:rPr>
          <w:sz w:val="24"/>
          <w:szCs w:val="24"/>
          <w:lang w:val="en-US"/>
        </w:rPr>
        <w:t>al</w:t>
      </w:r>
      <w:r w:rsidR="006F1AED" w:rsidRPr="00A260DB">
        <w:rPr>
          <w:sz w:val="24"/>
          <w:szCs w:val="24"/>
        </w:rPr>
        <w:t xml:space="preserve">., 2020). </w:t>
      </w:r>
      <w:r w:rsidR="00690366" w:rsidRPr="00A260DB">
        <w:rPr>
          <w:sz w:val="24"/>
          <w:szCs w:val="24"/>
        </w:rPr>
        <w:t>Η δυσκολία</w:t>
      </w:r>
      <w:r w:rsidR="00B900EC" w:rsidRPr="00A260DB">
        <w:rPr>
          <w:sz w:val="24"/>
          <w:szCs w:val="24"/>
        </w:rPr>
        <w:t xml:space="preserve"> στον ορισμό της ευπάθειας έγκειται </w:t>
      </w:r>
      <w:r w:rsidR="00690366" w:rsidRPr="00A260DB">
        <w:rPr>
          <w:sz w:val="24"/>
          <w:szCs w:val="24"/>
        </w:rPr>
        <w:t>στην πολυπλοκότητα της αιτιολογίας της, στη δυσκολία να διακριθεί απ την αναπηρία και από την γήρανση αλλά και η διαφορετική χρήση της έννοιας της στην υπάρχουσα βιβλιογραφία. Συνώνυμα που απαντώνται συχνά στην βιβλιογραφία είναι η ευθραυστότητα και η αδυναμία (</w:t>
      </w:r>
      <w:r w:rsidR="00690366" w:rsidRPr="00A260DB">
        <w:rPr>
          <w:sz w:val="24"/>
          <w:szCs w:val="24"/>
          <w:lang w:val="en-US"/>
        </w:rPr>
        <w:t>Dent</w:t>
      </w:r>
      <w:r w:rsidR="00690366" w:rsidRPr="00A260DB">
        <w:rPr>
          <w:sz w:val="24"/>
          <w:szCs w:val="24"/>
        </w:rPr>
        <w:t xml:space="preserve"> </w:t>
      </w:r>
      <w:r w:rsidR="00690366" w:rsidRPr="00A260DB">
        <w:rPr>
          <w:sz w:val="24"/>
          <w:szCs w:val="24"/>
          <w:lang w:val="en-US"/>
        </w:rPr>
        <w:t>et</w:t>
      </w:r>
      <w:r w:rsidR="00690366" w:rsidRPr="00A260DB">
        <w:rPr>
          <w:sz w:val="24"/>
          <w:szCs w:val="24"/>
        </w:rPr>
        <w:t xml:space="preserve"> </w:t>
      </w:r>
      <w:r w:rsidR="00690366" w:rsidRPr="00A260DB">
        <w:rPr>
          <w:sz w:val="24"/>
          <w:szCs w:val="24"/>
          <w:lang w:val="en-US"/>
        </w:rPr>
        <w:t>al</w:t>
      </w:r>
      <w:r w:rsidR="00690366" w:rsidRPr="00A260DB">
        <w:rPr>
          <w:sz w:val="24"/>
          <w:szCs w:val="24"/>
        </w:rPr>
        <w:t>., 2016)</w:t>
      </w:r>
    </w:p>
    <w:p w:rsidR="00536D2B" w:rsidRPr="00A260DB" w:rsidRDefault="00ED51A7" w:rsidP="00ED51A7">
      <w:pPr>
        <w:rPr>
          <w:sz w:val="24"/>
          <w:szCs w:val="24"/>
        </w:rPr>
      </w:pPr>
      <w:r w:rsidRPr="00A260DB">
        <w:rPr>
          <w:sz w:val="24"/>
          <w:szCs w:val="24"/>
        </w:rPr>
        <w:t>Με τον όρο ευπάθεια αποδίδεται οι μειωμένες εφεδρείες και η ανθεκτικότητα των οργάνων Κι συστημάτων ενός οργανισμού. Το άτομο γίνεται ευάλωτο σε εσωτερικούς και εξωτερικούς παράγοντες στρες με σημαντικές επιπτώσεις για την υγεία (</w:t>
      </w:r>
      <w:r w:rsidRPr="00A260DB">
        <w:rPr>
          <w:sz w:val="24"/>
          <w:szCs w:val="24"/>
          <w:lang w:val="en-US"/>
        </w:rPr>
        <w:t>Clegg</w:t>
      </w:r>
      <w:r w:rsidRPr="00A260DB">
        <w:rPr>
          <w:sz w:val="24"/>
          <w:szCs w:val="24"/>
        </w:rPr>
        <w:t xml:space="preserve"> </w:t>
      </w:r>
      <w:r w:rsidRPr="00A260DB">
        <w:rPr>
          <w:sz w:val="24"/>
          <w:szCs w:val="24"/>
          <w:lang w:val="en-US"/>
        </w:rPr>
        <w:t>et</w:t>
      </w:r>
      <w:r w:rsidRPr="00A260DB">
        <w:rPr>
          <w:sz w:val="24"/>
          <w:szCs w:val="24"/>
        </w:rPr>
        <w:t xml:space="preserve"> </w:t>
      </w:r>
      <w:r w:rsidRPr="00A260DB">
        <w:rPr>
          <w:sz w:val="24"/>
          <w:szCs w:val="24"/>
          <w:lang w:val="en-US"/>
        </w:rPr>
        <w:t>al</w:t>
      </w:r>
      <w:r w:rsidRPr="00A260DB">
        <w:rPr>
          <w:sz w:val="24"/>
          <w:szCs w:val="24"/>
        </w:rPr>
        <w:t xml:space="preserve">., 2013, </w:t>
      </w:r>
      <w:r w:rsidRPr="00A260DB">
        <w:rPr>
          <w:sz w:val="24"/>
          <w:szCs w:val="24"/>
          <w:lang w:val="en-US"/>
        </w:rPr>
        <w:t>Won</w:t>
      </w:r>
      <w:r w:rsidRPr="00A260DB">
        <w:rPr>
          <w:sz w:val="24"/>
          <w:szCs w:val="24"/>
        </w:rPr>
        <w:t xml:space="preserve">, 2020). Οι </w:t>
      </w:r>
      <w:r w:rsidRPr="00A260DB">
        <w:rPr>
          <w:sz w:val="24"/>
          <w:szCs w:val="24"/>
          <w:lang w:val="en-US"/>
        </w:rPr>
        <w:t>Romero</w:t>
      </w:r>
      <w:r w:rsidRPr="00A260DB">
        <w:rPr>
          <w:sz w:val="24"/>
          <w:szCs w:val="24"/>
        </w:rPr>
        <w:t>-</w:t>
      </w:r>
      <w:r w:rsidRPr="00A260DB">
        <w:rPr>
          <w:sz w:val="24"/>
          <w:szCs w:val="24"/>
          <w:lang w:val="en-US"/>
        </w:rPr>
        <w:t>Ortuno</w:t>
      </w:r>
      <w:r w:rsidRPr="00A260DB">
        <w:rPr>
          <w:sz w:val="24"/>
          <w:szCs w:val="24"/>
        </w:rPr>
        <w:t xml:space="preserve"> και συν. (2010) υποστηρίζουν ότι η ευπάθεια δεν αφορά μόνο βιολογικούς παράγοντες αλλά και ψυχοκοινωνικούς.</w:t>
      </w:r>
    </w:p>
    <w:p w:rsidR="00791EB6" w:rsidRPr="00A260DB" w:rsidRDefault="00791EB6" w:rsidP="00ED51A7">
      <w:pPr>
        <w:rPr>
          <w:sz w:val="24"/>
          <w:szCs w:val="24"/>
        </w:rPr>
      </w:pPr>
      <w:r w:rsidRPr="00A260DB">
        <w:rPr>
          <w:sz w:val="24"/>
          <w:szCs w:val="24"/>
        </w:rPr>
        <w:t>Τις τελευταίες δεκαετίες η ευπάθεια έχει ορισθεί με ποικίλλους τρόπους. Η πρώτη αναφορά στην έννοια της ευπάθειας έγινε το 1950 με 1960 από γεροντολόγους και αφορούσε γηριατρικούς ασθενείς. Μόλις τα τελευταία δεκαπέντε χρόνια υπάρχει μεγάλο ενδιαφέρον από την επιστημονική κοινότητα όπου και απαντάται σε μεγάλο αριθμό δημοσιεύσεων (</w:t>
      </w:r>
      <w:r w:rsidRPr="00A260DB">
        <w:rPr>
          <w:sz w:val="24"/>
          <w:szCs w:val="24"/>
          <w:lang w:val="en-US"/>
        </w:rPr>
        <w:t>Cesari</w:t>
      </w:r>
      <w:r w:rsidRPr="00A260DB">
        <w:rPr>
          <w:sz w:val="24"/>
          <w:szCs w:val="24"/>
        </w:rPr>
        <w:t xml:space="preserve"> </w:t>
      </w:r>
      <w:r w:rsidRPr="00A260DB">
        <w:rPr>
          <w:sz w:val="24"/>
          <w:szCs w:val="24"/>
          <w:lang w:val="en-US"/>
        </w:rPr>
        <w:t>et</w:t>
      </w:r>
      <w:r w:rsidRPr="00A260DB">
        <w:rPr>
          <w:sz w:val="24"/>
          <w:szCs w:val="24"/>
        </w:rPr>
        <w:t xml:space="preserve"> </w:t>
      </w:r>
      <w:r w:rsidRPr="00A260DB">
        <w:rPr>
          <w:sz w:val="24"/>
          <w:szCs w:val="24"/>
          <w:lang w:val="en-US"/>
        </w:rPr>
        <w:t>al</w:t>
      </w:r>
      <w:r w:rsidRPr="00A260DB">
        <w:rPr>
          <w:sz w:val="24"/>
          <w:szCs w:val="24"/>
        </w:rPr>
        <w:t>., 2017)</w:t>
      </w:r>
      <w:r w:rsidR="0077129E" w:rsidRPr="00A260DB">
        <w:rPr>
          <w:sz w:val="24"/>
          <w:szCs w:val="24"/>
        </w:rPr>
        <w:t>.</w:t>
      </w:r>
    </w:p>
    <w:p w:rsidR="0077129E" w:rsidRPr="00A260DB" w:rsidRDefault="0077129E" w:rsidP="00ED51A7">
      <w:pPr>
        <w:rPr>
          <w:sz w:val="24"/>
          <w:szCs w:val="24"/>
        </w:rPr>
      </w:pPr>
      <w:r w:rsidRPr="00A260DB">
        <w:rPr>
          <w:sz w:val="24"/>
          <w:szCs w:val="24"/>
        </w:rPr>
        <w:t xml:space="preserve">Ο </w:t>
      </w:r>
      <w:r w:rsidRPr="00A260DB">
        <w:rPr>
          <w:sz w:val="24"/>
          <w:szCs w:val="24"/>
          <w:lang w:val="en-US"/>
        </w:rPr>
        <w:t>Hogan</w:t>
      </w:r>
      <w:r w:rsidRPr="00A260DB">
        <w:rPr>
          <w:sz w:val="24"/>
          <w:szCs w:val="24"/>
        </w:rPr>
        <w:t xml:space="preserve"> (2018) αναφέρει ότι η πρώτη αναφορά στον όρο «ευπαθής ηλικιωμένος» (</w:t>
      </w:r>
      <w:r w:rsidRPr="00A260DB">
        <w:rPr>
          <w:sz w:val="24"/>
          <w:szCs w:val="24"/>
          <w:lang w:val="en-US"/>
        </w:rPr>
        <w:t>frail</w:t>
      </w:r>
      <w:r w:rsidRPr="00A260DB">
        <w:rPr>
          <w:sz w:val="24"/>
          <w:szCs w:val="24"/>
        </w:rPr>
        <w:t xml:space="preserve"> </w:t>
      </w:r>
      <w:r w:rsidRPr="00A260DB">
        <w:rPr>
          <w:sz w:val="24"/>
          <w:szCs w:val="24"/>
          <w:lang w:val="en-US"/>
        </w:rPr>
        <w:t>old</w:t>
      </w:r>
      <w:r w:rsidRPr="00A260DB">
        <w:rPr>
          <w:sz w:val="24"/>
          <w:szCs w:val="24"/>
        </w:rPr>
        <w:t>) έγινε το 1990 από την Αμερικανική Γηριατρική Εταιρεία (</w:t>
      </w:r>
      <w:r w:rsidRPr="00A260DB">
        <w:rPr>
          <w:sz w:val="24"/>
          <w:szCs w:val="24"/>
          <w:lang w:val="en-US"/>
        </w:rPr>
        <w:t>Journal</w:t>
      </w:r>
      <w:r w:rsidRPr="00A260DB">
        <w:rPr>
          <w:sz w:val="24"/>
          <w:szCs w:val="24"/>
        </w:rPr>
        <w:t xml:space="preserve"> </w:t>
      </w:r>
      <w:r w:rsidRPr="00A260DB">
        <w:rPr>
          <w:sz w:val="24"/>
          <w:szCs w:val="24"/>
          <w:lang w:val="en-US"/>
        </w:rPr>
        <w:t>of</w:t>
      </w:r>
      <w:r w:rsidRPr="00A260DB">
        <w:rPr>
          <w:sz w:val="24"/>
          <w:szCs w:val="24"/>
        </w:rPr>
        <w:t xml:space="preserve"> </w:t>
      </w:r>
      <w:r w:rsidRPr="00A260DB">
        <w:rPr>
          <w:sz w:val="24"/>
          <w:szCs w:val="24"/>
          <w:lang w:val="en-US"/>
        </w:rPr>
        <w:t>the</w:t>
      </w:r>
      <w:r w:rsidRPr="00A260DB">
        <w:rPr>
          <w:sz w:val="24"/>
          <w:szCs w:val="24"/>
        </w:rPr>
        <w:t xml:space="preserve"> </w:t>
      </w:r>
      <w:r w:rsidRPr="00A260DB">
        <w:rPr>
          <w:sz w:val="24"/>
          <w:szCs w:val="24"/>
          <w:lang w:val="en-US"/>
        </w:rPr>
        <w:t>American</w:t>
      </w:r>
      <w:r w:rsidRPr="00A260DB">
        <w:rPr>
          <w:sz w:val="24"/>
          <w:szCs w:val="24"/>
        </w:rPr>
        <w:t xml:space="preserve"> </w:t>
      </w:r>
      <w:r w:rsidRPr="00A260DB">
        <w:rPr>
          <w:sz w:val="24"/>
          <w:szCs w:val="24"/>
          <w:lang w:val="en-US"/>
        </w:rPr>
        <w:t>Geriatrics</w:t>
      </w:r>
      <w:r w:rsidRPr="00A260DB">
        <w:rPr>
          <w:sz w:val="24"/>
          <w:szCs w:val="24"/>
        </w:rPr>
        <w:t xml:space="preserve"> </w:t>
      </w:r>
      <w:r w:rsidRPr="00A260DB">
        <w:rPr>
          <w:sz w:val="24"/>
          <w:szCs w:val="24"/>
          <w:lang w:val="en-US"/>
        </w:rPr>
        <w:t>Society</w:t>
      </w:r>
      <w:r w:rsidRPr="00A260DB">
        <w:rPr>
          <w:sz w:val="24"/>
          <w:szCs w:val="24"/>
        </w:rPr>
        <w:t xml:space="preserve">). Το 1982 υπήρξαν δημοσιεύσεις που αναφέρουν τον όρο της ευπάθειας. Στα συγκεκριμένα επιστημονικά άρθρα η ευπάθεια είχε ποίκιλλες διαστάσεις όπως η ιατρική, η λειτουργική, η κοινωνική και η ψυχοκοινωνική. </w:t>
      </w:r>
    </w:p>
    <w:p w:rsidR="0077129E" w:rsidRPr="00A260DB" w:rsidRDefault="00F1189D" w:rsidP="00ED51A7">
      <w:pPr>
        <w:rPr>
          <w:sz w:val="24"/>
          <w:szCs w:val="24"/>
        </w:rPr>
      </w:pPr>
      <w:r w:rsidRPr="00A260DB">
        <w:rPr>
          <w:sz w:val="24"/>
          <w:szCs w:val="24"/>
        </w:rPr>
        <w:t>Το 2013 η ευπάθεια ορίστηκε ως «το ιατρικό σύνδρομο με πολλές αιτίες, που χαρακτηρίζει τα άτομα με μειωμένη δύναμη, αντοχή και λειτουργίες</w:t>
      </w:r>
      <w:r w:rsidR="0065160F" w:rsidRPr="00A260DB">
        <w:rPr>
          <w:sz w:val="24"/>
          <w:szCs w:val="24"/>
        </w:rPr>
        <w:t xml:space="preserve"> που κατά συνέπεια οδηγούν σε εξάρτηση ή και θάνατο</w:t>
      </w:r>
      <w:r w:rsidRPr="00A260DB">
        <w:rPr>
          <w:sz w:val="24"/>
          <w:szCs w:val="24"/>
        </w:rPr>
        <w:t>»</w:t>
      </w:r>
      <w:r w:rsidR="0065160F" w:rsidRPr="00A260DB">
        <w:rPr>
          <w:sz w:val="24"/>
          <w:szCs w:val="24"/>
        </w:rPr>
        <w:t>. Ως</w:t>
      </w:r>
      <w:r w:rsidR="0065160F" w:rsidRPr="00A260DB">
        <w:rPr>
          <w:sz w:val="24"/>
          <w:szCs w:val="24"/>
          <w:lang w:val="en-US"/>
        </w:rPr>
        <w:t xml:space="preserve"> </w:t>
      </w:r>
      <w:r w:rsidR="0065160F" w:rsidRPr="00A260DB">
        <w:rPr>
          <w:sz w:val="24"/>
          <w:szCs w:val="24"/>
        </w:rPr>
        <w:t>προς</w:t>
      </w:r>
      <w:r w:rsidR="0065160F" w:rsidRPr="00A260DB">
        <w:rPr>
          <w:sz w:val="24"/>
          <w:szCs w:val="24"/>
          <w:lang w:val="en-US"/>
        </w:rPr>
        <w:t xml:space="preserve"> </w:t>
      </w:r>
      <w:r w:rsidR="0065160F" w:rsidRPr="00A260DB">
        <w:rPr>
          <w:sz w:val="24"/>
          <w:szCs w:val="24"/>
        </w:rPr>
        <w:t>τον</w:t>
      </w:r>
      <w:r w:rsidR="0065160F" w:rsidRPr="00A260DB">
        <w:rPr>
          <w:sz w:val="24"/>
          <w:szCs w:val="24"/>
          <w:lang w:val="en-US"/>
        </w:rPr>
        <w:t xml:space="preserve"> </w:t>
      </w:r>
      <w:r w:rsidR="0065160F" w:rsidRPr="00A260DB">
        <w:rPr>
          <w:sz w:val="24"/>
          <w:szCs w:val="24"/>
        </w:rPr>
        <w:t>ορισμό</w:t>
      </w:r>
      <w:r w:rsidR="0065160F" w:rsidRPr="00A260DB">
        <w:rPr>
          <w:sz w:val="24"/>
          <w:szCs w:val="24"/>
          <w:lang w:val="en-US"/>
        </w:rPr>
        <w:t xml:space="preserve"> </w:t>
      </w:r>
      <w:r w:rsidR="0065160F" w:rsidRPr="00A260DB">
        <w:rPr>
          <w:sz w:val="24"/>
          <w:szCs w:val="24"/>
        </w:rPr>
        <w:t>αυτό</w:t>
      </w:r>
      <w:r w:rsidR="0065160F" w:rsidRPr="00A260DB">
        <w:rPr>
          <w:sz w:val="24"/>
          <w:szCs w:val="24"/>
          <w:lang w:val="en-US"/>
        </w:rPr>
        <w:t xml:space="preserve"> </w:t>
      </w:r>
      <w:r w:rsidR="0065160F" w:rsidRPr="00A260DB">
        <w:rPr>
          <w:sz w:val="24"/>
          <w:szCs w:val="24"/>
        </w:rPr>
        <w:t>οδηγήθηκαν</w:t>
      </w:r>
      <w:r w:rsidR="0065160F" w:rsidRPr="00A260DB">
        <w:rPr>
          <w:sz w:val="24"/>
          <w:szCs w:val="24"/>
          <w:lang w:val="en-US"/>
        </w:rPr>
        <w:t xml:space="preserve"> </w:t>
      </w:r>
      <w:r w:rsidR="0065160F" w:rsidRPr="00A260DB">
        <w:rPr>
          <w:sz w:val="24"/>
          <w:szCs w:val="24"/>
        </w:rPr>
        <w:t>έξι</w:t>
      </w:r>
      <w:r w:rsidR="0065160F" w:rsidRPr="00A260DB">
        <w:rPr>
          <w:sz w:val="24"/>
          <w:szCs w:val="24"/>
          <w:lang w:val="en-US"/>
        </w:rPr>
        <w:t xml:space="preserve"> </w:t>
      </w:r>
      <w:r w:rsidR="0065160F" w:rsidRPr="00A260DB">
        <w:rPr>
          <w:sz w:val="24"/>
          <w:szCs w:val="24"/>
        </w:rPr>
        <w:t>επιστημονικές</w:t>
      </w:r>
      <w:r w:rsidR="0065160F" w:rsidRPr="00A260DB">
        <w:rPr>
          <w:sz w:val="24"/>
          <w:szCs w:val="24"/>
          <w:lang w:val="en-US"/>
        </w:rPr>
        <w:t xml:space="preserve"> </w:t>
      </w:r>
      <w:r w:rsidR="0065160F" w:rsidRPr="00A260DB">
        <w:rPr>
          <w:sz w:val="24"/>
          <w:szCs w:val="24"/>
        </w:rPr>
        <w:t>εταιρείες</w:t>
      </w:r>
      <w:r w:rsidR="0065160F" w:rsidRPr="00A260DB">
        <w:rPr>
          <w:sz w:val="24"/>
          <w:szCs w:val="24"/>
          <w:lang w:val="en-US"/>
        </w:rPr>
        <w:t xml:space="preserve"> (International Association of Gerontology and Geriatrics, Society on Sarcopenia, Cachexia and Wasting Diseases, International Academy of Nutrition and Aging, European Geriatric Medicine Society, American </w:t>
      </w:r>
      <w:r w:rsidR="0065160F" w:rsidRPr="00A260DB">
        <w:rPr>
          <w:sz w:val="24"/>
          <w:szCs w:val="24"/>
          <w:lang w:val="en-US"/>
        </w:rPr>
        <w:lastRenderedPageBreak/>
        <w:t>Medical Directors Association, American Federation for Aging Research)</w:t>
      </w:r>
      <w:r w:rsidR="0009413E" w:rsidRPr="00A260DB">
        <w:rPr>
          <w:sz w:val="24"/>
          <w:szCs w:val="24"/>
          <w:lang w:val="en-US"/>
        </w:rPr>
        <w:t xml:space="preserve"> (Morley et al., 2013</w:t>
      </w:r>
      <w:proofErr w:type="gramStart"/>
      <w:r w:rsidR="0009413E" w:rsidRPr="00A260DB">
        <w:rPr>
          <w:sz w:val="24"/>
          <w:szCs w:val="24"/>
          <w:lang w:val="en-US"/>
        </w:rPr>
        <w:t>) .</w:t>
      </w:r>
      <w:proofErr w:type="gramEnd"/>
      <w:r w:rsidR="0009413E" w:rsidRPr="00A260DB">
        <w:rPr>
          <w:sz w:val="24"/>
          <w:szCs w:val="24"/>
          <w:lang w:val="en-US"/>
        </w:rPr>
        <w:t xml:space="preserve"> </w:t>
      </w:r>
      <w:r w:rsidR="0009413E" w:rsidRPr="00A260DB">
        <w:rPr>
          <w:sz w:val="24"/>
          <w:szCs w:val="24"/>
        </w:rPr>
        <w:t>Ο ανωτέρω ορισμός καθιστά την ευπάθεια μια διεργασία δυναμική που μπορεί να βελτιωθεί ή να επιδεινωθεί με τον χρόνο.</w:t>
      </w:r>
    </w:p>
    <w:p w:rsidR="005A4141" w:rsidRPr="00A260DB" w:rsidRDefault="00333E4C" w:rsidP="00ED51A7">
      <w:pPr>
        <w:rPr>
          <w:sz w:val="24"/>
          <w:szCs w:val="24"/>
        </w:rPr>
      </w:pPr>
      <w:r w:rsidRPr="00A260DB">
        <w:rPr>
          <w:sz w:val="24"/>
          <w:szCs w:val="24"/>
        </w:rPr>
        <w:t>Στην Ιαπωνία, μια χώρα με υψηλό προσδόκιμο ζωής, η ευπάθεια ορίζεται ως την αδυναμία ανάρρωσης από το στρες που προκύπτει με την ηλικία (</w:t>
      </w:r>
      <w:r w:rsidRPr="00A260DB">
        <w:rPr>
          <w:sz w:val="24"/>
          <w:szCs w:val="24"/>
          <w:lang w:val="en-US"/>
        </w:rPr>
        <w:t>Satake</w:t>
      </w:r>
      <w:r w:rsidRPr="00A260DB">
        <w:rPr>
          <w:sz w:val="24"/>
          <w:szCs w:val="24"/>
        </w:rPr>
        <w:t xml:space="preserve"> &amp; </w:t>
      </w:r>
      <w:r w:rsidRPr="00A260DB">
        <w:rPr>
          <w:sz w:val="24"/>
          <w:szCs w:val="24"/>
          <w:lang w:val="en-US"/>
        </w:rPr>
        <w:t>Arai</w:t>
      </w:r>
      <w:r w:rsidRPr="00A260DB">
        <w:rPr>
          <w:sz w:val="24"/>
          <w:szCs w:val="24"/>
        </w:rPr>
        <w:t xml:space="preserve">, 2020). Αντίστοιχα, ο </w:t>
      </w:r>
      <w:r w:rsidRPr="00A260DB">
        <w:rPr>
          <w:sz w:val="24"/>
          <w:szCs w:val="24"/>
          <w:lang w:val="en-US"/>
        </w:rPr>
        <w:t>Van</w:t>
      </w:r>
      <w:r w:rsidRPr="00A260DB">
        <w:rPr>
          <w:sz w:val="24"/>
          <w:szCs w:val="24"/>
        </w:rPr>
        <w:t xml:space="preserve"> </w:t>
      </w:r>
      <w:r w:rsidRPr="00A260DB">
        <w:rPr>
          <w:sz w:val="24"/>
          <w:szCs w:val="24"/>
          <w:lang w:val="en-US"/>
        </w:rPr>
        <w:t>Campen</w:t>
      </w:r>
      <w:r w:rsidRPr="00A260DB">
        <w:rPr>
          <w:sz w:val="24"/>
          <w:szCs w:val="24"/>
        </w:rPr>
        <w:t xml:space="preserve"> (2012) αναφέρει την ευπάθεια ως τα πολλαπλά ελλείμματα στους ηλικιωμένους που </w:t>
      </w:r>
      <w:r w:rsidR="00DE3FF8" w:rsidRPr="00A260DB">
        <w:rPr>
          <w:sz w:val="24"/>
          <w:szCs w:val="24"/>
        </w:rPr>
        <w:t>μειώνουν την λειτουργικότητα τους, οδηγούν σε αναπηρία, ιδρυματοποίηση ή θάνατο</w:t>
      </w:r>
      <w:r w:rsidR="003C4B03" w:rsidRPr="00A260DB">
        <w:rPr>
          <w:sz w:val="24"/>
          <w:szCs w:val="24"/>
        </w:rPr>
        <w:t xml:space="preserve">. </w:t>
      </w:r>
    </w:p>
    <w:p w:rsidR="005E7813" w:rsidRPr="00A260DB" w:rsidRDefault="005E7813" w:rsidP="00ED51A7">
      <w:pPr>
        <w:rPr>
          <w:sz w:val="24"/>
          <w:szCs w:val="24"/>
        </w:rPr>
      </w:pPr>
      <w:r w:rsidRPr="00A260DB">
        <w:rPr>
          <w:sz w:val="24"/>
          <w:szCs w:val="24"/>
        </w:rPr>
        <w:t xml:space="preserve">Το 1998 ο </w:t>
      </w:r>
      <w:r w:rsidRPr="00A260DB">
        <w:rPr>
          <w:sz w:val="24"/>
          <w:szCs w:val="24"/>
          <w:lang w:val="en-US"/>
        </w:rPr>
        <w:t>Strawbridge</w:t>
      </w:r>
      <w:r w:rsidRPr="00A260DB">
        <w:rPr>
          <w:sz w:val="24"/>
          <w:szCs w:val="24"/>
        </w:rPr>
        <w:t xml:space="preserve"> και συν. Αναφέρθηκαν στην ευπάθεια ως ένα σύνδρομο που χαρακτηρίζεται με φυσικά, αισθητηριακά και διατροφικά προβλήματα στο άτομο με κατάληξη στην ευαλωτότητα. Οι </w:t>
      </w:r>
      <w:r w:rsidRPr="00A260DB">
        <w:rPr>
          <w:sz w:val="24"/>
          <w:szCs w:val="24"/>
          <w:lang w:val="en-US"/>
        </w:rPr>
        <w:t>Gobbens</w:t>
      </w:r>
      <w:r w:rsidRPr="00A260DB">
        <w:rPr>
          <w:sz w:val="24"/>
          <w:szCs w:val="24"/>
        </w:rPr>
        <w:t xml:space="preserve"> και συν. (2010,2012) ορίζουν την ευαλωτότητα ως την απώλεια της σωματικής, ψυχολογικής και κοινωνικής λειτουργίας με αποτέλεσμα την αυξημένη επικινδυνότητα για δυσμενείς εκβάσεις στο άτομο. </w:t>
      </w:r>
    </w:p>
    <w:p w:rsidR="005E7813" w:rsidRPr="00A260DB" w:rsidRDefault="005E7813" w:rsidP="00ED51A7">
      <w:pPr>
        <w:rPr>
          <w:sz w:val="24"/>
          <w:szCs w:val="24"/>
        </w:rPr>
      </w:pPr>
      <w:r w:rsidRPr="00A260DB">
        <w:rPr>
          <w:sz w:val="24"/>
          <w:szCs w:val="24"/>
        </w:rPr>
        <w:t xml:space="preserve">Ο </w:t>
      </w:r>
      <w:r w:rsidRPr="00A260DB">
        <w:rPr>
          <w:sz w:val="24"/>
          <w:szCs w:val="24"/>
          <w:lang w:val="en-US"/>
        </w:rPr>
        <w:t>Van</w:t>
      </w:r>
      <w:r w:rsidRPr="00A260DB">
        <w:rPr>
          <w:sz w:val="24"/>
          <w:szCs w:val="24"/>
        </w:rPr>
        <w:t xml:space="preserve"> </w:t>
      </w:r>
      <w:r w:rsidRPr="00A260DB">
        <w:rPr>
          <w:sz w:val="24"/>
          <w:szCs w:val="24"/>
          <w:lang w:val="en-US"/>
        </w:rPr>
        <w:t>Campen</w:t>
      </w:r>
      <w:r w:rsidRPr="00A260DB">
        <w:rPr>
          <w:sz w:val="24"/>
          <w:szCs w:val="24"/>
        </w:rPr>
        <w:t xml:space="preserve"> (2012) αναφέρει πως οι ίδιοι οι ηλικιωμένοι βιώνουν </w:t>
      </w:r>
      <w:r w:rsidR="00EE4D4C" w:rsidRPr="00A260DB">
        <w:rPr>
          <w:sz w:val="24"/>
          <w:szCs w:val="24"/>
        </w:rPr>
        <w:t xml:space="preserve">μεγαλύτερη </w:t>
      </w:r>
      <w:r w:rsidRPr="00A260DB">
        <w:rPr>
          <w:sz w:val="24"/>
          <w:szCs w:val="24"/>
        </w:rPr>
        <w:t>ευπάθεια μετά την απώλεια του συντρόφου τους, των κοινωνικών επαφών αλλά και την εξάρτηση από</w:t>
      </w:r>
      <w:r w:rsidR="00EE4D4C" w:rsidRPr="00A260DB">
        <w:rPr>
          <w:sz w:val="24"/>
          <w:szCs w:val="24"/>
        </w:rPr>
        <w:t xml:space="preserve"> άλλους. Επιπλέον, για εκείνους η ευπάθεια άρα και οι αναπηρίες αυξάνονται με τα χρόνια. </w:t>
      </w:r>
    </w:p>
    <w:p w:rsidR="00C92710" w:rsidRPr="00A260DB" w:rsidRDefault="00AA37F7" w:rsidP="00ED51A7">
      <w:pPr>
        <w:rPr>
          <w:b/>
          <w:sz w:val="24"/>
          <w:szCs w:val="24"/>
        </w:rPr>
      </w:pPr>
      <w:r w:rsidRPr="00A260DB">
        <w:rPr>
          <w:b/>
          <w:sz w:val="24"/>
          <w:szCs w:val="24"/>
        </w:rPr>
        <w:t xml:space="preserve">Μοντέλο του </w:t>
      </w:r>
      <w:r w:rsidR="00AE252F" w:rsidRPr="00A260DB">
        <w:rPr>
          <w:b/>
          <w:sz w:val="24"/>
          <w:szCs w:val="24"/>
        </w:rPr>
        <w:t>φαινοτύπου</w:t>
      </w:r>
      <w:r w:rsidRPr="00A260DB">
        <w:rPr>
          <w:b/>
          <w:sz w:val="24"/>
          <w:szCs w:val="24"/>
        </w:rPr>
        <w:t xml:space="preserve"> ευπάθειας της </w:t>
      </w:r>
      <w:r w:rsidRPr="00A260DB">
        <w:rPr>
          <w:b/>
          <w:sz w:val="24"/>
          <w:szCs w:val="24"/>
          <w:lang w:val="en-US"/>
        </w:rPr>
        <w:t>Fried</w:t>
      </w:r>
    </w:p>
    <w:p w:rsidR="00AE252F" w:rsidRPr="00A260DB" w:rsidRDefault="00AE252F" w:rsidP="00AE252F">
      <w:pPr>
        <w:rPr>
          <w:sz w:val="24"/>
          <w:szCs w:val="24"/>
          <w:lang w:val="en-US"/>
        </w:rPr>
      </w:pPr>
      <w:proofErr w:type="gramStart"/>
      <w:r w:rsidRPr="00A260DB">
        <w:rPr>
          <w:sz w:val="24"/>
          <w:szCs w:val="24"/>
          <w:lang w:val="en-US"/>
        </w:rPr>
        <w:t>H</w:t>
      </w:r>
      <w:r w:rsidRPr="00A260DB">
        <w:rPr>
          <w:sz w:val="24"/>
          <w:szCs w:val="24"/>
        </w:rPr>
        <w:t xml:space="preserve"> </w:t>
      </w:r>
      <w:r w:rsidRPr="00A260DB">
        <w:rPr>
          <w:sz w:val="24"/>
          <w:szCs w:val="24"/>
          <w:lang w:val="en-US"/>
        </w:rPr>
        <w:t>Fried</w:t>
      </w:r>
      <w:r w:rsidRPr="00A260DB">
        <w:rPr>
          <w:sz w:val="24"/>
          <w:szCs w:val="24"/>
        </w:rPr>
        <w:t xml:space="preserve"> και συν.</w:t>
      </w:r>
      <w:proofErr w:type="gramEnd"/>
      <w:r w:rsidRPr="00A260DB">
        <w:rPr>
          <w:sz w:val="24"/>
          <w:szCs w:val="24"/>
        </w:rPr>
        <w:t xml:space="preserve"> (2001) μελέτησαν πέντε βασικές πτυχές της ευπάθειας και δημιούργησαν το Μοντέλο του φαινοτύπου ευπάθειας. Οι μεταβλητές αυτές προήλθαν από μια μεγάλη μελέτη  καρδιαγγειακής υγείας (</w:t>
      </w:r>
      <w:r w:rsidRPr="00A260DB">
        <w:rPr>
          <w:sz w:val="24"/>
          <w:szCs w:val="24"/>
          <w:lang w:val="en-US"/>
        </w:rPr>
        <w:t>Cardiovascular</w:t>
      </w:r>
      <w:r w:rsidRPr="00A260DB">
        <w:rPr>
          <w:sz w:val="24"/>
          <w:szCs w:val="24"/>
        </w:rPr>
        <w:t xml:space="preserve"> </w:t>
      </w:r>
      <w:r w:rsidRPr="00A260DB">
        <w:rPr>
          <w:sz w:val="24"/>
          <w:szCs w:val="24"/>
          <w:lang w:val="en-US"/>
        </w:rPr>
        <w:t>Health</w:t>
      </w:r>
      <w:r w:rsidRPr="00A260DB">
        <w:rPr>
          <w:sz w:val="24"/>
          <w:szCs w:val="24"/>
        </w:rPr>
        <w:t xml:space="preserve"> </w:t>
      </w:r>
      <w:r w:rsidRPr="00A260DB">
        <w:rPr>
          <w:sz w:val="24"/>
          <w:szCs w:val="24"/>
          <w:lang w:val="en-US"/>
        </w:rPr>
        <w:t>Study</w:t>
      </w:r>
      <w:r w:rsidRPr="00A260DB">
        <w:rPr>
          <w:sz w:val="24"/>
          <w:szCs w:val="24"/>
        </w:rPr>
        <w:t>-</w:t>
      </w:r>
      <w:r w:rsidRPr="00A260DB">
        <w:rPr>
          <w:sz w:val="24"/>
          <w:szCs w:val="24"/>
          <w:lang w:val="en-US"/>
        </w:rPr>
        <w:t>CHS</w:t>
      </w:r>
      <w:r w:rsidRPr="00A260DB">
        <w:rPr>
          <w:sz w:val="24"/>
          <w:szCs w:val="24"/>
        </w:rPr>
        <w:t>) με δείγμα 5210 ατόμων άνω των 65 ετών στις ΗΠΑ το διάστημα 1989-90 (</w:t>
      </w:r>
      <w:r w:rsidRPr="00A260DB">
        <w:rPr>
          <w:sz w:val="24"/>
          <w:szCs w:val="24"/>
          <w:lang w:val="en-US"/>
        </w:rPr>
        <w:t>Fried</w:t>
      </w:r>
      <w:r w:rsidRPr="00A260DB">
        <w:rPr>
          <w:sz w:val="24"/>
          <w:szCs w:val="24"/>
        </w:rPr>
        <w:t xml:space="preserve"> </w:t>
      </w:r>
      <w:r w:rsidRPr="00A260DB">
        <w:rPr>
          <w:sz w:val="24"/>
          <w:szCs w:val="24"/>
          <w:lang w:val="en-US"/>
        </w:rPr>
        <w:t>et</w:t>
      </w:r>
      <w:r w:rsidRPr="00A260DB">
        <w:rPr>
          <w:sz w:val="24"/>
          <w:szCs w:val="24"/>
        </w:rPr>
        <w:t xml:space="preserve"> </w:t>
      </w:r>
      <w:r w:rsidRPr="00A260DB">
        <w:rPr>
          <w:sz w:val="24"/>
          <w:szCs w:val="24"/>
          <w:lang w:val="en-US"/>
        </w:rPr>
        <w:t>al</w:t>
      </w:r>
      <w:r w:rsidRPr="00A260DB">
        <w:rPr>
          <w:sz w:val="24"/>
          <w:szCs w:val="24"/>
        </w:rPr>
        <w:t xml:space="preserve">., 2001). Στον συγκεκριμένο φαινότυπο χρησιμοποιήθηκαν τα </w:t>
      </w:r>
      <w:r w:rsidR="00577FF8" w:rsidRPr="00A260DB">
        <w:rPr>
          <w:sz w:val="24"/>
          <w:szCs w:val="24"/>
        </w:rPr>
        <w:t>εξής</w:t>
      </w:r>
      <w:r w:rsidRPr="00A260DB">
        <w:rPr>
          <w:sz w:val="24"/>
          <w:szCs w:val="24"/>
          <w:lang w:val="en-US"/>
        </w:rPr>
        <w:t>:</w:t>
      </w:r>
    </w:p>
    <w:p w:rsidR="00AE252F" w:rsidRPr="00A260DB" w:rsidRDefault="00AE252F" w:rsidP="00AE252F">
      <w:pPr>
        <w:pStyle w:val="ListParagraph"/>
        <w:numPr>
          <w:ilvl w:val="0"/>
          <w:numId w:val="8"/>
        </w:numPr>
        <w:rPr>
          <w:rFonts w:asciiTheme="minorHAnsi" w:hAnsiTheme="minorHAnsi" w:cstheme="minorHAnsi"/>
          <w:sz w:val="24"/>
          <w:szCs w:val="24"/>
        </w:rPr>
      </w:pPr>
      <w:r w:rsidRPr="00A260DB">
        <w:rPr>
          <w:rFonts w:asciiTheme="minorHAnsi" w:hAnsiTheme="minorHAnsi" w:cstheme="minorHAnsi"/>
          <w:i/>
          <w:sz w:val="24"/>
          <w:szCs w:val="24"/>
        </w:rPr>
        <w:t>Ακούσια απώλεια βάρους</w:t>
      </w:r>
      <w:r w:rsidRPr="00A260DB">
        <w:rPr>
          <w:rFonts w:asciiTheme="minorHAnsi" w:hAnsiTheme="minorHAnsi" w:cstheme="minorHAnsi"/>
          <w:sz w:val="24"/>
          <w:szCs w:val="24"/>
        </w:rPr>
        <w:t xml:space="preserve">  &gt;4,5  κιλά ή ≥5% του σωματικού βάρους τον τελευταίο χρόνο</w:t>
      </w:r>
    </w:p>
    <w:p w:rsidR="005B4DFC" w:rsidRPr="00A260DB" w:rsidRDefault="005B4DFC" w:rsidP="00AE252F">
      <w:pPr>
        <w:pStyle w:val="ListParagraph"/>
        <w:numPr>
          <w:ilvl w:val="0"/>
          <w:numId w:val="8"/>
        </w:numPr>
        <w:rPr>
          <w:rFonts w:asciiTheme="minorHAnsi" w:hAnsiTheme="minorHAnsi" w:cstheme="minorHAnsi"/>
          <w:sz w:val="24"/>
          <w:szCs w:val="24"/>
        </w:rPr>
      </w:pPr>
      <w:r w:rsidRPr="00A260DB">
        <w:rPr>
          <w:rFonts w:asciiTheme="minorHAnsi" w:hAnsiTheme="minorHAnsi" w:cstheme="minorHAnsi"/>
          <w:i/>
          <w:sz w:val="24"/>
          <w:szCs w:val="24"/>
        </w:rPr>
        <w:t>Αντοχή</w:t>
      </w:r>
      <w:r w:rsidR="00577FF8" w:rsidRPr="00A260DB">
        <w:rPr>
          <w:rFonts w:asciiTheme="minorHAnsi" w:hAnsiTheme="minorHAnsi" w:cstheme="minorHAnsi"/>
          <w:i/>
          <w:sz w:val="24"/>
          <w:szCs w:val="24"/>
        </w:rPr>
        <w:t>,</w:t>
      </w:r>
      <w:r w:rsidRPr="00A260DB">
        <w:rPr>
          <w:rFonts w:asciiTheme="minorHAnsi" w:hAnsiTheme="minorHAnsi" w:cstheme="minorHAnsi"/>
          <w:sz w:val="24"/>
          <w:szCs w:val="24"/>
        </w:rPr>
        <w:t xml:space="preserve"> κόπωση που αντιλαμβάνεται το ίδιο το άτομο</w:t>
      </w:r>
    </w:p>
    <w:p w:rsidR="005B4DFC" w:rsidRPr="00A260DB" w:rsidRDefault="005B4DFC" w:rsidP="00AE252F">
      <w:pPr>
        <w:pStyle w:val="ListParagraph"/>
        <w:numPr>
          <w:ilvl w:val="0"/>
          <w:numId w:val="8"/>
        </w:numPr>
        <w:rPr>
          <w:rFonts w:asciiTheme="minorHAnsi" w:hAnsiTheme="minorHAnsi" w:cstheme="minorHAnsi"/>
          <w:sz w:val="24"/>
          <w:szCs w:val="24"/>
        </w:rPr>
      </w:pPr>
      <w:r w:rsidRPr="00A260DB">
        <w:rPr>
          <w:rFonts w:asciiTheme="minorHAnsi" w:hAnsiTheme="minorHAnsi" w:cstheme="minorHAnsi"/>
          <w:i/>
          <w:sz w:val="24"/>
          <w:szCs w:val="24"/>
        </w:rPr>
        <w:t>Φυσική δραστηριότητα</w:t>
      </w:r>
      <w:r w:rsidRPr="00A260DB">
        <w:rPr>
          <w:rFonts w:asciiTheme="minorHAnsi" w:hAnsiTheme="minorHAnsi" w:cstheme="minorHAnsi"/>
          <w:sz w:val="24"/>
          <w:szCs w:val="24"/>
        </w:rPr>
        <w:t xml:space="preserve"> με όριο το 383 </w:t>
      </w:r>
      <w:r w:rsidRPr="00A260DB">
        <w:rPr>
          <w:rFonts w:asciiTheme="minorHAnsi" w:hAnsiTheme="minorHAnsi" w:cstheme="minorHAnsi"/>
          <w:sz w:val="24"/>
          <w:szCs w:val="24"/>
          <w:lang w:val="en-US"/>
        </w:rPr>
        <w:t>Kcal</w:t>
      </w:r>
      <w:r w:rsidRPr="00A260DB">
        <w:rPr>
          <w:rFonts w:asciiTheme="minorHAnsi" w:hAnsiTheme="minorHAnsi" w:cstheme="minorHAnsi"/>
          <w:sz w:val="24"/>
          <w:szCs w:val="24"/>
        </w:rPr>
        <w:t xml:space="preserve">/εβδομάδα για τους άνδρες και 270 </w:t>
      </w:r>
      <w:r w:rsidRPr="00A260DB">
        <w:rPr>
          <w:rFonts w:asciiTheme="minorHAnsi" w:hAnsiTheme="minorHAnsi" w:cstheme="minorHAnsi"/>
          <w:sz w:val="24"/>
          <w:szCs w:val="24"/>
          <w:lang w:val="en-US"/>
        </w:rPr>
        <w:t>Kcal</w:t>
      </w:r>
      <w:r w:rsidRPr="00A260DB">
        <w:rPr>
          <w:rFonts w:asciiTheme="minorHAnsi" w:hAnsiTheme="minorHAnsi" w:cstheme="minorHAnsi"/>
          <w:sz w:val="24"/>
          <w:szCs w:val="24"/>
        </w:rPr>
        <w:t>/εβδομάδα για τις γυναίκες</w:t>
      </w:r>
    </w:p>
    <w:p w:rsidR="005B4DFC" w:rsidRPr="00A260DB" w:rsidRDefault="005B4DFC" w:rsidP="00AE252F">
      <w:pPr>
        <w:pStyle w:val="ListParagraph"/>
        <w:numPr>
          <w:ilvl w:val="0"/>
          <w:numId w:val="8"/>
        </w:numPr>
        <w:rPr>
          <w:rFonts w:asciiTheme="minorHAnsi" w:hAnsiTheme="minorHAnsi" w:cstheme="minorHAnsi"/>
          <w:sz w:val="24"/>
          <w:szCs w:val="24"/>
        </w:rPr>
      </w:pPr>
      <w:r w:rsidRPr="00A260DB">
        <w:rPr>
          <w:rFonts w:asciiTheme="minorHAnsi" w:hAnsiTheme="minorHAnsi" w:cstheme="minorHAnsi"/>
          <w:i/>
          <w:sz w:val="24"/>
          <w:szCs w:val="24"/>
        </w:rPr>
        <w:t>Ταχύτητα βάδισης</w:t>
      </w:r>
      <w:r w:rsidRPr="00A260DB">
        <w:rPr>
          <w:rFonts w:asciiTheme="minorHAnsi" w:hAnsiTheme="minorHAnsi" w:cstheme="minorHAnsi"/>
          <w:sz w:val="24"/>
          <w:szCs w:val="24"/>
        </w:rPr>
        <w:t xml:space="preserve"> σε απόσταση 4 μέτρων ανάλογα με το φύλο και το ύψος του ατόμου</w:t>
      </w:r>
    </w:p>
    <w:p w:rsidR="005B4DFC" w:rsidRPr="00A260DB" w:rsidRDefault="005B4DFC" w:rsidP="00AE252F">
      <w:pPr>
        <w:pStyle w:val="ListParagraph"/>
        <w:numPr>
          <w:ilvl w:val="0"/>
          <w:numId w:val="8"/>
        </w:numPr>
        <w:rPr>
          <w:rFonts w:asciiTheme="minorHAnsi" w:hAnsiTheme="minorHAnsi" w:cstheme="minorHAnsi"/>
          <w:sz w:val="24"/>
          <w:szCs w:val="24"/>
        </w:rPr>
      </w:pPr>
      <w:r w:rsidRPr="00A260DB">
        <w:rPr>
          <w:rFonts w:asciiTheme="minorHAnsi" w:hAnsiTheme="minorHAnsi" w:cstheme="minorHAnsi"/>
          <w:i/>
          <w:sz w:val="24"/>
          <w:szCs w:val="24"/>
        </w:rPr>
        <w:t>Αδυναμία</w:t>
      </w:r>
      <w:r w:rsidRPr="00A260DB">
        <w:rPr>
          <w:rFonts w:asciiTheme="minorHAnsi" w:hAnsiTheme="minorHAnsi" w:cstheme="minorHAnsi"/>
          <w:sz w:val="24"/>
          <w:szCs w:val="24"/>
        </w:rPr>
        <w:t xml:space="preserve"> μέσω της μέτρησης της δύναμης δραγμού με την χρήση δυναμόμετρου ανάλογα με το φύλο και τον Δείκτη Μάζας Σώματος. </w:t>
      </w:r>
    </w:p>
    <w:p w:rsidR="00AA37F7" w:rsidRPr="00A260DB" w:rsidRDefault="00577FF8" w:rsidP="00AA37F7">
      <w:pPr>
        <w:rPr>
          <w:rFonts w:cstheme="minorHAnsi"/>
          <w:sz w:val="24"/>
          <w:szCs w:val="24"/>
        </w:rPr>
      </w:pPr>
      <w:r w:rsidRPr="00A260DB">
        <w:rPr>
          <w:rFonts w:cstheme="minorHAnsi"/>
          <w:sz w:val="24"/>
          <w:szCs w:val="24"/>
        </w:rPr>
        <w:t xml:space="preserve">Η Βαθμολογία της κλίμακας γίνεται με τον σύνολο των παραγόντων που εμφανίζει το άτομο και συγκεκριμένα </w:t>
      </w:r>
      <w:r w:rsidR="00A4518F" w:rsidRPr="00A260DB">
        <w:rPr>
          <w:rFonts w:cstheme="minorHAnsi"/>
          <w:sz w:val="24"/>
          <w:szCs w:val="24"/>
        </w:rPr>
        <w:t xml:space="preserve">με 0 παράγοντες το άτομο θεωρείται εύρωστο, με 1-2 παράγοντες παρουσιάζει κάποια προ-ευπάθεια και με 3-5 παράγοντες το άτομο θωρείται ευπαθές. Με βάση αυτό,  </w:t>
      </w:r>
      <w:r w:rsidR="001536B1" w:rsidRPr="00A260DB">
        <w:rPr>
          <w:rFonts w:cstheme="minorHAnsi"/>
          <w:sz w:val="24"/>
          <w:szCs w:val="24"/>
        </w:rPr>
        <w:t xml:space="preserve">η ευπάθεια αποτελεί ένα σύνδρομο όπου το άτομο έχει μειωμένες εφεδρείες στο στρες σε πολλά συστήματα και κατ’ επέκταση </w:t>
      </w:r>
      <w:r w:rsidR="001536B1" w:rsidRPr="00A260DB">
        <w:rPr>
          <w:rFonts w:cstheme="minorHAnsi"/>
          <w:sz w:val="24"/>
          <w:szCs w:val="24"/>
        </w:rPr>
        <w:lastRenderedPageBreak/>
        <w:t xml:space="preserve">οδηγείται σε δυσμενή αποτελέσματα. </w:t>
      </w:r>
      <w:r w:rsidR="00A67413" w:rsidRPr="00A260DB">
        <w:rPr>
          <w:rFonts w:cstheme="minorHAnsi"/>
          <w:sz w:val="24"/>
          <w:szCs w:val="24"/>
        </w:rPr>
        <w:t>Με αυτό το μοντέλο δίδεται η δυνατότητα η ευπάθεια να μετρηθεί (</w:t>
      </w:r>
      <w:r w:rsidR="00A67413" w:rsidRPr="00A260DB">
        <w:rPr>
          <w:rFonts w:cstheme="minorHAnsi"/>
          <w:sz w:val="24"/>
          <w:szCs w:val="24"/>
          <w:lang w:val="en-US"/>
        </w:rPr>
        <w:t>van</w:t>
      </w:r>
      <w:r w:rsidR="00A67413" w:rsidRPr="00A260DB">
        <w:rPr>
          <w:rFonts w:cstheme="minorHAnsi"/>
          <w:sz w:val="24"/>
          <w:szCs w:val="24"/>
        </w:rPr>
        <w:t xml:space="preserve"> </w:t>
      </w:r>
      <w:r w:rsidR="00A67413" w:rsidRPr="00A260DB">
        <w:rPr>
          <w:rFonts w:cstheme="minorHAnsi"/>
          <w:sz w:val="24"/>
          <w:szCs w:val="24"/>
          <w:lang w:val="en-US"/>
        </w:rPr>
        <w:t>Campen</w:t>
      </w:r>
      <w:r w:rsidR="00A67413" w:rsidRPr="00A260DB">
        <w:rPr>
          <w:rFonts w:cstheme="minorHAnsi"/>
          <w:sz w:val="24"/>
          <w:szCs w:val="24"/>
        </w:rPr>
        <w:t>, 2012).</w:t>
      </w:r>
      <w:r w:rsidR="001536B1" w:rsidRPr="00A260DB">
        <w:rPr>
          <w:rFonts w:cstheme="minorHAnsi"/>
          <w:sz w:val="24"/>
          <w:szCs w:val="24"/>
        </w:rPr>
        <w:t xml:space="preserve"> </w:t>
      </w:r>
    </w:p>
    <w:p w:rsidR="009776EC" w:rsidRPr="00A260DB" w:rsidRDefault="009776EC" w:rsidP="00AA37F7">
      <w:pPr>
        <w:rPr>
          <w:rFonts w:cstheme="minorHAnsi"/>
          <w:sz w:val="24"/>
          <w:szCs w:val="24"/>
        </w:rPr>
      </w:pPr>
    </w:p>
    <w:p w:rsidR="00AA37F7" w:rsidRPr="00A260DB" w:rsidRDefault="00AA37F7" w:rsidP="00AA37F7">
      <w:pPr>
        <w:rPr>
          <w:b/>
          <w:sz w:val="24"/>
          <w:szCs w:val="24"/>
        </w:rPr>
      </w:pPr>
      <w:r w:rsidRPr="00A260DB">
        <w:rPr>
          <w:b/>
          <w:sz w:val="24"/>
          <w:szCs w:val="24"/>
        </w:rPr>
        <w:t xml:space="preserve">Μοντέλο σωρευτικού ελλείμματος των </w:t>
      </w:r>
      <w:r w:rsidRPr="00A260DB">
        <w:rPr>
          <w:b/>
          <w:sz w:val="24"/>
          <w:szCs w:val="24"/>
          <w:lang w:val="en-US"/>
        </w:rPr>
        <w:t>Mitniski</w:t>
      </w:r>
      <w:r w:rsidRPr="00A260DB">
        <w:rPr>
          <w:b/>
          <w:sz w:val="24"/>
          <w:szCs w:val="24"/>
        </w:rPr>
        <w:t xml:space="preserve"> και </w:t>
      </w:r>
      <w:r w:rsidRPr="00A260DB">
        <w:rPr>
          <w:b/>
          <w:sz w:val="24"/>
          <w:szCs w:val="24"/>
          <w:lang w:val="en-US"/>
        </w:rPr>
        <w:t>Rockwood</w:t>
      </w:r>
    </w:p>
    <w:p w:rsidR="00536D2B" w:rsidRPr="00A260DB" w:rsidRDefault="009776EC" w:rsidP="009776EC">
      <w:pPr>
        <w:rPr>
          <w:sz w:val="24"/>
          <w:szCs w:val="24"/>
        </w:rPr>
      </w:pPr>
      <w:r w:rsidRPr="00A260DB">
        <w:rPr>
          <w:sz w:val="24"/>
          <w:szCs w:val="24"/>
        </w:rPr>
        <w:t xml:space="preserve">Οι </w:t>
      </w:r>
      <w:r w:rsidRPr="00A260DB">
        <w:rPr>
          <w:sz w:val="24"/>
          <w:szCs w:val="24"/>
          <w:lang w:val="en-US"/>
        </w:rPr>
        <w:t>Mitniski</w:t>
      </w:r>
      <w:r w:rsidRPr="00A260DB">
        <w:rPr>
          <w:sz w:val="24"/>
          <w:szCs w:val="24"/>
        </w:rPr>
        <w:t xml:space="preserve"> και </w:t>
      </w:r>
      <w:r w:rsidRPr="00A260DB">
        <w:rPr>
          <w:sz w:val="24"/>
          <w:szCs w:val="24"/>
          <w:lang w:val="en-US"/>
        </w:rPr>
        <w:t>Rockwood</w:t>
      </w:r>
      <w:r w:rsidRPr="00A260DB">
        <w:rPr>
          <w:sz w:val="24"/>
          <w:szCs w:val="24"/>
        </w:rPr>
        <w:t xml:space="preserve"> </w:t>
      </w:r>
      <w:r w:rsidR="0007429B" w:rsidRPr="00A260DB">
        <w:rPr>
          <w:sz w:val="24"/>
          <w:szCs w:val="24"/>
        </w:rPr>
        <w:t xml:space="preserve">επίσης </w:t>
      </w:r>
      <w:r w:rsidRPr="00A260DB">
        <w:rPr>
          <w:sz w:val="24"/>
          <w:szCs w:val="24"/>
        </w:rPr>
        <w:t>το 2001 δημοσίευσαν το μοντέλο του σωρευτικού ελλείμματος της ευπάθειας το οποίο συμπεριλάμβανε την σωματική ευπάθεια αλλά και ψυχοκοινωνικούς παράγοντες. Το μοντέλο αυτό δημιουργήθηκε στα πλαίσια μιας π</w:t>
      </w:r>
      <w:r w:rsidR="004E7B5B" w:rsidRPr="00A260DB">
        <w:rPr>
          <w:sz w:val="24"/>
          <w:szCs w:val="24"/>
        </w:rPr>
        <w:t>ενταετούς προοπτικής μελέτης κοό</w:t>
      </w:r>
      <w:r w:rsidRPr="00A260DB">
        <w:rPr>
          <w:sz w:val="24"/>
          <w:szCs w:val="24"/>
        </w:rPr>
        <w:t xml:space="preserve">ρτης από </w:t>
      </w:r>
      <w:r w:rsidR="004E7B5B" w:rsidRPr="00A260DB">
        <w:rPr>
          <w:sz w:val="24"/>
          <w:szCs w:val="24"/>
        </w:rPr>
        <w:t>την Καναδική Μελέτη Υγείας και Γήρανσης με 10.263 άτομα μεγάλης ηλικίας στον Καναδά. Για τον υπολογισμό της ευπάθειας χρησιμοποιήθηκαν 92 στοιχεία όπως η καταθλιπτική διάθεση, ο τρόμος, η ύπαρξη ασθένειας</w:t>
      </w:r>
      <w:r w:rsidR="00C23E5D" w:rsidRPr="00A260DB">
        <w:rPr>
          <w:sz w:val="24"/>
          <w:szCs w:val="24"/>
        </w:rPr>
        <w:t>, οι παθολογικές τιμές κτλ. Έτσι, προκύπτει ο δείκτης ευπάθειας (</w:t>
      </w:r>
      <w:r w:rsidR="00C23E5D" w:rsidRPr="00A260DB">
        <w:rPr>
          <w:sz w:val="24"/>
          <w:szCs w:val="24"/>
          <w:lang w:val="en-US"/>
        </w:rPr>
        <w:t>Frailty</w:t>
      </w:r>
      <w:r w:rsidR="00C23E5D" w:rsidRPr="00A260DB">
        <w:rPr>
          <w:sz w:val="24"/>
          <w:szCs w:val="24"/>
        </w:rPr>
        <w:t xml:space="preserve"> </w:t>
      </w:r>
      <w:r w:rsidR="00C23E5D" w:rsidRPr="00A260DB">
        <w:rPr>
          <w:sz w:val="24"/>
          <w:szCs w:val="24"/>
          <w:lang w:val="en-US"/>
        </w:rPr>
        <w:t>Index</w:t>
      </w:r>
      <w:r w:rsidR="00C23E5D" w:rsidRPr="00A260DB">
        <w:rPr>
          <w:sz w:val="24"/>
          <w:szCs w:val="24"/>
        </w:rPr>
        <w:t>-</w:t>
      </w:r>
      <w:r w:rsidR="00C23E5D" w:rsidRPr="00A260DB">
        <w:rPr>
          <w:sz w:val="24"/>
          <w:szCs w:val="24"/>
          <w:lang w:val="en-US"/>
        </w:rPr>
        <w:t>FI</w:t>
      </w:r>
      <w:r w:rsidR="00C23E5D" w:rsidRPr="00A260DB">
        <w:rPr>
          <w:sz w:val="24"/>
          <w:szCs w:val="24"/>
        </w:rPr>
        <w:t>) που όσο πιο υψηλός είναι τόσο μεγαλύτερη ευπάθεια υπάρχει (</w:t>
      </w:r>
      <w:r w:rsidR="00C23E5D" w:rsidRPr="00A260DB">
        <w:rPr>
          <w:sz w:val="24"/>
          <w:szCs w:val="24"/>
          <w:lang w:val="en-US"/>
        </w:rPr>
        <w:t>Won</w:t>
      </w:r>
      <w:r w:rsidR="00C23E5D" w:rsidRPr="00A260DB">
        <w:rPr>
          <w:sz w:val="24"/>
          <w:szCs w:val="24"/>
        </w:rPr>
        <w:t>, 2020). Η μεταβλητές για να είναι ελλειμματικές πρέπει να είναι επίκτητες, να προκύπτουν με την ηλικία, να έχουν συνέπειες και να μην αφορούν μεγάλο ποσοστό των ατόμων μεγάλης ηλικίας που να πλησιάζει το 100% (π.χ. νυχτουρία)</w:t>
      </w:r>
      <w:r w:rsidR="00DD4ABB" w:rsidRPr="00A260DB">
        <w:rPr>
          <w:sz w:val="24"/>
          <w:szCs w:val="24"/>
        </w:rPr>
        <w:t>(</w:t>
      </w:r>
      <w:r w:rsidR="00DD4ABB" w:rsidRPr="00A260DB">
        <w:rPr>
          <w:sz w:val="24"/>
          <w:szCs w:val="24"/>
          <w:lang w:val="en-US"/>
        </w:rPr>
        <w:t>Chen</w:t>
      </w:r>
      <w:r w:rsidR="00DD4ABB" w:rsidRPr="00A260DB">
        <w:rPr>
          <w:sz w:val="24"/>
          <w:szCs w:val="24"/>
        </w:rPr>
        <w:t xml:space="preserve"> </w:t>
      </w:r>
      <w:r w:rsidR="00DD4ABB" w:rsidRPr="00A260DB">
        <w:rPr>
          <w:sz w:val="24"/>
          <w:szCs w:val="24"/>
          <w:lang w:val="en-US"/>
        </w:rPr>
        <w:t>et</w:t>
      </w:r>
      <w:r w:rsidR="00DD4ABB" w:rsidRPr="00A260DB">
        <w:rPr>
          <w:sz w:val="24"/>
          <w:szCs w:val="24"/>
        </w:rPr>
        <w:t xml:space="preserve"> </w:t>
      </w:r>
      <w:r w:rsidR="00DD4ABB" w:rsidRPr="00A260DB">
        <w:rPr>
          <w:sz w:val="24"/>
          <w:szCs w:val="24"/>
          <w:lang w:val="en-US"/>
        </w:rPr>
        <w:t>al</w:t>
      </w:r>
      <w:r w:rsidR="00DD4ABB" w:rsidRPr="00A260DB">
        <w:rPr>
          <w:sz w:val="24"/>
          <w:szCs w:val="24"/>
        </w:rPr>
        <w:t xml:space="preserve">., 2014). Στο συγκεκριμένο μοντέλο καθοριστικός είναι ο αριθμός των ελλειμμάτων καθώς συνδέεται με το </w:t>
      </w:r>
      <w:r w:rsidR="00DD4ABB" w:rsidRPr="00A260DB">
        <w:rPr>
          <w:sz w:val="24"/>
          <w:szCs w:val="24"/>
          <w:lang w:val="en-US"/>
        </w:rPr>
        <w:t>FI</w:t>
      </w:r>
      <w:r w:rsidR="00DD4ABB" w:rsidRPr="00A260DB">
        <w:rPr>
          <w:sz w:val="24"/>
          <w:szCs w:val="24"/>
        </w:rPr>
        <w:t xml:space="preserve"> και δυσμενείς συνέπειες για το άτομο. Σε νεότερες εκδόσεις του μοντέλου σωρευτικού ελλείμματος οι μεταβλητές έχουν μειωθεί σε 30 (</w:t>
      </w:r>
      <w:r w:rsidR="00DD4ABB" w:rsidRPr="00A260DB">
        <w:rPr>
          <w:sz w:val="24"/>
          <w:szCs w:val="24"/>
          <w:lang w:val="en-US"/>
        </w:rPr>
        <w:t>Clegg</w:t>
      </w:r>
      <w:r w:rsidR="00DD4ABB" w:rsidRPr="00A260DB">
        <w:rPr>
          <w:sz w:val="24"/>
          <w:szCs w:val="24"/>
        </w:rPr>
        <w:t xml:space="preserve"> </w:t>
      </w:r>
      <w:r w:rsidR="00DD4ABB" w:rsidRPr="00A260DB">
        <w:rPr>
          <w:sz w:val="24"/>
          <w:szCs w:val="24"/>
          <w:lang w:val="en-US"/>
        </w:rPr>
        <w:t>e</w:t>
      </w:r>
      <w:r w:rsidR="00DD4ABB" w:rsidRPr="00A260DB">
        <w:rPr>
          <w:sz w:val="24"/>
          <w:szCs w:val="24"/>
        </w:rPr>
        <w:t xml:space="preserve"> </w:t>
      </w:r>
      <w:r w:rsidR="00DD4ABB" w:rsidRPr="00A260DB">
        <w:rPr>
          <w:sz w:val="24"/>
          <w:szCs w:val="24"/>
          <w:lang w:val="en-US"/>
        </w:rPr>
        <w:t>al</w:t>
      </w:r>
      <w:r w:rsidR="00DD4ABB" w:rsidRPr="00A260DB">
        <w:rPr>
          <w:sz w:val="24"/>
          <w:szCs w:val="24"/>
        </w:rPr>
        <w:t xml:space="preserve">., 2013). </w:t>
      </w:r>
    </w:p>
    <w:p w:rsidR="00DD4ABB" w:rsidRPr="00A260DB" w:rsidRDefault="00145255" w:rsidP="009776EC">
      <w:pPr>
        <w:rPr>
          <w:sz w:val="24"/>
          <w:szCs w:val="24"/>
        </w:rPr>
      </w:pPr>
      <w:r w:rsidRPr="00A260DB">
        <w:rPr>
          <w:sz w:val="24"/>
          <w:szCs w:val="24"/>
        </w:rPr>
        <w:t>Παρά την μη ύπαρξη συγκεκριμένου ορισμού για την ευπάθεια υπάρχει συμφωνία στους ειδικούς ότι η ευπάθεια αποτελεί συχνό και κλινικό σύνδρομο. Επιπλέον, η ευπάθεια κάνει τα άτομα ευάλωτα στο στρες και μειώνει την ανταπόκριση σε αυτό με δυσμενείς συνέπειες για την υγεία. Υπάρχει δυνατότητα μείωσης των αποτελεσμάτων αυτών με εξειδικευμένες παρεμβάσεις και αποτελεί πολύτιμο εργαλείο για την πρωτοβάθμια φροντίδα υγείας (</w:t>
      </w:r>
      <w:r w:rsidRPr="00A260DB">
        <w:rPr>
          <w:sz w:val="24"/>
          <w:szCs w:val="24"/>
          <w:lang w:val="en-US"/>
        </w:rPr>
        <w:t>Chen</w:t>
      </w:r>
      <w:r w:rsidRPr="00A260DB">
        <w:rPr>
          <w:sz w:val="24"/>
          <w:szCs w:val="24"/>
        </w:rPr>
        <w:t xml:space="preserve"> </w:t>
      </w:r>
      <w:r w:rsidRPr="00A260DB">
        <w:rPr>
          <w:sz w:val="24"/>
          <w:szCs w:val="24"/>
          <w:lang w:val="en-US"/>
        </w:rPr>
        <w:t>et</w:t>
      </w:r>
      <w:r w:rsidRPr="00A260DB">
        <w:rPr>
          <w:sz w:val="24"/>
          <w:szCs w:val="24"/>
        </w:rPr>
        <w:t xml:space="preserve"> </w:t>
      </w:r>
      <w:r w:rsidRPr="00A260DB">
        <w:rPr>
          <w:sz w:val="24"/>
          <w:szCs w:val="24"/>
          <w:lang w:val="en-US"/>
        </w:rPr>
        <w:t>al</w:t>
      </w:r>
      <w:r w:rsidRPr="00A260DB">
        <w:rPr>
          <w:sz w:val="24"/>
          <w:szCs w:val="24"/>
        </w:rPr>
        <w:t>., 2014).</w:t>
      </w:r>
    </w:p>
    <w:p w:rsidR="00871DD4" w:rsidRPr="00A260DB" w:rsidRDefault="00145255" w:rsidP="00145255">
      <w:pPr>
        <w:rPr>
          <w:sz w:val="24"/>
          <w:szCs w:val="24"/>
        </w:rPr>
      </w:pPr>
      <w:r w:rsidRPr="00A260DB">
        <w:rPr>
          <w:sz w:val="24"/>
          <w:szCs w:val="24"/>
        </w:rPr>
        <w:t>Η ευπάθεια έχει δυναμικό χαρακτήρα</w:t>
      </w:r>
      <w:r w:rsidR="00280BD4" w:rsidRPr="00A260DB">
        <w:rPr>
          <w:sz w:val="24"/>
          <w:szCs w:val="24"/>
        </w:rPr>
        <w:t xml:space="preserve"> και δεν αφορά μόνο άτομα μεγάλης ηλικίας αν και υπάρχει σαφής συσχέτιση με την ηλικία και να είναι προοδευτική, ειδικά σε άτομα που βρίσκονται σε στάδιο προ-ευπάθειας και δεν δέχονται παρέμβαση. Σε μελέτη 754 ατόμων άνω των 70 ετών, το 58% εμφάνισαν μεγαλύτερο βαθμό ευπάθειας σε 4,5 έτη (</w:t>
      </w:r>
      <w:r w:rsidR="00280BD4" w:rsidRPr="00A260DB">
        <w:rPr>
          <w:sz w:val="24"/>
          <w:szCs w:val="24"/>
          <w:lang w:val="en-US"/>
        </w:rPr>
        <w:t>Gill</w:t>
      </w:r>
      <w:r w:rsidR="00280BD4" w:rsidRPr="00A260DB">
        <w:rPr>
          <w:sz w:val="24"/>
          <w:szCs w:val="24"/>
        </w:rPr>
        <w:t xml:space="preserve"> </w:t>
      </w:r>
      <w:r w:rsidR="00280BD4" w:rsidRPr="00A260DB">
        <w:rPr>
          <w:sz w:val="24"/>
          <w:szCs w:val="24"/>
          <w:lang w:val="en-US"/>
        </w:rPr>
        <w:t>et</w:t>
      </w:r>
      <w:r w:rsidR="00280BD4" w:rsidRPr="00A260DB">
        <w:rPr>
          <w:sz w:val="24"/>
          <w:szCs w:val="24"/>
        </w:rPr>
        <w:t xml:space="preserve"> </w:t>
      </w:r>
      <w:r w:rsidR="00280BD4" w:rsidRPr="00A260DB">
        <w:rPr>
          <w:sz w:val="24"/>
          <w:szCs w:val="24"/>
          <w:lang w:val="en-US"/>
        </w:rPr>
        <w:t>al</w:t>
      </w:r>
      <w:r w:rsidR="00280BD4" w:rsidRPr="00A260DB">
        <w:rPr>
          <w:sz w:val="24"/>
          <w:szCs w:val="24"/>
        </w:rPr>
        <w:t xml:space="preserve">., 2006). </w:t>
      </w:r>
    </w:p>
    <w:p w:rsidR="002B32B6" w:rsidRPr="00A260DB" w:rsidRDefault="009A2AF3" w:rsidP="00145255">
      <w:pPr>
        <w:rPr>
          <w:sz w:val="24"/>
          <w:szCs w:val="24"/>
        </w:rPr>
      </w:pPr>
      <w:r w:rsidRPr="00A260DB">
        <w:rPr>
          <w:sz w:val="24"/>
          <w:szCs w:val="24"/>
        </w:rPr>
        <w:t xml:space="preserve">Το 2013 παρουσιάστηκε η </w:t>
      </w:r>
      <w:r w:rsidRPr="00A260DB">
        <w:rPr>
          <w:b/>
          <w:sz w:val="24"/>
          <w:szCs w:val="24"/>
        </w:rPr>
        <w:t>γνωστική ευπάθεια</w:t>
      </w:r>
      <w:r w:rsidRPr="00A260DB">
        <w:rPr>
          <w:sz w:val="24"/>
          <w:szCs w:val="24"/>
        </w:rPr>
        <w:t xml:space="preserve"> (</w:t>
      </w:r>
      <w:r w:rsidRPr="00A260DB">
        <w:rPr>
          <w:sz w:val="24"/>
          <w:szCs w:val="24"/>
          <w:lang w:val="en-US"/>
        </w:rPr>
        <w:t>Cognitive</w:t>
      </w:r>
      <w:r w:rsidRPr="00A260DB">
        <w:rPr>
          <w:sz w:val="24"/>
          <w:szCs w:val="24"/>
        </w:rPr>
        <w:t xml:space="preserve"> </w:t>
      </w:r>
      <w:r w:rsidRPr="00A260DB">
        <w:rPr>
          <w:sz w:val="24"/>
          <w:szCs w:val="24"/>
          <w:lang w:val="en-US"/>
        </w:rPr>
        <w:t>Frailty</w:t>
      </w:r>
      <w:r w:rsidRPr="00A260DB">
        <w:rPr>
          <w:sz w:val="24"/>
          <w:szCs w:val="24"/>
        </w:rPr>
        <w:t xml:space="preserve">) στην βιβλιογραφία. Η γνωστική ευπάθεια αναφέρεται στην ταυτόχρονη παρουσία σωματικής και γνωστικής εξασθένησης. Τα άτομα με γνωστική ευπάθεια έχουν μειωμένα γνωστικά αποθέματα όμως έχουν την δυνατότητα με παρεμβάσεις να αναστρέψουν την ευπάθεια τους. Η γνωστική ευπάθεια δεν σχετίζεται με άνοιες ή άνοια στην νόσο Αλτσχάιμερ, λόγω της νευροεκφυλιστικής φυσιολογίας τους. </w:t>
      </w:r>
    </w:p>
    <w:p w:rsidR="00871DD4" w:rsidRPr="00A260DB" w:rsidRDefault="00A4490E" w:rsidP="00A4490E">
      <w:pPr>
        <w:rPr>
          <w:sz w:val="24"/>
          <w:szCs w:val="24"/>
        </w:rPr>
      </w:pPr>
      <w:r w:rsidRPr="00A260DB">
        <w:rPr>
          <w:sz w:val="24"/>
          <w:szCs w:val="24"/>
        </w:rPr>
        <w:lastRenderedPageBreak/>
        <w:t>Στην Κοινότητα η γνωστική ευπάθεια εμφανίζεται σε ποσοστό 1-1,8% και έχει σχετιστεί με μεγαλύτερα ποσοστά αναπηρίας, κακή ποιότητα ζωής και μεγαλύτερα ποσοστά θνησιμότητας</w:t>
      </w:r>
      <w:r w:rsidR="00DC3D95" w:rsidRPr="00A260DB">
        <w:rPr>
          <w:sz w:val="24"/>
          <w:szCs w:val="24"/>
        </w:rPr>
        <w:t xml:space="preserve"> (Kelaiditi et al., 2013; Sugimoto et al., 2018)</w:t>
      </w:r>
      <w:r w:rsidRPr="00A260DB">
        <w:rPr>
          <w:sz w:val="24"/>
          <w:szCs w:val="24"/>
        </w:rPr>
        <w:t>.</w:t>
      </w:r>
      <w:r w:rsidR="00434D84" w:rsidRPr="00A260DB">
        <w:rPr>
          <w:sz w:val="24"/>
          <w:szCs w:val="24"/>
        </w:rPr>
        <w:t xml:space="preserve"> </w:t>
      </w:r>
    </w:p>
    <w:p w:rsidR="00434D84" w:rsidRDefault="00434D84" w:rsidP="00A4490E"/>
    <w:p w:rsidR="00434D84" w:rsidRPr="00656B22" w:rsidRDefault="00434D84" w:rsidP="00A4490E">
      <w:pPr>
        <w:rPr>
          <w:b/>
          <w:sz w:val="28"/>
          <w:szCs w:val="28"/>
        </w:rPr>
      </w:pPr>
      <w:r w:rsidRPr="00656B22">
        <w:rPr>
          <w:b/>
          <w:sz w:val="28"/>
          <w:szCs w:val="28"/>
        </w:rPr>
        <w:t xml:space="preserve">2.1 Επιπολασμός </w:t>
      </w:r>
      <w:r w:rsidR="00052385">
        <w:rPr>
          <w:b/>
          <w:sz w:val="28"/>
          <w:szCs w:val="28"/>
        </w:rPr>
        <w:t xml:space="preserve">της </w:t>
      </w:r>
      <w:r w:rsidRPr="00656B22">
        <w:rPr>
          <w:b/>
          <w:sz w:val="28"/>
          <w:szCs w:val="28"/>
        </w:rPr>
        <w:t>Ευπάθειας</w:t>
      </w:r>
    </w:p>
    <w:p w:rsidR="00434D84" w:rsidRPr="00A260DB" w:rsidRDefault="00492C54" w:rsidP="00E25740">
      <w:pPr>
        <w:rPr>
          <w:sz w:val="24"/>
          <w:szCs w:val="24"/>
        </w:rPr>
      </w:pPr>
      <w:r w:rsidRPr="00A260DB">
        <w:rPr>
          <w:sz w:val="24"/>
          <w:szCs w:val="24"/>
        </w:rPr>
        <w:t xml:space="preserve">Τα άτομα άνω των 60 ετών που εμφανίζουν ευπάθεια παγκοσμίως είναι περίπου 2-8 ανά 100 άτομα ενώ ανά 20ετία ο αριθμός αυτών φαίνεται να διπλασιάζεται. Ο ολοένα αυξανόμενος αριθμός ατόμων μεγάλης ηλικίας που προβλέπεται να εμφανίσουν ευπάθεια το 2050 αγγίζει τα 115,4 εκατομμύρια. Η ευπάθεια αποτελεί σε ποσοστό 27,9% την πιο συνηθισμένη αιτία θνησιμότητας. Ακολουθεί η ανεπάρκεια οργάνων με 21,4%, ο καρκίνος με 19,3%, η άνοια με 13,8% και άλλες αιτίες με 14,9% ((Clegg et al., 2013; Vairaktarakis et al., 2015). </w:t>
      </w:r>
    </w:p>
    <w:p w:rsidR="004D3F3B" w:rsidRPr="00A260DB" w:rsidRDefault="004A5678" w:rsidP="00E25740">
      <w:pPr>
        <w:rPr>
          <w:sz w:val="24"/>
          <w:szCs w:val="24"/>
        </w:rPr>
      </w:pPr>
      <w:r w:rsidRPr="00A260DB">
        <w:rPr>
          <w:sz w:val="24"/>
          <w:szCs w:val="24"/>
        </w:rPr>
        <w:t xml:space="preserve">Ο αριθμός ατόμων με ευπάθεια ή προ-ευπάθεια διαφέρει στις διάφορες μελέτες λόγω του διαφορετικού τρόπου που αξιολογείται και μετράτε από τους ερευνητές, στο τι ορίζουν ευπάθεια, στα δημογραφικά στοιχεία του πληθυσμού, στην χώρα αλλά και στο γεγονός της ιδρυματοποίησης. Ο επιπολασμός της ευπάθειας στους ηλικιωμένους που ζουν στην κοινότητα, κυμαίνεται από 4,9% έως 27,3% σε όλο τον κόσμο και αυξάνεται σε 50% σε άτομα ηλικίας &gt;80 ετών (Choi et al., 2015; Won, 2020). </w:t>
      </w:r>
    </w:p>
    <w:p w:rsidR="00492C54" w:rsidRPr="00A260DB" w:rsidRDefault="00A123D7" w:rsidP="00E25740">
      <w:pPr>
        <w:rPr>
          <w:sz w:val="24"/>
          <w:szCs w:val="24"/>
        </w:rPr>
      </w:pPr>
      <w:r w:rsidRPr="00A260DB">
        <w:rPr>
          <w:sz w:val="24"/>
          <w:szCs w:val="24"/>
        </w:rPr>
        <w:t>Το 2009 στα πλαίσια ευρωπαϊκής έρευνας (</w:t>
      </w:r>
      <w:r w:rsidRPr="00A260DB">
        <w:rPr>
          <w:sz w:val="24"/>
          <w:szCs w:val="24"/>
          <w:lang w:val="en-US"/>
        </w:rPr>
        <w:t>Survey</w:t>
      </w:r>
      <w:r w:rsidRPr="00A260DB">
        <w:rPr>
          <w:sz w:val="24"/>
          <w:szCs w:val="24"/>
        </w:rPr>
        <w:t xml:space="preserve"> </w:t>
      </w:r>
      <w:r w:rsidRPr="00A260DB">
        <w:rPr>
          <w:sz w:val="24"/>
          <w:szCs w:val="24"/>
          <w:lang w:val="en-US"/>
        </w:rPr>
        <w:t>of</w:t>
      </w:r>
      <w:r w:rsidRPr="00A260DB">
        <w:rPr>
          <w:sz w:val="24"/>
          <w:szCs w:val="24"/>
        </w:rPr>
        <w:t xml:space="preserve"> </w:t>
      </w:r>
      <w:r w:rsidRPr="00A260DB">
        <w:rPr>
          <w:sz w:val="24"/>
          <w:szCs w:val="24"/>
          <w:lang w:val="en-US"/>
        </w:rPr>
        <w:t>Health</w:t>
      </w:r>
      <w:r w:rsidRPr="00A260DB">
        <w:rPr>
          <w:sz w:val="24"/>
          <w:szCs w:val="24"/>
        </w:rPr>
        <w:t xml:space="preserve">, </w:t>
      </w:r>
      <w:r w:rsidRPr="00A260DB">
        <w:rPr>
          <w:sz w:val="24"/>
          <w:szCs w:val="24"/>
          <w:lang w:val="en-US"/>
        </w:rPr>
        <w:t>Aging</w:t>
      </w:r>
      <w:r w:rsidRPr="00A260DB">
        <w:rPr>
          <w:sz w:val="24"/>
          <w:szCs w:val="24"/>
        </w:rPr>
        <w:t xml:space="preserve"> </w:t>
      </w:r>
      <w:r w:rsidRPr="00A260DB">
        <w:rPr>
          <w:sz w:val="24"/>
          <w:szCs w:val="24"/>
          <w:lang w:val="en-US"/>
        </w:rPr>
        <w:t>and</w:t>
      </w:r>
      <w:r w:rsidRPr="00A260DB">
        <w:rPr>
          <w:sz w:val="24"/>
          <w:szCs w:val="24"/>
        </w:rPr>
        <w:t xml:space="preserve"> </w:t>
      </w:r>
      <w:r w:rsidRPr="00A260DB">
        <w:rPr>
          <w:sz w:val="24"/>
          <w:szCs w:val="24"/>
          <w:lang w:val="en-US"/>
        </w:rPr>
        <w:t>Retirement</w:t>
      </w:r>
      <w:r w:rsidRPr="00A260DB">
        <w:rPr>
          <w:sz w:val="24"/>
          <w:szCs w:val="24"/>
        </w:rPr>
        <w:t xml:space="preserve"> </w:t>
      </w:r>
      <w:r w:rsidRPr="00A260DB">
        <w:rPr>
          <w:sz w:val="24"/>
          <w:szCs w:val="24"/>
          <w:lang w:val="en-US"/>
        </w:rPr>
        <w:t>in</w:t>
      </w:r>
      <w:r w:rsidRPr="00A260DB">
        <w:rPr>
          <w:sz w:val="24"/>
          <w:szCs w:val="24"/>
        </w:rPr>
        <w:t xml:space="preserve"> </w:t>
      </w:r>
      <w:r w:rsidRPr="00A260DB">
        <w:rPr>
          <w:sz w:val="24"/>
          <w:szCs w:val="24"/>
          <w:lang w:val="en-US"/>
        </w:rPr>
        <w:t>Europe</w:t>
      </w:r>
      <w:r w:rsidRPr="00A260DB">
        <w:rPr>
          <w:sz w:val="24"/>
          <w:szCs w:val="24"/>
        </w:rPr>
        <w:t>-</w:t>
      </w:r>
      <w:r w:rsidRPr="00A260DB">
        <w:rPr>
          <w:sz w:val="24"/>
          <w:szCs w:val="24"/>
          <w:lang w:val="en-US"/>
        </w:rPr>
        <w:t>SHARE</w:t>
      </w:r>
      <w:r w:rsidRPr="00A260DB">
        <w:rPr>
          <w:sz w:val="24"/>
          <w:szCs w:val="24"/>
        </w:rPr>
        <w:t xml:space="preserve">, </w:t>
      </w:r>
      <w:r w:rsidRPr="00A260DB">
        <w:rPr>
          <w:sz w:val="24"/>
          <w:szCs w:val="24"/>
          <w:lang w:val="en-US"/>
        </w:rPr>
        <w:t>Wave</w:t>
      </w:r>
      <w:r w:rsidRPr="00A260DB">
        <w:rPr>
          <w:sz w:val="24"/>
          <w:szCs w:val="24"/>
        </w:rPr>
        <w:t xml:space="preserve"> 1) που χρησιμοποίησε τα κριτήρια του φαινοτύπου </w:t>
      </w:r>
      <w:r w:rsidRPr="00A260DB">
        <w:rPr>
          <w:sz w:val="24"/>
          <w:szCs w:val="24"/>
          <w:lang w:val="en-US"/>
        </w:rPr>
        <w:t>Fried</w:t>
      </w:r>
      <w:r w:rsidRPr="00A260DB">
        <w:rPr>
          <w:sz w:val="24"/>
          <w:szCs w:val="24"/>
        </w:rPr>
        <w:t>, η ευπάθεια ή προ-ευπάθεια δηλαδή τρία ως πέντε και αντίστοιχα ένα ή δυο κριτήρια ήταν υψηλότερες στην Νότια Ευρώπη. Αναλυτικότερα, στην Ισπανία  κυμαινόταν στο 21%, στην Ιταλία σε 14%, στην Ελλάδα στο 11.3% και στην Γαλλία σε 9,3%. Αντίθετα, στην Βόρεια Ευρώπη τα ποσοστά ήταν πιο χαμηλά (Santos-Eggimann et al., 2009)</w:t>
      </w:r>
      <w:r w:rsidR="00C65257" w:rsidRPr="00A260DB">
        <w:rPr>
          <w:sz w:val="24"/>
          <w:szCs w:val="24"/>
        </w:rPr>
        <w:t>(</w:t>
      </w:r>
      <w:r w:rsidR="00C65257" w:rsidRPr="00DE07BB">
        <w:rPr>
          <w:i/>
          <w:sz w:val="24"/>
          <w:szCs w:val="24"/>
        </w:rPr>
        <w:t>Σχήμα 1</w:t>
      </w:r>
      <w:r w:rsidR="00C65257" w:rsidRPr="00A260DB">
        <w:rPr>
          <w:sz w:val="24"/>
          <w:szCs w:val="24"/>
        </w:rPr>
        <w:t>)</w:t>
      </w:r>
      <w:r w:rsidRPr="00A260DB">
        <w:rPr>
          <w:sz w:val="24"/>
          <w:szCs w:val="24"/>
        </w:rPr>
        <w:t>.</w:t>
      </w:r>
    </w:p>
    <w:p w:rsidR="00A123D7" w:rsidRPr="00A123D7" w:rsidRDefault="00A123D7" w:rsidP="00E25740">
      <w:r>
        <w:rPr>
          <w:noProof/>
          <w:lang w:eastAsia="el-GR"/>
        </w:rPr>
        <w:lastRenderedPageBreak/>
        <w:drawing>
          <wp:inline distT="0" distB="0" distL="0" distR="0">
            <wp:extent cx="5274310" cy="3017368"/>
            <wp:effectExtent l="0" t="0" r="254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017368"/>
                    </a:xfrm>
                    <a:prstGeom prst="rect">
                      <a:avLst/>
                    </a:prstGeom>
                    <a:noFill/>
                    <a:ln>
                      <a:noFill/>
                    </a:ln>
                  </pic:spPr>
                </pic:pic>
              </a:graphicData>
            </a:graphic>
          </wp:inline>
        </w:drawing>
      </w:r>
    </w:p>
    <w:p w:rsidR="00871DD4" w:rsidRPr="00DE07BB" w:rsidRDefault="00C65257" w:rsidP="00C65257">
      <w:pPr>
        <w:jc w:val="center"/>
        <w:rPr>
          <w:b/>
          <w:sz w:val="20"/>
          <w:szCs w:val="20"/>
        </w:rPr>
      </w:pPr>
      <w:r w:rsidRPr="00DE07BB">
        <w:rPr>
          <w:b/>
          <w:sz w:val="20"/>
          <w:szCs w:val="20"/>
        </w:rPr>
        <w:t>Σχήμα 1. Πληθυσμός με ευπάθεια και προ-ευπάθεια ανά ευρωπαική χώρα.</w:t>
      </w:r>
    </w:p>
    <w:p w:rsidR="00C65257" w:rsidRPr="00DE07BB" w:rsidRDefault="00C65257" w:rsidP="00C65257">
      <w:pPr>
        <w:jc w:val="center"/>
        <w:rPr>
          <w:b/>
          <w:i/>
          <w:sz w:val="20"/>
          <w:szCs w:val="20"/>
          <w:lang w:val="en-US"/>
        </w:rPr>
      </w:pPr>
      <w:r w:rsidRPr="00DE07BB">
        <w:rPr>
          <w:b/>
          <w:i/>
          <w:sz w:val="20"/>
          <w:szCs w:val="20"/>
        </w:rPr>
        <w:t>Πηγή</w:t>
      </w:r>
      <w:r w:rsidRPr="00DE07BB">
        <w:rPr>
          <w:b/>
          <w:i/>
          <w:sz w:val="20"/>
          <w:szCs w:val="20"/>
          <w:lang w:val="en-US"/>
        </w:rPr>
        <w:t>: Santos-Eggimann et al., 2009</w:t>
      </w:r>
    </w:p>
    <w:p w:rsidR="00871DD4" w:rsidRPr="00A260DB" w:rsidRDefault="004F1F35" w:rsidP="004F1F35">
      <w:pPr>
        <w:rPr>
          <w:sz w:val="24"/>
          <w:szCs w:val="24"/>
        </w:rPr>
      </w:pPr>
      <w:r w:rsidRPr="00A260DB">
        <w:rPr>
          <w:sz w:val="24"/>
          <w:szCs w:val="24"/>
        </w:rPr>
        <w:t xml:space="preserve">Στην μελέτη </w:t>
      </w:r>
      <w:r w:rsidRPr="00A260DB">
        <w:rPr>
          <w:sz w:val="24"/>
          <w:szCs w:val="24"/>
          <w:lang w:val="en-US"/>
        </w:rPr>
        <w:t>SHARE</w:t>
      </w:r>
      <w:r w:rsidRPr="00A260DB">
        <w:rPr>
          <w:sz w:val="24"/>
          <w:szCs w:val="24"/>
        </w:rPr>
        <w:t xml:space="preserve">, </w:t>
      </w:r>
      <w:r w:rsidRPr="00A260DB">
        <w:rPr>
          <w:sz w:val="24"/>
          <w:szCs w:val="24"/>
          <w:lang w:val="en-US"/>
        </w:rPr>
        <w:t>Wave</w:t>
      </w:r>
      <w:r w:rsidRPr="00A260DB">
        <w:rPr>
          <w:sz w:val="24"/>
          <w:szCs w:val="24"/>
        </w:rPr>
        <w:t xml:space="preserve"> 6 του 2019 ο επιπολασμός της προ-ευπάθειας ήταν στο 42,9%</w:t>
      </w:r>
      <w:r w:rsidR="003F2A6A" w:rsidRPr="00A260DB">
        <w:rPr>
          <w:sz w:val="24"/>
          <w:szCs w:val="24"/>
        </w:rPr>
        <w:t xml:space="preserve"> και της ευπάθειας στο 7,7% σε σύνολο 60.816 συμμετεχόντων. Με βάση τα κιρτήρια της ευπάθειας του φαινοτύπου </w:t>
      </w:r>
      <w:r w:rsidR="003F2A6A" w:rsidRPr="00A260DB">
        <w:rPr>
          <w:sz w:val="24"/>
          <w:szCs w:val="24"/>
          <w:lang w:val="en-US"/>
        </w:rPr>
        <w:t>Fried</w:t>
      </w:r>
      <w:r w:rsidR="003F2A6A" w:rsidRPr="00A260DB">
        <w:rPr>
          <w:sz w:val="24"/>
          <w:szCs w:val="24"/>
        </w:rPr>
        <w:t xml:space="preserve"> συχνότερο ήταν αυτό της αναφερόμενης κόπωσης. Στην ίδια μελέτη φάνηκε ότι το 50% του πληθυσμού άνω των 50 ετών βρίσκεται σε στάδιο προ-ευπάθειας ή ευπάθειας. Στην ελλάδα τα αντίστοιχα ποσοστά προ-ευπάθειας και ευπάθειας κυμαίνονταν στο 45% και 9,9% αντίστοιχα (Manfredi et al., 2019). </w:t>
      </w:r>
    </w:p>
    <w:p w:rsidR="003F2A6A" w:rsidRPr="00A260DB" w:rsidRDefault="00075F64" w:rsidP="004F1F35">
      <w:pPr>
        <w:rPr>
          <w:sz w:val="24"/>
          <w:szCs w:val="24"/>
        </w:rPr>
      </w:pPr>
      <w:r w:rsidRPr="00A260DB">
        <w:rPr>
          <w:sz w:val="24"/>
          <w:szCs w:val="24"/>
        </w:rPr>
        <w:t xml:space="preserve">Σε παγκόσμιο επίπεδο, ο επιπολασμός της ευπάθειας </w:t>
      </w:r>
      <w:r w:rsidR="00262FDF" w:rsidRPr="00A260DB">
        <w:rPr>
          <w:sz w:val="24"/>
          <w:szCs w:val="24"/>
        </w:rPr>
        <w:t xml:space="preserve">στην κοινότητα </w:t>
      </w:r>
      <w:r w:rsidRPr="00A260DB">
        <w:rPr>
          <w:sz w:val="24"/>
          <w:szCs w:val="24"/>
        </w:rPr>
        <w:t>έχει διακυμάνσεις. Στην Ευρώπη είναι στο 17%</w:t>
      </w:r>
      <w:r w:rsidR="000064BB" w:rsidRPr="00A260DB">
        <w:rPr>
          <w:sz w:val="24"/>
          <w:szCs w:val="24"/>
        </w:rPr>
        <w:t xml:space="preserve">, στην Λατινική Αμερική αγγίζει το 30-48%, ποσοστά αρκετά υψηλά, 5-31% στην Κίνα και 4-10% στις ΗΠΑ. Υψηλά ποσοστά παρατηρούνται και στην Ρωσία με 21-44%. </w:t>
      </w:r>
    </w:p>
    <w:p w:rsidR="00262FDF" w:rsidRPr="00A260DB" w:rsidRDefault="00262FDF" w:rsidP="004F1F35">
      <w:pPr>
        <w:rPr>
          <w:sz w:val="24"/>
          <w:szCs w:val="24"/>
        </w:rPr>
      </w:pPr>
      <w:r w:rsidRPr="00A260DB">
        <w:rPr>
          <w:sz w:val="24"/>
          <w:szCs w:val="24"/>
        </w:rPr>
        <w:t xml:space="preserve">Σε άτομα που νοσηλεύονται η ευπάθεια αυξάνεται σημαντικά, ιδιαίτερα σε όσους παρουσιάζουν καρδιαγγειακά νοσήματα που φτάνει ως και το 64%. Επιπρόσθετα, οι χώρες με χαμηλό και μέτριο εισόδημα παρουσιάζουν υψηλότερα ποσοστά ευπάθειας (Lin et al., 2018; Nguyen et al., 2015). Σε έρευνα των </w:t>
      </w:r>
      <w:r w:rsidRPr="00A260DB">
        <w:rPr>
          <w:sz w:val="24"/>
          <w:szCs w:val="24"/>
          <w:lang w:val="en-US"/>
        </w:rPr>
        <w:t>He</w:t>
      </w:r>
      <w:r w:rsidRPr="00A260DB">
        <w:rPr>
          <w:sz w:val="24"/>
          <w:szCs w:val="24"/>
        </w:rPr>
        <w:t xml:space="preserve"> και συν. Το 2009 φάνηκε ότι στην Κίινα το ποσοστό ευπάθειας ήταν 10-43 % ενώ πιο ευπαθείς ήταν τα άτομα που κατοικούσαν σε αστικές περιοχές. </w:t>
      </w:r>
    </w:p>
    <w:p w:rsidR="00262FDF" w:rsidRPr="00A260DB" w:rsidRDefault="00F636E8" w:rsidP="004F1F35">
      <w:pPr>
        <w:rPr>
          <w:sz w:val="24"/>
          <w:szCs w:val="24"/>
        </w:rPr>
      </w:pPr>
      <w:r w:rsidRPr="00A260DB">
        <w:rPr>
          <w:sz w:val="24"/>
          <w:szCs w:val="24"/>
        </w:rPr>
        <w:t>Στην</w:t>
      </w:r>
      <w:r w:rsidRPr="00A260DB">
        <w:rPr>
          <w:sz w:val="24"/>
          <w:szCs w:val="24"/>
          <w:lang w:val="en-US"/>
        </w:rPr>
        <w:t xml:space="preserve"> </w:t>
      </w:r>
      <w:r w:rsidRPr="00A260DB">
        <w:rPr>
          <w:sz w:val="24"/>
          <w:szCs w:val="24"/>
        </w:rPr>
        <w:t>Ελλάδα</w:t>
      </w:r>
      <w:r w:rsidRPr="00A260DB">
        <w:rPr>
          <w:sz w:val="24"/>
          <w:szCs w:val="24"/>
          <w:lang w:val="en-US"/>
        </w:rPr>
        <w:t xml:space="preserve"> </w:t>
      </w:r>
      <w:r w:rsidRPr="00A260DB">
        <w:rPr>
          <w:sz w:val="24"/>
          <w:szCs w:val="24"/>
        </w:rPr>
        <w:t>στην</w:t>
      </w:r>
      <w:r w:rsidRPr="00A260DB">
        <w:rPr>
          <w:sz w:val="24"/>
          <w:szCs w:val="24"/>
          <w:lang w:val="en-US"/>
        </w:rPr>
        <w:t xml:space="preserve"> </w:t>
      </w:r>
      <w:r w:rsidRPr="00A260DB">
        <w:rPr>
          <w:sz w:val="24"/>
          <w:szCs w:val="24"/>
        </w:rPr>
        <w:t>έρευνα</w:t>
      </w:r>
      <w:r w:rsidRPr="00A260DB">
        <w:rPr>
          <w:sz w:val="24"/>
          <w:szCs w:val="24"/>
          <w:lang w:val="en-US"/>
        </w:rPr>
        <w:t xml:space="preserve"> HELIAD(Hellenic Longitudinal Investigation of Aging and Diet) </w:t>
      </w:r>
      <w:r w:rsidRPr="00A260DB">
        <w:rPr>
          <w:sz w:val="24"/>
          <w:szCs w:val="24"/>
        </w:rPr>
        <w:t>των</w:t>
      </w:r>
      <w:r w:rsidRPr="00A260DB">
        <w:rPr>
          <w:sz w:val="24"/>
          <w:szCs w:val="24"/>
          <w:lang w:val="en-US"/>
        </w:rPr>
        <w:t xml:space="preserve"> </w:t>
      </w:r>
      <w:r w:rsidRPr="00A260DB">
        <w:rPr>
          <w:sz w:val="24"/>
          <w:szCs w:val="24"/>
        </w:rPr>
        <w:t>Ντανάση</w:t>
      </w:r>
      <w:r w:rsidRPr="00A260DB">
        <w:rPr>
          <w:sz w:val="24"/>
          <w:szCs w:val="24"/>
          <w:lang w:val="en-US"/>
        </w:rPr>
        <w:t xml:space="preserve"> </w:t>
      </w:r>
      <w:r w:rsidRPr="00A260DB">
        <w:rPr>
          <w:sz w:val="24"/>
          <w:szCs w:val="24"/>
        </w:rPr>
        <w:t>και</w:t>
      </w:r>
      <w:r w:rsidRPr="00A260DB">
        <w:rPr>
          <w:sz w:val="24"/>
          <w:szCs w:val="24"/>
          <w:lang w:val="en-US"/>
        </w:rPr>
        <w:t xml:space="preserve"> </w:t>
      </w:r>
      <w:r w:rsidRPr="00A260DB">
        <w:rPr>
          <w:sz w:val="24"/>
          <w:szCs w:val="24"/>
        </w:rPr>
        <w:t>συν</w:t>
      </w:r>
      <w:r w:rsidRPr="00A260DB">
        <w:rPr>
          <w:sz w:val="24"/>
          <w:szCs w:val="24"/>
          <w:lang w:val="en-US"/>
        </w:rPr>
        <w:t xml:space="preserve">. </w:t>
      </w:r>
      <w:r w:rsidRPr="00A260DB">
        <w:rPr>
          <w:sz w:val="24"/>
          <w:szCs w:val="24"/>
        </w:rPr>
        <w:t>(2020)</w:t>
      </w:r>
      <w:r w:rsidR="006E5974" w:rsidRPr="00A260DB">
        <w:rPr>
          <w:sz w:val="24"/>
          <w:szCs w:val="24"/>
        </w:rPr>
        <w:t xml:space="preserve"> τα ποσοστά ευπάθειας ήταν από 4-30,2% με παράγοντες την εκπαίδευση και την ηλικία να συνδέονται με την ευπάθεια. </w:t>
      </w:r>
    </w:p>
    <w:p w:rsidR="00355024" w:rsidRPr="006E5974" w:rsidRDefault="00355024" w:rsidP="004F1F35"/>
    <w:p w:rsidR="00871DD4" w:rsidRDefault="00355024" w:rsidP="004E1A7C">
      <w:pPr>
        <w:rPr>
          <w:b/>
          <w:sz w:val="28"/>
          <w:szCs w:val="28"/>
        </w:rPr>
      </w:pPr>
      <w:r w:rsidRPr="00355024">
        <w:rPr>
          <w:b/>
          <w:sz w:val="28"/>
          <w:szCs w:val="28"/>
        </w:rPr>
        <w:lastRenderedPageBreak/>
        <w:t>2.</w:t>
      </w:r>
      <w:r>
        <w:rPr>
          <w:b/>
          <w:sz w:val="28"/>
          <w:szCs w:val="28"/>
        </w:rPr>
        <w:t>2</w:t>
      </w:r>
      <w:r w:rsidRPr="00355024">
        <w:rPr>
          <w:b/>
          <w:sz w:val="28"/>
          <w:szCs w:val="28"/>
        </w:rPr>
        <w:t xml:space="preserve"> Φυσιολογία και παράγοντες κινδύνου ευπάθειας</w:t>
      </w:r>
    </w:p>
    <w:p w:rsidR="00355024" w:rsidRDefault="00DE07BB" w:rsidP="00244015">
      <w:pPr>
        <w:rPr>
          <w:sz w:val="24"/>
          <w:szCs w:val="24"/>
        </w:rPr>
      </w:pPr>
      <w:r>
        <w:rPr>
          <w:sz w:val="24"/>
          <w:szCs w:val="24"/>
        </w:rPr>
        <w:t xml:space="preserve">Οι </w:t>
      </w:r>
      <w:r>
        <w:rPr>
          <w:sz w:val="24"/>
          <w:szCs w:val="24"/>
          <w:lang w:val="en-US"/>
        </w:rPr>
        <w:t>Hoogendijk</w:t>
      </w:r>
      <w:r w:rsidRPr="00DE07BB">
        <w:rPr>
          <w:sz w:val="24"/>
          <w:szCs w:val="24"/>
        </w:rPr>
        <w:t xml:space="preserve"> </w:t>
      </w:r>
      <w:r>
        <w:rPr>
          <w:sz w:val="24"/>
          <w:szCs w:val="24"/>
        </w:rPr>
        <w:t>και συν. (2019) αναφέρουν ποικίλλους παράγοντες που οδηγούν σε ευπάθεια όπως βιολογικούς, κοινωνικούς, κλινικούς και άλλους που αφορούν τον τρόπο ζωής των ατόμων (</w:t>
      </w:r>
      <w:r w:rsidRPr="00DE07BB">
        <w:rPr>
          <w:i/>
          <w:sz w:val="24"/>
          <w:szCs w:val="24"/>
        </w:rPr>
        <w:t>Σχήμα 2</w:t>
      </w:r>
      <w:r>
        <w:rPr>
          <w:sz w:val="24"/>
          <w:szCs w:val="24"/>
        </w:rPr>
        <w:t>).</w:t>
      </w:r>
    </w:p>
    <w:p w:rsidR="00DE07BB" w:rsidRDefault="00DE07BB" w:rsidP="00244015">
      <w:pPr>
        <w:rPr>
          <w:sz w:val="24"/>
          <w:szCs w:val="24"/>
        </w:rPr>
      </w:pPr>
      <w:r>
        <w:rPr>
          <w:noProof/>
          <w:sz w:val="24"/>
          <w:szCs w:val="24"/>
          <w:lang w:eastAsia="el-GR"/>
        </w:rPr>
        <w:drawing>
          <wp:inline distT="0" distB="0" distL="0" distR="0">
            <wp:extent cx="5274310" cy="2533921"/>
            <wp:effectExtent l="0" t="0" r="254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2533921"/>
                    </a:xfrm>
                    <a:prstGeom prst="rect">
                      <a:avLst/>
                    </a:prstGeom>
                    <a:noFill/>
                    <a:ln>
                      <a:noFill/>
                    </a:ln>
                  </pic:spPr>
                </pic:pic>
              </a:graphicData>
            </a:graphic>
          </wp:inline>
        </w:drawing>
      </w:r>
    </w:p>
    <w:p w:rsidR="00A55CBB" w:rsidRPr="00A55CBB" w:rsidRDefault="00A55CBB" w:rsidP="00A55CBB">
      <w:pPr>
        <w:jc w:val="center"/>
        <w:rPr>
          <w:b/>
          <w:sz w:val="20"/>
          <w:szCs w:val="20"/>
        </w:rPr>
      </w:pPr>
      <w:r w:rsidRPr="00A55CBB">
        <w:rPr>
          <w:b/>
          <w:sz w:val="20"/>
          <w:szCs w:val="20"/>
        </w:rPr>
        <w:t>Σχήμα 2. Παράγοντες κινδύνου για την ευπάθεια.</w:t>
      </w:r>
    </w:p>
    <w:p w:rsidR="00DE07BB" w:rsidRDefault="00A55CBB" w:rsidP="00A55CBB">
      <w:pPr>
        <w:jc w:val="center"/>
        <w:rPr>
          <w:b/>
          <w:i/>
          <w:sz w:val="20"/>
          <w:szCs w:val="20"/>
        </w:rPr>
      </w:pPr>
      <w:r w:rsidRPr="00A55CBB">
        <w:rPr>
          <w:b/>
          <w:i/>
          <w:sz w:val="20"/>
          <w:szCs w:val="20"/>
        </w:rPr>
        <w:t>Πηγή: (Hoogendijk et al., 2019)</w:t>
      </w:r>
    </w:p>
    <w:p w:rsidR="00A55CBB" w:rsidRDefault="00A55CBB" w:rsidP="00A55CBB">
      <w:pPr>
        <w:jc w:val="center"/>
        <w:rPr>
          <w:b/>
          <w:i/>
          <w:sz w:val="20"/>
          <w:szCs w:val="20"/>
        </w:rPr>
      </w:pPr>
    </w:p>
    <w:p w:rsidR="00A55CBB" w:rsidRDefault="00A55CBB" w:rsidP="00A55CBB">
      <w:pPr>
        <w:rPr>
          <w:b/>
          <w:sz w:val="26"/>
          <w:szCs w:val="26"/>
        </w:rPr>
      </w:pPr>
      <w:r w:rsidRPr="00A55CBB">
        <w:rPr>
          <w:b/>
          <w:sz w:val="26"/>
          <w:szCs w:val="26"/>
        </w:rPr>
        <w:t>2.2.1 Βιολογικοί παράγοντες</w:t>
      </w:r>
    </w:p>
    <w:p w:rsidR="00111E57" w:rsidRPr="00A55CBB" w:rsidRDefault="00F970F7" w:rsidP="00A55CBB">
      <w:pPr>
        <w:rPr>
          <w:sz w:val="24"/>
          <w:szCs w:val="24"/>
        </w:rPr>
      </w:pPr>
      <w:r>
        <w:rPr>
          <w:sz w:val="24"/>
          <w:szCs w:val="24"/>
        </w:rPr>
        <w:t>Καθώς η ευπάθεια επηρεάζει πολλά συστήματα όπως το καρδιαγγειακό</w:t>
      </w:r>
      <w:r w:rsidR="00111E57">
        <w:rPr>
          <w:sz w:val="24"/>
          <w:szCs w:val="24"/>
        </w:rPr>
        <w:t xml:space="preserve">, το αναπνευστικό και το ουροποιητικό, η συμβολή της απώλειας αποθεμάτων είναι καθοριστική. Η αδυναμία αυτή ακόμα και σε καταστάσεις ελάχιστου στρες μπορεί να οδηγήσει σε πτώσεις, ντελίριο και αναπηρία, εκφάνσεις του φαινόμενου της ευπάθειας που οδηγούν σε νοσηλεία και επιδεινώνουν την εξασθένηση </w:t>
      </w:r>
      <w:r w:rsidR="00111E57" w:rsidRPr="00111E57">
        <w:rPr>
          <w:sz w:val="24"/>
          <w:szCs w:val="24"/>
        </w:rPr>
        <w:t>(Clegg et al., 2013).</w:t>
      </w:r>
      <w:r w:rsidR="00B42CFE">
        <w:rPr>
          <w:sz w:val="24"/>
          <w:szCs w:val="24"/>
        </w:rPr>
        <w:t xml:space="preserve"> </w:t>
      </w:r>
      <w:r w:rsidR="00111E57">
        <w:rPr>
          <w:sz w:val="24"/>
          <w:szCs w:val="24"/>
        </w:rPr>
        <w:t xml:space="preserve">Για την ευπάθεια μελετήθηκαν ιδιαίτερα τα συστήματα του εγκεφάλου, το ενδοκρινικό, το ανοσοποιητικό και οι μύες. </w:t>
      </w:r>
    </w:p>
    <w:p w:rsidR="00DE487C" w:rsidRDefault="00B42CFE" w:rsidP="00A55CBB">
      <w:pPr>
        <w:rPr>
          <w:sz w:val="24"/>
          <w:szCs w:val="24"/>
        </w:rPr>
      </w:pPr>
      <w:r>
        <w:rPr>
          <w:sz w:val="24"/>
          <w:szCs w:val="24"/>
        </w:rPr>
        <w:t xml:space="preserve">Η γήρανση επιφέρει αλλαγές στον εγκέφαλο και ιδιαίτερα στους νευρώνες όπως για παράδειγμα του </w:t>
      </w:r>
      <w:r w:rsidR="005D554A">
        <w:rPr>
          <w:sz w:val="24"/>
          <w:szCs w:val="24"/>
        </w:rPr>
        <w:t xml:space="preserve">ιππόκαμπου. Ο ιππόκαμπος έχει συνδεθεί με την γνωστική επιδείνωση και την νόσο </w:t>
      </w:r>
      <w:r w:rsidR="005D554A">
        <w:rPr>
          <w:sz w:val="24"/>
          <w:szCs w:val="24"/>
          <w:lang w:val="en-US"/>
        </w:rPr>
        <w:t>Alzheimer</w:t>
      </w:r>
      <w:r w:rsidR="00DE487C">
        <w:rPr>
          <w:sz w:val="24"/>
          <w:szCs w:val="24"/>
        </w:rPr>
        <w:t xml:space="preserve"> (</w:t>
      </w:r>
      <w:r w:rsidR="00DE487C" w:rsidRPr="00DE487C">
        <w:rPr>
          <w:i/>
          <w:sz w:val="24"/>
          <w:szCs w:val="24"/>
        </w:rPr>
        <w:t>Εικόνα 3</w:t>
      </w:r>
      <w:r w:rsidR="00DE487C">
        <w:rPr>
          <w:sz w:val="24"/>
          <w:szCs w:val="24"/>
        </w:rPr>
        <w:t>)</w:t>
      </w:r>
      <w:r w:rsidR="005D554A" w:rsidRPr="005D554A">
        <w:rPr>
          <w:sz w:val="24"/>
          <w:szCs w:val="24"/>
        </w:rPr>
        <w:t xml:space="preserve">.  </w:t>
      </w:r>
      <w:r w:rsidR="005D554A">
        <w:rPr>
          <w:sz w:val="24"/>
          <w:szCs w:val="24"/>
        </w:rPr>
        <w:t xml:space="preserve">Η λειτουργία του αφορά την απάντηση στο στρες μέσω της αναγνώρισης αυξημένων γλυκοκορτοκοειδών και μεταφέροντας πληροφορίες στον υποθάλαμο. </w:t>
      </w:r>
      <w:r w:rsidR="00CC6D64">
        <w:rPr>
          <w:sz w:val="24"/>
          <w:szCs w:val="24"/>
        </w:rPr>
        <w:t xml:space="preserve">Οι </w:t>
      </w:r>
      <w:r w:rsidR="00CC6D64">
        <w:rPr>
          <w:sz w:val="24"/>
          <w:szCs w:val="24"/>
          <w:lang w:val="en-US"/>
        </w:rPr>
        <w:t>Clegg</w:t>
      </w:r>
      <w:r w:rsidR="00CC6D64" w:rsidRPr="00CC6D64">
        <w:rPr>
          <w:sz w:val="24"/>
          <w:szCs w:val="24"/>
        </w:rPr>
        <w:t xml:space="preserve"> </w:t>
      </w:r>
      <w:r w:rsidR="00CC6D64">
        <w:rPr>
          <w:sz w:val="24"/>
          <w:szCs w:val="24"/>
        </w:rPr>
        <w:t xml:space="preserve">και συν. Σε μελέτη κοόρτης με 273 συμμετέχοντες  έδειξαν ότι νοσηλευόμενοι ασθενείς με ευπάθεια έχουν μεγαλύτερα ποσοστά εμφάνισης </w:t>
      </w:r>
      <w:r w:rsidR="0049352A">
        <w:rPr>
          <w:sz w:val="24"/>
          <w:szCs w:val="24"/>
        </w:rPr>
        <w:t xml:space="preserve">ντελίριο και θνησιμότητας. </w:t>
      </w:r>
    </w:p>
    <w:p w:rsidR="00DE487C" w:rsidRPr="005D554A" w:rsidRDefault="00DE487C" w:rsidP="00A55CBB">
      <w:pPr>
        <w:rPr>
          <w:sz w:val="24"/>
          <w:szCs w:val="24"/>
        </w:rPr>
      </w:pPr>
      <w:r>
        <w:rPr>
          <w:noProof/>
          <w:sz w:val="24"/>
          <w:szCs w:val="24"/>
          <w:lang w:eastAsia="el-GR"/>
        </w:rPr>
        <w:lastRenderedPageBreak/>
        <w:drawing>
          <wp:inline distT="0" distB="0" distL="0" distR="0">
            <wp:extent cx="4846320" cy="265176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6447281_10228199786875712_3241197239803701262_n.jpg"/>
                    <pic:cNvPicPr/>
                  </pic:nvPicPr>
                  <pic:blipFill>
                    <a:blip r:embed="rId14">
                      <a:extLst>
                        <a:ext uri="{28A0092B-C50C-407E-A947-70E740481C1C}">
                          <a14:useLocalDpi xmlns:a14="http://schemas.microsoft.com/office/drawing/2010/main" val="0"/>
                        </a:ext>
                      </a:extLst>
                    </a:blip>
                    <a:stretch>
                      <a:fillRect/>
                    </a:stretch>
                  </pic:blipFill>
                  <pic:spPr>
                    <a:xfrm>
                      <a:off x="0" y="0"/>
                      <a:ext cx="4850473" cy="2654032"/>
                    </a:xfrm>
                    <a:prstGeom prst="rect">
                      <a:avLst/>
                    </a:prstGeom>
                  </pic:spPr>
                </pic:pic>
              </a:graphicData>
            </a:graphic>
          </wp:inline>
        </w:drawing>
      </w:r>
    </w:p>
    <w:p w:rsidR="00B42CFE" w:rsidRPr="00755533" w:rsidRDefault="00DE487C" w:rsidP="00DE487C">
      <w:pPr>
        <w:jc w:val="center"/>
        <w:rPr>
          <w:sz w:val="20"/>
          <w:szCs w:val="20"/>
        </w:rPr>
      </w:pPr>
      <w:r w:rsidRPr="00DE487C">
        <w:rPr>
          <w:sz w:val="20"/>
          <w:szCs w:val="20"/>
        </w:rPr>
        <w:t xml:space="preserve">Εικόνα 3. </w:t>
      </w:r>
      <w:r>
        <w:rPr>
          <w:sz w:val="20"/>
          <w:szCs w:val="20"/>
        </w:rPr>
        <w:t xml:space="preserve">Ιππόκαμπος  σε φυσιολογικό εγκέφαλο και σε ασθενή με ν. </w:t>
      </w:r>
      <w:r>
        <w:rPr>
          <w:sz w:val="20"/>
          <w:szCs w:val="20"/>
          <w:lang w:val="en-US"/>
        </w:rPr>
        <w:t>Alzheimer</w:t>
      </w:r>
    </w:p>
    <w:p w:rsidR="00DE487C" w:rsidRPr="0049352A" w:rsidRDefault="00DE487C" w:rsidP="00DE487C">
      <w:pPr>
        <w:jc w:val="center"/>
        <w:rPr>
          <w:b/>
          <w:i/>
          <w:sz w:val="20"/>
          <w:szCs w:val="20"/>
        </w:rPr>
      </w:pPr>
      <w:r w:rsidRPr="0049352A">
        <w:rPr>
          <w:b/>
          <w:i/>
          <w:sz w:val="20"/>
          <w:szCs w:val="20"/>
        </w:rPr>
        <w:t>Πηγή</w:t>
      </w:r>
      <w:r w:rsidRPr="0049352A">
        <w:rPr>
          <w:b/>
          <w:i/>
          <w:sz w:val="20"/>
          <w:szCs w:val="20"/>
          <w:lang w:val="en-US"/>
        </w:rPr>
        <w:t xml:space="preserve">: Hajek, T., </w:t>
      </w:r>
      <w:proofErr w:type="gramStart"/>
      <w:r w:rsidRPr="0049352A">
        <w:rPr>
          <w:b/>
          <w:i/>
          <w:sz w:val="20"/>
          <w:szCs w:val="20"/>
          <w:lang w:val="en-US"/>
        </w:rPr>
        <w:t>et</w:t>
      </w:r>
      <w:proofErr w:type="gramEnd"/>
      <w:r w:rsidRPr="0049352A">
        <w:rPr>
          <w:b/>
          <w:i/>
          <w:sz w:val="20"/>
          <w:szCs w:val="20"/>
          <w:lang w:val="en-US"/>
        </w:rPr>
        <w:t xml:space="preserve"> al. </w:t>
      </w:r>
      <w:r w:rsidRPr="00755533">
        <w:rPr>
          <w:b/>
          <w:i/>
          <w:sz w:val="20"/>
          <w:szCs w:val="20"/>
        </w:rPr>
        <w:t>(2014)</w:t>
      </w:r>
    </w:p>
    <w:p w:rsidR="00DE487C" w:rsidRDefault="00755533" w:rsidP="004B56F3">
      <w:pPr>
        <w:rPr>
          <w:sz w:val="24"/>
          <w:szCs w:val="24"/>
        </w:rPr>
      </w:pPr>
      <w:r>
        <w:rPr>
          <w:sz w:val="24"/>
          <w:szCs w:val="24"/>
        </w:rPr>
        <w:t xml:space="preserve">Το ενδοκρινικό σύστημα και ο εγκέφαλος συνδέονται και ελέγχουν τον μεταβολισμό και την ενέργεια που θα χρησιμοποιηθεί από τον οργανισμό. Η ευπάθεια σχετίζεται άμεσα με αλλαγές σε αυτό. Πιο συγκεκριμένα, παρατηρείται μείωση των επιπέδων </w:t>
      </w:r>
      <w:r>
        <w:rPr>
          <w:sz w:val="24"/>
          <w:szCs w:val="24"/>
          <w:lang w:val="en-US"/>
        </w:rPr>
        <w:t>IGF</w:t>
      </w:r>
      <w:r w:rsidRPr="00755533">
        <w:rPr>
          <w:sz w:val="24"/>
          <w:szCs w:val="24"/>
        </w:rPr>
        <w:t>-1</w:t>
      </w:r>
      <w:r>
        <w:rPr>
          <w:sz w:val="24"/>
          <w:szCs w:val="24"/>
        </w:rPr>
        <w:t xml:space="preserve"> (</w:t>
      </w:r>
      <w:r w:rsidRPr="00755533">
        <w:rPr>
          <w:sz w:val="24"/>
          <w:szCs w:val="24"/>
        </w:rPr>
        <w:t>ομοιάζων με την ινσουλίνη αυξητικός παράγοντας-1)</w:t>
      </w:r>
      <w:r>
        <w:rPr>
          <w:sz w:val="24"/>
          <w:szCs w:val="24"/>
        </w:rPr>
        <w:t xml:space="preserve">, της οιστραδιόλης και της τεστοστερόνης με αύξηση της ωχρινοτρόπου και της ωοθυλακιοτρόπου ορμόνης αλλά και μείωση της αυξητικής ορμόνης, της δευδροεπιανδροστερόνης και της </w:t>
      </w:r>
      <w:r>
        <w:rPr>
          <w:sz w:val="24"/>
          <w:szCs w:val="24"/>
          <w:lang w:val="en-US"/>
        </w:rPr>
        <w:t>DHEAS</w:t>
      </w:r>
      <w:r w:rsidR="0059720F">
        <w:rPr>
          <w:sz w:val="24"/>
          <w:szCs w:val="24"/>
        </w:rPr>
        <w:t xml:space="preserve"> (Doi et al., 2018, </w:t>
      </w:r>
      <w:r w:rsidR="0059720F">
        <w:rPr>
          <w:sz w:val="24"/>
          <w:szCs w:val="24"/>
          <w:lang w:val="en-US"/>
        </w:rPr>
        <w:t>Espinoza</w:t>
      </w:r>
      <w:r w:rsidR="0059720F" w:rsidRPr="0059720F">
        <w:rPr>
          <w:sz w:val="24"/>
          <w:szCs w:val="24"/>
        </w:rPr>
        <w:t xml:space="preserve"> &amp; </w:t>
      </w:r>
      <w:r w:rsidR="0059720F">
        <w:rPr>
          <w:sz w:val="24"/>
          <w:szCs w:val="24"/>
          <w:lang w:val="en-US"/>
        </w:rPr>
        <w:t>Walston</w:t>
      </w:r>
      <w:r w:rsidR="0059720F" w:rsidRPr="0059720F">
        <w:rPr>
          <w:sz w:val="24"/>
          <w:szCs w:val="24"/>
        </w:rPr>
        <w:t>, 2005</w:t>
      </w:r>
      <w:r w:rsidR="0059720F">
        <w:rPr>
          <w:sz w:val="24"/>
          <w:szCs w:val="24"/>
        </w:rPr>
        <w:t>)</w:t>
      </w:r>
      <w:r w:rsidRPr="00755533">
        <w:rPr>
          <w:sz w:val="24"/>
          <w:szCs w:val="24"/>
        </w:rPr>
        <w:t xml:space="preserve">. </w:t>
      </w:r>
    </w:p>
    <w:p w:rsidR="00755533" w:rsidRDefault="00755533" w:rsidP="004B56F3">
      <w:pPr>
        <w:rPr>
          <w:sz w:val="24"/>
          <w:szCs w:val="24"/>
        </w:rPr>
      </w:pPr>
      <w:r>
        <w:rPr>
          <w:sz w:val="24"/>
          <w:szCs w:val="24"/>
        </w:rPr>
        <w:t>Ιδιαίτερα, η αυξημένη κορτιζόλη</w:t>
      </w:r>
      <w:r w:rsidR="0059720F">
        <w:rPr>
          <w:sz w:val="24"/>
          <w:szCs w:val="24"/>
        </w:rPr>
        <w:t xml:space="preserve"> επί έτη</w:t>
      </w:r>
      <w:r>
        <w:rPr>
          <w:sz w:val="24"/>
          <w:szCs w:val="24"/>
        </w:rPr>
        <w:t xml:space="preserve"> </w:t>
      </w:r>
      <w:r w:rsidR="0059720F">
        <w:rPr>
          <w:sz w:val="24"/>
          <w:szCs w:val="24"/>
        </w:rPr>
        <w:t xml:space="preserve">οδηγεί σε ευπάθεια καθώς συνδέεται με απώλεια μυϊκής μάζας και βάρους, ανορεξία και μειωμένη ενέργεια, βασικά κριτήρια για να χαρακτηρισθεί κάποιο άτομο ευπαθές </w:t>
      </w:r>
      <w:r w:rsidR="0059720F" w:rsidRPr="0059720F">
        <w:rPr>
          <w:sz w:val="24"/>
          <w:szCs w:val="24"/>
        </w:rPr>
        <w:t>(Clegg et al., 2013).</w:t>
      </w:r>
    </w:p>
    <w:p w:rsidR="0059720F" w:rsidRDefault="005D5821" w:rsidP="004B56F3">
      <w:pPr>
        <w:rPr>
          <w:sz w:val="24"/>
          <w:szCs w:val="24"/>
        </w:rPr>
      </w:pPr>
      <w:r>
        <w:rPr>
          <w:sz w:val="24"/>
          <w:szCs w:val="24"/>
        </w:rPr>
        <w:t xml:space="preserve">Ο </w:t>
      </w:r>
      <w:r>
        <w:rPr>
          <w:sz w:val="24"/>
          <w:szCs w:val="24"/>
          <w:lang w:val="en-US"/>
        </w:rPr>
        <w:t>Al</w:t>
      </w:r>
      <w:r w:rsidRPr="005D5821">
        <w:rPr>
          <w:sz w:val="24"/>
          <w:szCs w:val="24"/>
        </w:rPr>
        <w:t xml:space="preserve"> </w:t>
      </w:r>
      <w:r>
        <w:rPr>
          <w:sz w:val="24"/>
          <w:szCs w:val="24"/>
          <w:lang w:val="en-US"/>
        </w:rPr>
        <w:t>Saedi</w:t>
      </w:r>
      <w:r w:rsidRPr="005D5821">
        <w:rPr>
          <w:sz w:val="24"/>
          <w:szCs w:val="24"/>
        </w:rPr>
        <w:t xml:space="preserve"> </w:t>
      </w:r>
      <w:r>
        <w:rPr>
          <w:sz w:val="24"/>
          <w:szCs w:val="24"/>
        </w:rPr>
        <w:t>και συν. (2019) αναφέρουν την κακή ρύθμιση της γλυκόζης</w:t>
      </w:r>
      <w:r w:rsidR="0071572B">
        <w:rPr>
          <w:sz w:val="24"/>
          <w:szCs w:val="24"/>
        </w:rPr>
        <w:t xml:space="preserve"> σημαντικό παράγοντα ευπάθειας και πτώσεων στα άτομα μεγάλης ηλικίας αλλά και την γήρανση του αίματος οδηγεί σε βασικά συμπτώματα όπως η κόπωση και η αδυναμία. </w:t>
      </w:r>
    </w:p>
    <w:p w:rsidR="0071572B" w:rsidRPr="00D54CAE" w:rsidRDefault="0071572B" w:rsidP="004B56F3">
      <w:pPr>
        <w:rPr>
          <w:sz w:val="24"/>
          <w:szCs w:val="24"/>
        </w:rPr>
      </w:pPr>
      <w:r>
        <w:rPr>
          <w:sz w:val="24"/>
          <w:szCs w:val="24"/>
        </w:rPr>
        <w:t>Το ανοσοποιητικό σύστημα με την πάροδο της ηλικίας δεν ανταποκρίνεται στο στρες και την φλεγμονή με κατάλληλο τρόπο αλλά μάλλον υπερβολικά και επίμονα. Με το γήρας</w:t>
      </w:r>
      <w:r w:rsidRPr="00D54CAE">
        <w:rPr>
          <w:sz w:val="24"/>
          <w:szCs w:val="24"/>
        </w:rPr>
        <w:t xml:space="preserve"> και τη θνησιμότητα έχουν συνδεθεί κυτοκίνες όπως η ιντερλευκίνη-6 (IL-6), η C-αντιδρώσα πρωτεΐνη (CRP) και ο παράγοντας νέκρωσης όγκου-α (TNFα) (Clegg et al., 2013).</w:t>
      </w:r>
      <w:r w:rsidR="00192F2B" w:rsidRPr="00D54CAE">
        <w:rPr>
          <w:sz w:val="24"/>
          <w:szCs w:val="24"/>
        </w:rPr>
        <w:t xml:space="preserve"> Ειδικότερα, η ιντερλευκίνη-6 σχετίζεται με την σαρκοπενία, την αναιμία και τον μεταβολισμό του σιδήρου. </w:t>
      </w:r>
    </w:p>
    <w:p w:rsidR="00CE463E" w:rsidRPr="00D54CAE" w:rsidRDefault="00CE463E" w:rsidP="004B56F3">
      <w:pPr>
        <w:rPr>
          <w:sz w:val="24"/>
          <w:szCs w:val="24"/>
        </w:rPr>
      </w:pPr>
      <w:r w:rsidRPr="00D54CAE">
        <w:rPr>
          <w:sz w:val="24"/>
          <w:szCs w:val="24"/>
        </w:rPr>
        <w:t xml:space="preserve">Οι </w:t>
      </w:r>
      <w:r w:rsidRPr="00D54CAE">
        <w:rPr>
          <w:sz w:val="24"/>
          <w:szCs w:val="24"/>
          <w:lang w:val="en-US"/>
        </w:rPr>
        <w:t>Clegg</w:t>
      </w:r>
      <w:r w:rsidRPr="00D54CAE">
        <w:rPr>
          <w:sz w:val="24"/>
          <w:szCs w:val="24"/>
        </w:rPr>
        <w:t xml:space="preserve"> και συν. (2013) αναφέρουν την φλεγμονή ως βασικό παράγοντα ευπάθειας λόγω της ανορεξίας και την αδυναμίας που προκαλεί. Επιπρόσθετα, τα άτομα </w:t>
      </w:r>
      <w:r w:rsidRPr="00D54CAE">
        <w:rPr>
          <w:sz w:val="24"/>
          <w:szCs w:val="24"/>
        </w:rPr>
        <w:lastRenderedPageBreak/>
        <w:t xml:space="preserve">μεγάλης ηλικίας παρά τον εμβολιασμό τους παρουσιάζουν μέτρια απόκριση στην γρίπη και τον πνευμονιόκοκκο. </w:t>
      </w:r>
    </w:p>
    <w:p w:rsidR="00CE463E" w:rsidRPr="00E23273" w:rsidRDefault="007112B8" w:rsidP="004B56F3">
      <w:pPr>
        <w:rPr>
          <w:sz w:val="24"/>
          <w:szCs w:val="24"/>
        </w:rPr>
      </w:pPr>
      <w:r w:rsidRPr="00D54CAE">
        <w:rPr>
          <w:sz w:val="24"/>
          <w:szCs w:val="24"/>
        </w:rPr>
        <w:t xml:space="preserve">Η </w:t>
      </w:r>
      <w:r w:rsidRPr="00D54CAE">
        <w:rPr>
          <w:sz w:val="24"/>
          <w:szCs w:val="24"/>
          <w:lang w:val="en-US"/>
        </w:rPr>
        <w:t>Fielding</w:t>
      </w:r>
      <w:r w:rsidRPr="00D54CAE">
        <w:rPr>
          <w:sz w:val="24"/>
          <w:szCs w:val="24"/>
        </w:rPr>
        <w:t xml:space="preserve"> (2015) υποστηρίζει ότι σημαντικό ρόλο στην ευπάθεια παίζουν οι ελεύθερες ρίζες οξυγόνου και η ενδοκυτταρική ομοιόσταση</w:t>
      </w:r>
      <w:r w:rsidR="00E14A75" w:rsidRPr="00D54CAE">
        <w:rPr>
          <w:sz w:val="24"/>
          <w:szCs w:val="24"/>
        </w:rPr>
        <w:t xml:space="preserve"> που επηρεάζονται από την ηλικία και το </w:t>
      </w:r>
      <w:r w:rsidR="00E14A75" w:rsidRPr="00D54CAE">
        <w:rPr>
          <w:sz w:val="24"/>
          <w:szCs w:val="24"/>
          <w:lang w:val="en-US"/>
        </w:rPr>
        <w:t>DNA</w:t>
      </w:r>
      <w:r w:rsidR="00E14A75" w:rsidRPr="00D54CAE">
        <w:rPr>
          <w:sz w:val="24"/>
          <w:szCs w:val="24"/>
        </w:rPr>
        <w:t xml:space="preserve">. Το χρόνιο στρες επιδρά επίσης στην μείωση </w:t>
      </w:r>
      <w:r w:rsidR="00E23273">
        <w:rPr>
          <w:sz w:val="24"/>
          <w:szCs w:val="24"/>
        </w:rPr>
        <w:t xml:space="preserve">του μήκους </w:t>
      </w:r>
      <w:r w:rsidR="00E14A75" w:rsidRPr="00D54CAE">
        <w:rPr>
          <w:sz w:val="24"/>
          <w:szCs w:val="24"/>
        </w:rPr>
        <w:t>των τελομερών που σχετίζονται μ την ευπάθεια (</w:t>
      </w:r>
      <w:r w:rsidR="00E14A75" w:rsidRPr="00D54CAE">
        <w:rPr>
          <w:sz w:val="24"/>
          <w:szCs w:val="24"/>
          <w:lang w:val="en-US"/>
        </w:rPr>
        <w:t>Hogan</w:t>
      </w:r>
      <w:r w:rsidR="00E14A75" w:rsidRPr="00D54CAE">
        <w:rPr>
          <w:sz w:val="24"/>
          <w:szCs w:val="24"/>
        </w:rPr>
        <w:t xml:space="preserve">, 2018). </w:t>
      </w:r>
    </w:p>
    <w:p w:rsidR="00D54CAE" w:rsidRDefault="00E23273" w:rsidP="004B56F3">
      <w:pPr>
        <w:rPr>
          <w:sz w:val="24"/>
          <w:szCs w:val="24"/>
        </w:rPr>
      </w:pPr>
      <w:r>
        <w:rPr>
          <w:sz w:val="24"/>
          <w:szCs w:val="24"/>
        </w:rPr>
        <w:t xml:space="preserve">Η σαρκοπενία σχετίζεται με την ευπάθεια καθώς τα άτομα χάνουν μυϊκή μάζα. Η σαρκοπενία αναπτύσσεται ως αποτέλεσμα του μη συντονισμού εγκεφάλου, ενδοκρινικού και ανοσοποιητικού συστήματος </w:t>
      </w:r>
      <w:r w:rsidR="00362F29">
        <w:rPr>
          <w:sz w:val="24"/>
          <w:szCs w:val="24"/>
        </w:rPr>
        <w:t>και της απώλειας της ομοιόστασης (</w:t>
      </w:r>
      <w:r w:rsidR="00362F29" w:rsidRPr="00362F29">
        <w:rPr>
          <w:sz w:val="24"/>
          <w:szCs w:val="24"/>
        </w:rPr>
        <w:t>Hernández Morante et al., 2019)</w:t>
      </w:r>
      <w:r w:rsidR="00362F29">
        <w:rPr>
          <w:sz w:val="24"/>
          <w:szCs w:val="24"/>
        </w:rPr>
        <w:t xml:space="preserve">. </w:t>
      </w:r>
    </w:p>
    <w:p w:rsidR="009E27BC" w:rsidRDefault="009E27BC" w:rsidP="004B56F3">
      <w:pPr>
        <w:rPr>
          <w:sz w:val="24"/>
          <w:szCs w:val="24"/>
        </w:rPr>
      </w:pPr>
      <w:r>
        <w:rPr>
          <w:sz w:val="24"/>
          <w:szCs w:val="24"/>
        </w:rPr>
        <w:t>Η σαρκοπενία αναφέρεται στο 1-3% των ατόμων άνω των 60 ετών και επιδεινώνεται σε ανθρώπους άνω των 80 ετών (</w:t>
      </w:r>
      <w:r>
        <w:rPr>
          <w:sz w:val="23"/>
          <w:szCs w:val="23"/>
        </w:rPr>
        <w:t>Clegg &amp; Hassan-Smith, 2018)</w:t>
      </w:r>
      <w:r>
        <w:rPr>
          <w:sz w:val="24"/>
          <w:szCs w:val="24"/>
        </w:rPr>
        <w:t xml:space="preserve">. </w:t>
      </w:r>
      <w:r w:rsidR="0000260D">
        <w:rPr>
          <w:sz w:val="24"/>
          <w:szCs w:val="24"/>
        </w:rPr>
        <w:t xml:space="preserve">Η σαρκοπενία εμποδίζει την σωματική άσκηση, οδηγεί σε υποσιτισμό καθώς η προσλαμβάνουσα ενέργεια δεν δαπανείται και δημιουργείται έλλειψη βασικών συστατικών </w:t>
      </w:r>
      <w:r w:rsidR="0000260D" w:rsidRPr="0000260D">
        <w:rPr>
          <w:sz w:val="24"/>
          <w:szCs w:val="24"/>
        </w:rPr>
        <w:t>(Yan</w:t>
      </w:r>
      <w:r w:rsidR="0000260D">
        <w:rPr>
          <w:sz w:val="24"/>
          <w:szCs w:val="24"/>
        </w:rPr>
        <w:t xml:space="preserve">nakoulia et al., 2017). </w:t>
      </w:r>
    </w:p>
    <w:p w:rsidR="00362F29" w:rsidRDefault="00243050" w:rsidP="004B56F3">
      <w:pPr>
        <w:rPr>
          <w:sz w:val="24"/>
          <w:szCs w:val="24"/>
        </w:rPr>
      </w:pPr>
      <w:r>
        <w:rPr>
          <w:sz w:val="24"/>
          <w:szCs w:val="24"/>
        </w:rPr>
        <w:t xml:space="preserve">Στο </w:t>
      </w:r>
      <w:r w:rsidRPr="00243050">
        <w:rPr>
          <w:i/>
          <w:sz w:val="24"/>
          <w:szCs w:val="24"/>
        </w:rPr>
        <w:t>σχήμα 3</w:t>
      </w:r>
      <w:r>
        <w:rPr>
          <w:i/>
          <w:sz w:val="24"/>
          <w:szCs w:val="24"/>
        </w:rPr>
        <w:t xml:space="preserve"> </w:t>
      </w:r>
      <w:r>
        <w:rPr>
          <w:sz w:val="24"/>
          <w:szCs w:val="24"/>
        </w:rPr>
        <w:t xml:space="preserve">φαίνεται ότι η προ-ευπάθεια αλλά και μετέπειτα η ευπάθεια προκύπτουν από ασθένειες, τραυματισμούς ή στρες. Γενετικοί και περιβαλλοντικοί παράγοντες δρουν σε διάφορα συστήματα και δημιουργούν βλάβες, οι οποίες επιδεινώνονται με την ελλειπή σωματική άσκηση και κακή διατροφή και ως συνέπεια οδηγούν σε ανικανότητα, πτώσεις και ανάγκη για συνεχή και επιτακτική φροντίδα. </w:t>
      </w:r>
    </w:p>
    <w:p w:rsidR="00240CA9" w:rsidRDefault="00240CA9" w:rsidP="004B56F3">
      <w:pPr>
        <w:rPr>
          <w:sz w:val="24"/>
          <w:szCs w:val="24"/>
        </w:rPr>
      </w:pPr>
    </w:p>
    <w:p w:rsidR="00240CA9" w:rsidRDefault="00240CA9" w:rsidP="004B56F3">
      <w:pPr>
        <w:rPr>
          <w:sz w:val="24"/>
          <w:szCs w:val="24"/>
        </w:rPr>
      </w:pPr>
      <w:r>
        <w:rPr>
          <w:noProof/>
          <w:sz w:val="24"/>
          <w:szCs w:val="24"/>
          <w:lang w:eastAsia="el-GR"/>
        </w:rPr>
        <w:lastRenderedPageBreak/>
        <w:drawing>
          <wp:inline distT="0" distB="0" distL="0" distR="0" wp14:anchorId="1D6CDCE0" wp14:editId="746240CF">
            <wp:extent cx="4998720" cy="377190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7589" cy="3771047"/>
                    </a:xfrm>
                    <a:prstGeom prst="rect">
                      <a:avLst/>
                    </a:prstGeom>
                    <a:noFill/>
                    <a:ln>
                      <a:noFill/>
                    </a:ln>
                  </pic:spPr>
                </pic:pic>
              </a:graphicData>
            </a:graphic>
          </wp:inline>
        </w:drawing>
      </w:r>
    </w:p>
    <w:p w:rsidR="00240CA9" w:rsidRDefault="00240CA9" w:rsidP="00240CA9">
      <w:pPr>
        <w:jc w:val="center"/>
        <w:rPr>
          <w:sz w:val="20"/>
          <w:szCs w:val="20"/>
        </w:rPr>
      </w:pPr>
      <w:r>
        <w:rPr>
          <w:sz w:val="20"/>
          <w:szCs w:val="20"/>
        </w:rPr>
        <w:t>Σχήμα 3. Η φυσιολογία της ευπάθειας</w:t>
      </w:r>
    </w:p>
    <w:p w:rsidR="00240CA9" w:rsidRDefault="00240CA9" w:rsidP="00240CA9">
      <w:pPr>
        <w:jc w:val="center"/>
        <w:rPr>
          <w:i/>
          <w:sz w:val="20"/>
          <w:szCs w:val="20"/>
        </w:rPr>
      </w:pPr>
      <w:r w:rsidRPr="006859A3">
        <w:rPr>
          <w:i/>
          <w:sz w:val="20"/>
          <w:szCs w:val="20"/>
        </w:rPr>
        <w:t xml:space="preserve">Πηγή: </w:t>
      </w:r>
      <w:r w:rsidRPr="006859A3">
        <w:rPr>
          <w:i/>
          <w:sz w:val="20"/>
          <w:szCs w:val="20"/>
          <w:lang w:val="en-US"/>
        </w:rPr>
        <w:t>Clegg</w:t>
      </w:r>
      <w:r w:rsidRPr="006859A3">
        <w:rPr>
          <w:i/>
          <w:sz w:val="20"/>
          <w:szCs w:val="20"/>
        </w:rPr>
        <w:t xml:space="preserve"> </w:t>
      </w:r>
      <w:r w:rsidRPr="006859A3">
        <w:rPr>
          <w:i/>
          <w:sz w:val="20"/>
          <w:szCs w:val="20"/>
          <w:lang w:val="en-US"/>
        </w:rPr>
        <w:t>ea</w:t>
      </w:r>
      <w:r w:rsidRPr="00240CA9">
        <w:rPr>
          <w:i/>
          <w:sz w:val="20"/>
          <w:szCs w:val="20"/>
        </w:rPr>
        <w:t xml:space="preserve"> </w:t>
      </w:r>
      <w:r w:rsidRPr="006859A3">
        <w:rPr>
          <w:i/>
          <w:sz w:val="20"/>
          <w:szCs w:val="20"/>
          <w:lang w:val="en-US"/>
        </w:rPr>
        <w:t>al</w:t>
      </w:r>
      <w:r w:rsidRPr="00240CA9">
        <w:rPr>
          <w:i/>
          <w:sz w:val="20"/>
          <w:szCs w:val="20"/>
        </w:rPr>
        <w:t>., 201</w:t>
      </w:r>
      <w:r>
        <w:rPr>
          <w:i/>
          <w:sz w:val="20"/>
          <w:szCs w:val="20"/>
        </w:rPr>
        <w:t>3</w:t>
      </w:r>
    </w:p>
    <w:p w:rsidR="00240CA9" w:rsidRPr="00240CA9" w:rsidRDefault="00240CA9" w:rsidP="00240CA9">
      <w:pPr>
        <w:jc w:val="center"/>
        <w:rPr>
          <w:i/>
          <w:sz w:val="20"/>
          <w:szCs w:val="20"/>
        </w:rPr>
      </w:pPr>
    </w:p>
    <w:p w:rsidR="00243050" w:rsidRPr="006859A3" w:rsidRDefault="006859A3" w:rsidP="004B56F3">
      <w:pPr>
        <w:rPr>
          <w:b/>
          <w:sz w:val="28"/>
          <w:szCs w:val="28"/>
        </w:rPr>
      </w:pPr>
      <w:r>
        <w:rPr>
          <w:b/>
          <w:sz w:val="28"/>
          <w:szCs w:val="28"/>
        </w:rPr>
        <w:t>2.2.2 Κοινωνικοί παράγοντες ευπάθειας</w:t>
      </w:r>
    </w:p>
    <w:p w:rsidR="00E14A75" w:rsidRDefault="00CD2315" w:rsidP="004B56F3">
      <w:pPr>
        <w:rPr>
          <w:sz w:val="24"/>
          <w:szCs w:val="24"/>
        </w:rPr>
      </w:pPr>
      <w:r>
        <w:rPr>
          <w:sz w:val="24"/>
          <w:szCs w:val="24"/>
        </w:rPr>
        <w:t xml:space="preserve">Υπάρχουν ποικίλοι παράγοντες που επηρεάζουν την ευπάθεια από την στιγμή της αρχής της στο άτομο αλλά και στο πως αυτή εξελίσσεται. </w:t>
      </w:r>
    </w:p>
    <w:p w:rsidR="00CD2315" w:rsidRDefault="00CD2315" w:rsidP="00CD2315">
      <w:pPr>
        <w:rPr>
          <w:sz w:val="24"/>
          <w:szCs w:val="24"/>
        </w:rPr>
      </w:pPr>
      <w:r w:rsidRPr="00392E33">
        <w:rPr>
          <w:sz w:val="24"/>
          <w:szCs w:val="24"/>
        </w:rPr>
        <w:t xml:space="preserve">Η </w:t>
      </w:r>
      <w:r w:rsidRPr="00392E33">
        <w:rPr>
          <w:b/>
          <w:i/>
          <w:sz w:val="24"/>
          <w:szCs w:val="24"/>
        </w:rPr>
        <w:t>ηλικία</w:t>
      </w:r>
      <w:r w:rsidRPr="00392E33">
        <w:rPr>
          <w:sz w:val="24"/>
          <w:szCs w:val="24"/>
        </w:rPr>
        <w:t xml:space="preserve"> </w:t>
      </w:r>
      <w:r>
        <w:rPr>
          <w:sz w:val="24"/>
          <w:szCs w:val="24"/>
        </w:rPr>
        <w:t xml:space="preserve">αποτελεί βασικό παράγοντα καθώς η ευπάθεια αυξάνεται με την πάροδο των ετών στα άτομα. Στην ηλικία των 65-69 ετών εμφανίζεται στο 4%, στα 70-74 έτη στο 7% και άνω των 80 στο 16%. Η ευπάθεια αναμένεται να αυξηθεί καθώς ο πληθυσμός γερνά και αυξάνεται στο προσδόκιμο ζωής </w:t>
      </w:r>
      <w:r w:rsidRPr="00CD2315">
        <w:rPr>
          <w:sz w:val="24"/>
          <w:szCs w:val="24"/>
        </w:rPr>
        <w:t>(Clegg et al., 2013; Hilmer et al., 2019).</w:t>
      </w:r>
    </w:p>
    <w:p w:rsidR="00CD2315" w:rsidRDefault="00CD2315" w:rsidP="00CD2315">
      <w:pPr>
        <w:rPr>
          <w:sz w:val="24"/>
          <w:szCs w:val="24"/>
        </w:rPr>
      </w:pPr>
      <w:r>
        <w:rPr>
          <w:sz w:val="24"/>
          <w:szCs w:val="24"/>
        </w:rPr>
        <w:t xml:space="preserve">Ως προς το </w:t>
      </w:r>
      <w:r w:rsidRPr="00392E33">
        <w:rPr>
          <w:b/>
          <w:i/>
          <w:sz w:val="24"/>
          <w:szCs w:val="24"/>
        </w:rPr>
        <w:t>φύλο</w:t>
      </w:r>
      <w:r>
        <w:rPr>
          <w:sz w:val="24"/>
          <w:szCs w:val="24"/>
        </w:rPr>
        <w:t xml:space="preserve"> η ευπάθεια προτιμά τις γυναίκες σε ποσοστό 9,6 % από τους άνδρες (5,2%) </w:t>
      </w:r>
      <w:r w:rsidRPr="00CD2315">
        <w:rPr>
          <w:sz w:val="24"/>
          <w:szCs w:val="24"/>
        </w:rPr>
        <w:t>(van Campen, 2012).</w:t>
      </w:r>
      <w:r>
        <w:rPr>
          <w:sz w:val="24"/>
          <w:szCs w:val="24"/>
        </w:rPr>
        <w:t xml:space="preserve"> Η μελέτη </w:t>
      </w:r>
      <w:r>
        <w:rPr>
          <w:sz w:val="24"/>
          <w:szCs w:val="24"/>
          <w:lang w:val="en-US"/>
        </w:rPr>
        <w:t>SHARE</w:t>
      </w:r>
      <w:r w:rsidRPr="00CD2315">
        <w:rPr>
          <w:sz w:val="24"/>
          <w:szCs w:val="24"/>
        </w:rPr>
        <w:t xml:space="preserve"> </w:t>
      </w:r>
      <w:r>
        <w:rPr>
          <w:sz w:val="24"/>
          <w:szCs w:val="24"/>
        </w:rPr>
        <w:t>έδειξε ότι στην Ευρώπη η προ-ευπάθεια σημειώνεται στο 25,8% των γυναικών</w:t>
      </w:r>
      <w:r w:rsidR="00392E33">
        <w:rPr>
          <w:sz w:val="24"/>
          <w:szCs w:val="24"/>
        </w:rPr>
        <w:t xml:space="preserve"> και 14,6% των ανδρών, ενώ τα αντίστοιχα ποσοστά επιπολασμού της ευπάθειας ήταν 7,3% στις γυναίκες και 3,1 % στους άνδρες </w:t>
      </w:r>
      <w:r w:rsidR="00392E33" w:rsidRPr="00392E33">
        <w:rPr>
          <w:sz w:val="24"/>
          <w:szCs w:val="24"/>
        </w:rPr>
        <w:t>(Romero-Ortuno, 2013).</w:t>
      </w:r>
      <w:r w:rsidR="00392E33">
        <w:rPr>
          <w:sz w:val="24"/>
          <w:szCs w:val="24"/>
        </w:rPr>
        <w:t xml:space="preserve"> Η διαφορά αυτή προκύπτει καθώς οι γυναίκες τείνουν να ζουν περισσότερο, είναι πιο ανθεκτικές αλλά είναι πιο ευπαθείς, αναρρώνουν πιο δύσκολα από τους άνδρες, έχουν ως συνέπεια περισσότερες αναπηρίες και σαρκοπενία. Αυτή αντίθεση μεταξύ υγείας και </w:t>
      </w:r>
      <w:r w:rsidR="00392E33">
        <w:rPr>
          <w:sz w:val="24"/>
          <w:szCs w:val="24"/>
        </w:rPr>
        <w:lastRenderedPageBreak/>
        <w:t xml:space="preserve">επιβίωσης μεταξύ των δυο φύλων οφείλεται σε ποικίλους παράγοντες </w:t>
      </w:r>
      <w:r w:rsidR="00392E33" w:rsidRPr="00392E33">
        <w:rPr>
          <w:sz w:val="24"/>
          <w:szCs w:val="24"/>
        </w:rPr>
        <w:t>(Gordon et al., 2017; Hubbard, 2015).</w:t>
      </w:r>
    </w:p>
    <w:p w:rsidR="00391183" w:rsidRDefault="00392E33" w:rsidP="00AF343E">
      <w:pPr>
        <w:rPr>
          <w:sz w:val="24"/>
          <w:szCs w:val="24"/>
        </w:rPr>
      </w:pPr>
      <w:r w:rsidRPr="00AF343E">
        <w:rPr>
          <w:sz w:val="24"/>
          <w:szCs w:val="24"/>
        </w:rPr>
        <w:t xml:space="preserve">Ως προς τη </w:t>
      </w:r>
      <w:r w:rsidRPr="00AF343E">
        <w:rPr>
          <w:b/>
          <w:i/>
          <w:sz w:val="24"/>
          <w:szCs w:val="24"/>
        </w:rPr>
        <w:t>φυλή</w:t>
      </w:r>
      <w:r w:rsidR="00391183">
        <w:rPr>
          <w:sz w:val="24"/>
          <w:szCs w:val="24"/>
        </w:rPr>
        <w:t>, οι Α</w:t>
      </w:r>
      <w:r w:rsidR="00AF343E">
        <w:rPr>
          <w:sz w:val="24"/>
          <w:szCs w:val="24"/>
        </w:rPr>
        <w:t xml:space="preserve">φροαμερικάνοι παρουσιάζουν μεγαλύτερα ποσοστά ευπάθειας σε ποσοστό 8,7 % στους άνδρες και 15% στις γυναίκες. </w:t>
      </w:r>
      <w:r w:rsidR="00391183">
        <w:rPr>
          <w:sz w:val="24"/>
          <w:szCs w:val="24"/>
        </w:rPr>
        <w:t xml:space="preserve">Επίσης, οι Αφροαμερικάνοι με χαμηλό </w:t>
      </w:r>
      <w:r w:rsidR="00391183">
        <w:rPr>
          <w:sz w:val="24"/>
          <w:szCs w:val="24"/>
          <w:lang w:val="en-US"/>
        </w:rPr>
        <w:t>BMI</w:t>
      </w:r>
      <w:r w:rsidR="00391183">
        <w:rPr>
          <w:sz w:val="24"/>
          <w:szCs w:val="24"/>
        </w:rPr>
        <w:t xml:space="preserve"> έχουν τετραπλάσιες πιθανότητες να εμφανίσουν ευπάθεια ανεξαρτήτου φύλου </w:t>
      </w:r>
      <w:r w:rsidR="00391183" w:rsidRPr="00391183">
        <w:rPr>
          <w:sz w:val="24"/>
          <w:szCs w:val="24"/>
        </w:rPr>
        <w:t>(Hirsch et al., 2006).</w:t>
      </w:r>
    </w:p>
    <w:p w:rsidR="00391183" w:rsidRDefault="00391183" w:rsidP="00AF343E">
      <w:pPr>
        <w:rPr>
          <w:sz w:val="24"/>
          <w:szCs w:val="24"/>
        </w:rPr>
      </w:pPr>
      <w:r>
        <w:rPr>
          <w:sz w:val="24"/>
          <w:szCs w:val="24"/>
        </w:rPr>
        <w:t xml:space="preserve">Η χαμηλή </w:t>
      </w:r>
      <w:r w:rsidRPr="00391183">
        <w:rPr>
          <w:b/>
          <w:i/>
          <w:sz w:val="24"/>
          <w:szCs w:val="24"/>
        </w:rPr>
        <w:t>κοινωνικο-οικονομική κατάσταση</w:t>
      </w:r>
      <w:r>
        <w:rPr>
          <w:sz w:val="24"/>
          <w:szCs w:val="24"/>
        </w:rPr>
        <w:t xml:space="preserve"> αυξάνει την ευπάθεια. Σε αυτό συνεισφέρουν παράγοντες όπως η παιδεία για την υγεία, η προσβασιμότητα στην υγεία και η φτώχεια. Η χηρεία, ο αναλφαβητισμός, η ανεργία και η πολυνοσηρότητα αυξάνουν την ευπάθεια </w:t>
      </w:r>
      <w:r w:rsidRPr="00391183">
        <w:rPr>
          <w:sz w:val="24"/>
          <w:szCs w:val="24"/>
        </w:rPr>
        <w:t>(Dasgupta et al., 2019; Hoogendijk et al., 2019).</w:t>
      </w:r>
      <w:r>
        <w:rPr>
          <w:sz w:val="24"/>
          <w:szCs w:val="24"/>
        </w:rPr>
        <w:t xml:space="preserve"> </w:t>
      </w:r>
    </w:p>
    <w:p w:rsidR="00C602DE" w:rsidRDefault="00391183" w:rsidP="00AF343E">
      <w:pPr>
        <w:rPr>
          <w:sz w:val="24"/>
          <w:szCs w:val="24"/>
        </w:rPr>
      </w:pPr>
      <w:r>
        <w:rPr>
          <w:sz w:val="24"/>
          <w:szCs w:val="24"/>
        </w:rPr>
        <w:t xml:space="preserve">Με βάση έρευνες που έχουν γίνει όπως η </w:t>
      </w:r>
      <w:r>
        <w:rPr>
          <w:sz w:val="24"/>
          <w:szCs w:val="24"/>
          <w:lang w:val="en-US"/>
        </w:rPr>
        <w:t>SHARE</w:t>
      </w:r>
      <w:r w:rsidRPr="00391183">
        <w:rPr>
          <w:sz w:val="24"/>
          <w:szCs w:val="24"/>
        </w:rPr>
        <w:t xml:space="preserve"> </w:t>
      </w:r>
      <w:r>
        <w:rPr>
          <w:sz w:val="24"/>
          <w:szCs w:val="24"/>
        </w:rPr>
        <w:t xml:space="preserve">βρέθηκε ότι το χαμηλό </w:t>
      </w:r>
      <w:r w:rsidRPr="00C602DE">
        <w:rPr>
          <w:b/>
          <w:i/>
          <w:sz w:val="24"/>
          <w:szCs w:val="24"/>
        </w:rPr>
        <w:t>μορφωτικό επίπεδο</w:t>
      </w:r>
      <w:r>
        <w:rPr>
          <w:sz w:val="24"/>
          <w:szCs w:val="24"/>
        </w:rPr>
        <w:t xml:space="preserve"> (κατά μ.</w:t>
      </w:r>
      <w:r w:rsidR="00C602DE">
        <w:rPr>
          <w:sz w:val="24"/>
          <w:szCs w:val="24"/>
        </w:rPr>
        <w:t xml:space="preserve"> ό</w:t>
      </w:r>
      <w:r>
        <w:rPr>
          <w:sz w:val="24"/>
          <w:szCs w:val="24"/>
        </w:rPr>
        <w:t>. τα 6,4 έτη)</w:t>
      </w:r>
      <w:r w:rsidR="00C602DE">
        <w:rPr>
          <w:sz w:val="24"/>
          <w:szCs w:val="24"/>
        </w:rPr>
        <w:t xml:space="preserve"> </w:t>
      </w:r>
      <w:r>
        <w:rPr>
          <w:sz w:val="24"/>
          <w:szCs w:val="24"/>
        </w:rPr>
        <w:t>αυξάνει την ευπάθεια</w:t>
      </w:r>
      <w:r w:rsidR="00C602DE">
        <w:rPr>
          <w:sz w:val="24"/>
          <w:szCs w:val="24"/>
        </w:rPr>
        <w:t xml:space="preserve"> </w:t>
      </w:r>
      <w:r w:rsidR="00C602DE" w:rsidRPr="00C602DE">
        <w:rPr>
          <w:sz w:val="24"/>
          <w:szCs w:val="24"/>
        </w:rPr>
        <w:t>(Etman et al., 2012).</w:t>
      </w:r>
      <w:r w:rsidR="00C602DE">
        <w:rPr>
          <w:sz w:val="24"/>
          <w:szCs w:val="24"/>
        </w:rPr>
        <w:t xml:space="preserve"> Τα ευρήματα αυτά επιβεβαίωσε και η ελληνική μελέτη της </w:t>
      </w:r>
      <w:r w:rsidR="00C602DE">
        <w:rPr>
          <w:sz w:val="24"/>
          <w:szCs w:val="24"/>
          <w:lang w:val="en-US"/>
        </w:rPr>
        <w:t>HELIAD</w:t>
      </w:r>
      <w:r w:rsidR="00C602DE" w:rsidRPr="00C602DE">
        <w:rPr>
          <w:sz w:val="24"/>
          <w:szCs w:val="24"/>
        </w:rPr>
        <w:t xml:space="preserve"> </w:t>
      </w:r>
      <w:r w:rsidR="00C602DE">
        <w:rPr>
          <w:sz w:val="24"/>
          <w:szCs w:val="24"/>
        </w:rPr>
        <w:t xml:space="preserve">όπου βρέθηκε ότι η εκπαίδευση άνω των 7 ετών επιδρά στην μείωση της ευπάθειας </w:t>
      </w:r>
      <w:r w:rsidR="00C602DE">
        <w:rPr>
          <w:sz w:val="23"/>
          <w:szCs w:val="23"/>
        </w:rPr>
        <w:t>(</w:t>
      </w:r>
      <w:r w:rsidR="00C602DE" w:rsidRPr="00C602DE">
        <w:rPr>
          <w:sz w:val="24"/>
          <w:szCs w:val="24"/>
        </w:rPr>
        <w:t xml:space="preserve">Ntanasi et al., 2020; Santos-Eggimann et al., 2009). </w:t>
      </w:r>
    </w:p>
    <w:p w:rsidR="00C602DE" w:rsidRDefault="00C602DE" w:rsidP="00AF343E">
      <w:pPr>
        <w:rPr>
          <w:sz w:val="24"/>
          <w:szCs w:val="24"/>
        </w:rPr>
      </w:pPr>
      <w:r>
        <w:rPr>
          <w:sz w:val="24"/>
          <w:szCs w:val="24"/>
        </w:rPr>
        <w:t>Όπως ήδη αναφέρθηκε, η ευπάθεια είναι πιο πιθανή σε</w:t>
      </w:r>
      <w:r w:rsidRPr="00C64B49">
        <w:rPr>
          <w:b/>
          <w:i/>
          <w:sz w:val="24"/>
          <w:szCs w:val="24"/>
        </w:rPr>
        <w:t xml:space="preserve"> χήρους</w:t>
      </w:r>
      <w:r>
        <w:rPr>
          <w:sz w:val="24"/>
          <w:szCs w:val="24"/>
        </w:rPr>
        <w:t xml:space="preserve"> από τους παντρεμένους άνδρες άνω των 60 ετών. Αυτό δεν φαίνεται να ισχύει για τις παντρεμένες γυναίκες που είναι πιο ευπαθείς από τις χήρες. Ακολούθως, τα άγαμα άτομα είναι πιο ευπαθή από τα έγγαμα. Τα ευρήματα όμως αυτά χρήζουν περαιτέρω διερεύνησης όπως αναφέρουν οι </w:t>
      </w:r>
      <w:r>
        <w:rPr>
          <w:sz w:val="24"/>
          <w:szCs w:val="24"/>
          <w:lang w:val="en-US"/>
        </w:rPr>
        <w:t>Kojima</w:t>
      </w:r>
      <w:r w:rsidRPr="00C602DE">
        <w:rPr>
          <w:sz w:val="24"/>
          <w:szCs w:val="24"/>
        </w:rPr>
        <w:t xml:space="preserve"> </w:t>
      </w:r>
      <w:r>
        <w:rPr>
          <w:sz w:val="24"/>
          <w:szCs w:val="24"/>
        </w:rPr>
        <w:t xml:space="preserve">και συν. (2020). </w:t>
      </w:r>
    </w:p>
    <w:p w:rsidR="00C602DE" w:rsidRDefault="00F309BF" w:rsidP="00AF343E">
      <w:pPr>
        <w:rPr>
          <w:sz w:val="24"/>
          <w:szCs w:val="24"/>
        </w:rPr>
      </w:pPr>
      <w:r>
        <w:rPr>
          <w:sz w:val="24"/>
          <w:szCs w:val="24"/>
        </w:rPr>
        <w:t>Τα άτομα που ζουν</w:t>
      </w:r>
      <w:r w:rsidRPr="00C64B49">
        <w:rPr>
          <w:b/>
          <w:i/>
          <w:sz w:val="24"/>
          <w:szCs w:val="24"/>
        </w:rPr>
        <w:t xml:space="preserve"> μόνα</w:t>
      </w:r>
      <w:r>
        <w:rPr>
          <w:sz w:val="24"/>
          <w:szCs w:val="24"/>
        </w:rPr>
        <w:t xml:space="preserve"> είναι σημαντικά πιο ευπαθή</w:t>
      </w:r>
      <w:r w:rsidR="00C64B49">
        <w:rPr>
          <w:sz w:val="24"/>
          <w:szCs w:val="24"/>
        </w:rPr>
        <w:t xml:space="preserve"> αν είναι άνδρες, ενώ δεν ισχύει το ίδιο για τις μοναχικές γυναίκες </w:t>
      </w:r>
      <w:r w:rsidR="00C64B49" w:rsidRPr="00C64B49">
        <w:rPr>
          <w:sz w:val="24"/>
          <w:szCs w:val="24"/>
        </w:rPr>
        <w:t xml:space="preserve">(Kojima, Taniguchi, et </w:t>
      </w:r>
      <w:r w:rsidR="00C64B49">
        <w:rPr>
          <w:sz w:val="24"/>
          <w:szCs w:val="24"/>
        </w:rPr>
        <w:t>al., 2020)</w:t>
      </w:r>
      <w:r w:rsidR="00C64B49" w:rsidRPr="00C64B49">
        <w:rPr>
          <w:sz w:val="24"/>
          <w:szCs w:val="24"/>
        </w:rPr>
        <w:t>.</w:t>
      </w:r>
      <w:r w:rsidR="00C64B49">
        <w:rPr>
          <w:sz w:val="24"/>
          <w:szCs w:val="24"/>
        </w:rPr>
        <w:t xml:space="preserve"> </w:t>
      </w:r>
    </w:p>
    <w:p w:rsidR="00C64B49" w:rsidRDefault="004A6DDD" w:rsidP="00AF343E">
      <w:pPr>
        <w:rPr>
          <w:sz w:val="24"/>
          <w:szCs w:val="24"/>
        </w:rPr>
      </w:pPr>
      <w:r>
        <w:rPr>
          <w:sz w:val="24"/>
          <w:szCs w:val="24"/>
        </w:rPr>
        <w:t xml:space="preserve">Ακόμα και η </w:t>
      </w:r>
      <w:r w:rsidRPr="004A6DDD">
        <w:rPr>
          <w:b/>
          <w:i/>
          <w:sz w:val="24"/>
          <w:szCs w:val="24"/>
        </w:rPr>
        <w:t>παιδική ηλικία</w:t>
      </w:r>
      <w:r>
        <w:rPr>
          <w:sz w:val="24"/>
          <w:szCs w:val="24"/>
        </w:rPr>
        <w:t xml:space="preserve"> έχει συσχετιστεί με την ευπάθεια καθώς φάνηκε ότι η πείνα και η κακή υγεία ως παιδιά  επηρεάζει σημαντικά . Πέρα από την παιδική ηλικία, οι συνθήκες στην ενήλικη ζωή και η τρέχουσα κοινωνική και οικονομική κατάσταση των ατόμων επηρεάζει την εμφάνιση της ευπάθειας. Ειδικά, οι γυναίκες που δεν είχαν καλή μόρφωση, ασχολούνταν με τα οικιακά και είχαν οικονομικές δυσκολίες ήταν πιο ευπαθής σε μεγάλη ηλικία </w:t>
      </w:r>
      <w:r w:rsidRPr="004A6DDD">
        <w:rPr>
          <w:sz w:val="24"/>
          <w:szCs w:val="24"/>
        </w:rPr>
        <w:t>(Alvarado et al., 2008).</w:t>
      </w:r>
      <w:r>
        <w:rPr>
          <w:sz w:val="24"/>
          <w:szCs w:val="24"/>
        </w:rPr>
        <w:t xml:space="preserve"> </w:t>
      </w:r>
    </w:p>
    <w:p w:rsidR="004A6DDD" w:rsidRDefault="004A6DDD" w:rsidP="00AF343E">
      <w:pPr>
        <w:rPr>
          <w:sz w:val="24"/>
          <w:szCs w:val="24"/>
        </w:rPr>
      </w:pPr>
      <w:r>
        <w:rPr>
          <w:sz w:val="24"/>
          <w:szCs w:val="24"/>
        </w:rPr>
        <w:t xml:space="preserve">Τέλος, η </w:t>
      </w:r>
      <w:r w:rsidRPr="00513041">
        <w:rPr>
          <w:b/>
          <w:i/>
          <w:sz w:val="24"/>
          <w:szCs w:val="24"/>
        </w:rPr>
        <w:t>κοινωνική απομόνωση</w:t>
      </w:r>
      <w:r>
        <w:rPr>
          <w:sz w:val="24"/>
          <w:szCs w:val="24"/>
        </w:rPr>
        <w:t xml:space="preserve"> και η μη συμμετοχή σε υποστηρικτικά δίκτυα</w:t>
      </w:r>
      <w:r w:rsidR="00F20DD2">
        <w:rPr>
          <w:sz w:val="24"/>
          <w:szCs w:val="24"/>
        </w:rPr>
        <w:t xml:space="preserve"> οδηγούν σε κοινωνική ευπάθεια </w:t>
      </w:r>
      <w:r w:rsidR="00F20DD2" w:rsidRPr="00F20DD2">
        <w:rPr>
          <w:sz w:val="24"/>
          <w:szCs w:val="24"/>
        </w:rPr>
        <w:t>(van Campen, 2012)</w:t>
      </w:r>
      <w:r w:rsidR="00F20DD2">
        <w:rPr>
          <w:sz w:val="24"/>
          <w:szCs w:val="24"/>
        </w:rPr>
        <w:t xml:space="preserve">. Οι γυναίκες τείνουν να είναι πιο κοινωνικές και να λαμβάνουν υποστήριξη, γεγονός που οδηγεί σε καλύτερη διαχείριση της ευπάθειας σε αντίθεση με τους άνδρες που είναι πιο απομονωμένοι, ευπαθείς με μεγαλύτερα ποσοστά θνητότητας </w:t>
      </w:r>
      <w:r w:rsidR="00F20DD2" w:rsidRPr="00F20DD2">
        <w:rPr>
          <w:sz w:val="24"/>
          <w:szCs w:val="24"/>
        </w:rPr>
        <w:t>(Gordon &amp; Hubbard, 2020)</w:t>
      </w:r>
      <w:r w:rsidR="00F20DD2">
        <w:rPr>
          <w:sz w:val="24"/>
          <w:szCs w:val="24"/>
        </w:rPr>
        <w:t xml:space="preserve">. </w:t>
      </w:r>
    </w:p>
    <w:p w:rsidR="00F26D87" w:rsidRDefault="00F26D87" w:rsidP="00CF7455">
      <w:pPr>
        <w:jc w:val="center"/>
        <w:rPr>
          <w:sz w:val="24"/>
          <w:szCs w:val="24"/>
        </w:rPr>
      </w:pPr>
    </w:p>
    <w:p w:rsidR="00F26D87" w:rsidRPr="00F26D87" w:rsidRDefault="00F26D87" w:rsidP="00AF343E">
      <w:pPr>
        <w:rPr>
          <w:b/>
          <w:sz w:val="28"/>
          <w:szCs w:val="28"/>
        </w:rPr>
      </w:pPr>
      <w:r w:rsidRPr="00F26D87">
        <w:rPr>
          <w:b/>
          <w:sz w:val="28"/>
          <w:szCs w:val="28"/>
        </w:rPr>
        <w:t>2.2.3 Κλινικοί παράγοντες ευπάθειας</w:t>
      </w:r>
    </w:p>
    <w:p w:rsidR="004A6DDD" w:rsidRDefault="00CF7455" w:rsidP="00AF343E">
      <w:pPr>
        <w:rPr>
          <w:sz w:val="24"/>
          <w:szCs w:val="24"/>
        </w:rPr>
      </w:pPr>
      <w:r>
        <w:rPr>
          <w:sz w:val="24"/>
          <w:szCs w:val="24"/>
        </w:rPr>
        <w:lastRenderedPageBreak/>
        <w:t>Σύμφωνα με την Μελέτη Καρδιαγγειακής Υγείας (</w:t>
      </w:r>
      <w:r>
        <w:rPr>
          <w:sz w:val="24"/>
          <w:szCs w:val="24"/>
          <w:lang w:val="en-US"/>
        </w:rPr>
        <w:t>CHS</w:t>
      </w:r>
      <w:r>
        <w:rPr>
          <w:sz w:val="24"/>
          <w:szCs w:val="24"/>
        </w:rPr>
        <w:t>)</w:t>
      </w:r>
      <w:r w:rsidRPr="00CF7455">
        <w:rPr>
          <w:sz w:val="24"/>
          <w:szCs w:val="24"/>
        </w:rPr>
        <w:t xml:space="preserve"> </w:t>
      </w:r>
      <w:r>
        <w:rPr>
          <w:sz w:val="24"/>
          <w:szCs w:val="24"/>
        </w:rPr>
        <w:t xml:space="preserve">τα άτομα μεγάλης ηλικίας που είναι ευπαθή έχουν περίπου 2,1 μέσο αριθμό χρόνιων παθήσεων έναντι 1,4 των μη ευπαθών </w:t>
      </w:r>
      <w:r w:rsidRPr="00CF7455">
        <w:rPr>
          <w:sz w:val="24"/>
          <w:szCs w:val="24"/>
        </w:rPr>
        <w:t>(Fried et al., 2001; Weiss, 2011).</w:t>
      </w:r>
      <w:r>
        <w:rPr>
          <w:sz w:val="24"/>
          <w:szCs w:val="24"/>
        </w:rPr>
        <w:t xml:space="preserve"> Στην συγκεκριμένη μελέτη αναδείχθηκε η ανεξάρτητη εμφάνιση της ευπάθειας σε σχέση με την συννοσηρότητα και την αναπηρία στ άτομα. Επιπλέον, η ευπάθεια συνδέθηκε με διάφορες χρόνιες παθήσεις.</w:t>
      </w:r>
    </w:p>
    <w:p w:rsidR="00CF7455" w:rsidRPr="000C7FB0" w:rsidRDefault="00CF7455" w:rsidP="00AF343E">
      <w:pPr>
        <w:rPr>
          <w:sz w:val="24"/>
          <w:szCs w:val="24"/>
        </w:rPr>
      </w:pPr>
      <w:r>
        <w:rPr>
          <w:sz w:val="24"/>
          <w:szCs w:val="24"/>
        </w:rPr>
        <w:t xml:space="preserve">Οι ευπαθείς ηλικιωμένοι εμφανίζουν συχνά </w:t>
      </w:r>
      <w:r w:rsidRPr="00CF7455">
        <w:rPr>
          <w:b/>
          <w:i/>
          <w:sz w:val="24"/>
          <w:szCs w:val="24"/>
        </w:rPr>
        <w:t>υπέρταση</w:t>
      </w:r>
      <w:r>
        <w:rPr>
          <w:b/>
          <w:i/>
          <w:sz w:val="24"/>
          <w:szCs w:val="24"/>
        </w:rPr>
        <w:t xml:space="preserve"> </w:t>
      </w:r>
      <w:r>
        <w:rPr>
          <w:sz w:val="24"/>
          <w:szCs w:val="24"/>
        </w:rPr>
        <w:t xml:space="preserve">σύμφωνα μ την </w:t>
      </w:r>
      <w:r w:rsidRPr="00CF7455">
        <w:rPr>
          <w:sz w:val="24"/>
          <w:szCs w:val="24"/>
        </w:rPr>
        <w:t>National Health a</w:t>
      </w:r>
      <w:r>
        <w:rPr>
          <w:sz w:val="24"/>
          <w:szCs w:val="24"/>
        </w:rPr>
        <w:t>nd Nutrition Examination Survey όπου καταγράφηκε σ</w:t>
      </w:r>
      <w:r w:rsidR="00D62504">
        <w:rPr>
          <w:sz w:val="24"/>
          <w:szCs w:val="24"/>
        </w:rPr>
        <w:t>τ</w:t>
      </w:r>
      <w:r>
        <w:rPr>
          <w:sz w:val="24"/>
          <w:szCs w:val="24"/>
        </w:rPr>
        <w:t xml:space="preserve">ο 60,8% </w:t>
      </w:r>
      <w:r w:rsidR="00D62504">
        <w:rPr>
          <w:sz w:val="24"/>
          <w:szCs w:val="24"/>
        </w:rPr>
        <w:t>έναντι 49,8%</w:t>
      </w:r>
      <w:r w:rsidR="000C7FB0">
        <w:rPr>
          <w:sz w:val="24"/>
          <w:szCs w:val="24"/>
        </w:rPr>
        <w:t xml:space="preserve"> των μη ευπαθών. Η πρόληψη των καρδιαγγειακών νοσημάτων πιθανώς να βελτιώσει και την εμφάνιση της ευπάθειας στα άτομα (</w:t>
      </w:r>
      <w:r w:rsidR="000C7FB0">
        <w:rPr>
          <w:sz w:val="24"/>
          <w:szCs w:val="24"/>
          <w:lang w:val="en-US"/>
        </w:rPr>
        <w:t>Liu</w:t>
      </w:r>
      <w:r w:rsidR="000C7FB0" w:rsidRPr="000C7FB0">
        <w:rPr>
          <w:sz w:val="24"/>
          <w:szCs w:val="24"/>
        </w:rPr>
        <w:t xml:space="preserve"> </w:t>
      </w:r>
      <w:r w:rsidR="000C7FB0">
        <w:rPr>
          <w:sz w:val="24"/>
          <w:szCs w:val="24"/>
          <w:lang w:val="en-US"/>
        </w:rPr>
        <w:t>et</w:t>
      </w:r>
      <w:r w:rsidR="000C7FB0" w:rsidRPr="000C7FB0">
        <w:rPr>
          <w:sz w:val="24"/>
          <w:szCs w:val="24"/>
        </w:rPr>
        <w:t xml:space="preserve"> </w:t>
      </w:r>
      <w:r w:rsidR="000C7FB0">
        <w:rPr>
          <w:sz w:val="24"/>
          <w:szCs w:val="24"/>
          <w:lang w:val="en-US"/>
        </w:rPr>
        <w:t>al</w:t>
      </w:r>
      <w:r w:rsidR="000C7FB0" w:rsidRPr="000C7FB0">
        <w:rPr>
          <w:sz w:val="24"/>
          <w:szCs w:val="24"/>
        </w:rPr>
        <w:t>., 2020</w:t>
      </w:r>
      <w:r w:rsidR="000C7FB0">
        <w:rPr>
          <w:sz w:val="24"/>
          <w:szCs w:val="24"/>
        </w:rPr>
        <w:t>).</w:t>
      </w:r>
    </w:p>
    <w:p w:rsidR="000C7FB0" w:rsidRPr="00531776" w:rsidRDefault="00C50E82" w:rsidP="00AF343E">
      <w:pPr>
        <w:rPr>
          <w:sz w:val="24"/>
          <w:szCs w:val="24"/>
        </w:rPr>
      </w:pPr>
      <w:r>
        <w:rPr>
          <w:sz w:val="24"/>
          <w:szCs w:val="24"/>
        </w:rPr>
        <w:t>Η χρόνια αποφρακτική πνευμονοπάθεια (ΧΑΠ) έχει συσχετισθεί με κινητική αναπηρία και ευπάθεια. Στην Ελλάδα οι ασθενείς με ΧΑΠ εμφανίζουν ποσοστό 82% ευπάθειας με μ.ο. ηλικίας τα 67 έτη και συνοδό κινητική αναπηρία (</w:t>
      </w:r>
      <w:r>
        <w:rPr>
          <w:sz w:val="24"/>
          <w:szCs w:val="24"/>
          <w:lang w:val="en-US"/>
        </w:rPr>
        <w:t>Ierodiakonou</w:t>
      </w:r>
      <w:r w:rsidRPr="00C50E82">
        <w:rPr>
          <w:sz w:val="24"/>
          <w:szCs w:val="24"/>
        </w:rPr>
        <w:t xml:space="preserve"> </w:t>
      </w:r>
      <w:r>
        <w:rPr>
          <w:sz w:val="24"/>
          <w:szCs w:val="24"/>
          <w:lang w:val="en-US"/>
        </w:rPr>
        <w:t>et</w:t>
      </w:r>
      <w:r w:rsidRPr="00C50E82">
        <w:rPr>
          <w:sz w:val="24"/>
          <w:szCs w:val="24"/>
        </w:rPr>
        <w:t xml:space="preserve"> </w:t>
      </w:r>
      <w:r>
        <w:rPr>
          <w:sz w:val="24"/>
          <w:szCs w:val="24"/>
          <w:lang w:val="en-US"/>
        </w:rPr>
        <w:t>al</w:t>
      </w:r>
      <w:r w:rsidRPr="00C50E82">
        <w:rPr>
          <w:sz w:val="24"/>
          <w:szCs w:val="24"/>
        </w:rPr>
        <w:t>., 2019</w:t>
      </w:r>
      <w:r>
        <w:rPr>
          <w:sz w:val="24"/>
          <w:szCs w:val="24"/>
        </w:rPr>
        <w:t>)</w:t>
      </w:r>
      <w:r w:rsidRPr="00C50E82">
        <w:rPr>
          <w:sz w:val="24"/>
          <w:szCs w:val="24"/>
        </w:rPr>
        <w:t>.</w:t>
      </w:r>
    </w:p>
    <w:p w:rsidR="00C50E82" w:rsidRDefault="00CA0C4F" w:rsidP="00AF343E">
      <w:pPr>
        <w:rPr>
          <w:sz w:val="24"/>
          <w:szCs w:val="24"/>
        </w:rPr>
      </w:pPr>
      <w:r>
        <w:rPr>
          <w:sz w:val="24"/>
          <w:szCs w:val="24"/>
        </w:rPr>
        <w:t xml:space="preserve">Παθήσεις που σχετίζονται με την ευπάθεια είναι ο σακχαρώδης διαβήτης, ο καρκίνος, το άσθμα, η καρδιακή ανεπάρκεια, η αρθρίτιδα, η νεφρική νόσος και το εγκεφαλικό επεισόδιο. Σε μελέτη των </w:t>
      </w:r>
      <w:r>
        <w:rPr>
          <w:sz w:val="24"/>
          <w:szCs w:val="24"/>
          <w:lang w:val="en-US"/>
        </w:rPr>
        <w:t>Hanlon</w:t>
      </w:r>
      <w:r w:rsidRPr="00A94E6F">
        <w:rPr>
          <w:sz w:val="24"/>
          <w:szCs w:val="24"/>
        </w:rPr>
        <w:t xml:space="preserve"> </w:t>
      </w:r>
      <w:r>
        <w:rPr>
          <w:sz w:val="24"/>
          <w:szCs w:val="24"/>
        </w:rPr>
        <w:t>και συν. (2018)</w:t>
      </w:r>
      <w:r w:rsidR="00A94E6F">
        <w:rPr>
          <w:sz w:val="24"/>
          <w:szCs w:val="24"/>
        </w:rPr>
        <w:t xml:space="preserve"> οι σημαντικότερες παθήσεις που επηρεάζουν την προ-ευπάθεια και την ευπάθεια είναι η σκλήρυνση κατά πλάκας, η χρόνια κόπωση, το ΧΑΠ, η νόσος συνδετικού ιστού και ο διαβήτης. Οι </w:t>
      </w:r>
      <w:r w:rsidR="00A94E6F">
        <w:rPr>
          <w:sz w:val="24"/>
          <w:szCs w:val="24"/>
          <w:lang w:val="en-US"/>
        </w:rPr>
        <w:t>Hogan</w:t>
      </w:r>
      <w:r w:rsidR="00A94E6F" w:rsidRPr="00A94E6F">
        <w:rPr>
          <w:sz w:val="24"/>
          <w:szCs w:val="24"/>
        </w:rPr>
        <w:t xml:space="preserve"> </w:t>
      </w:r>
      <w:r w:rsidR="00A94E6F">
        <w:rPr>
          <w:sz w:val="24"/>
          <w:szCs w:val="24"/>
        </w:rPr>
        <w:t xml:space="preserve">και συν. (2018) ανέδειξαν την σχέση ευπάθειας και εγκεφαλοαγγεικών νοσων, της άνοιας, της κατάθλιψης, των καταγμάτων ισχίου, της οστεοπόρωσης, του </w:t>
      </w:r>
      <w:r w:rsidR="00A94E6F">
        <w:rPr>
          <w:sz w:val="24"/>
          <w:szCs w:val="24"/>
          <w:lang w:val="en-US"/>
        </w:rPr>
        <w:t>HPV</w:t>
      </w:r>
      <w:r w:rsidR="00A94E6F">
        <w:rPr>
          <w:sz w:val="24"/>
          <w:szCs w:val="24"/>
        </w:rPr>
        <w:t xml:space="preserve">, της οστεοαρθρίτιδας, της νεφρικής ανεπάρκειας και της νόσου Πάρκινσον. </w:t>
      </w:r>
    </w:p>
    <w:p w:rsidR="00A94E6F" w:rsidRDefault="003971B7" w:rsidP="00AF343E">
      <w:pPr>
        <w:rPr>
          <w:sz w:val="24"/>
          <w:szCs w:val="24"/>
        </w:rPr>
      </w:pPr>
      <w:r>
        <w:rPr>
          <w:sz w:val="24"/>
          <w:szCs w:val="24"/>
        </w:rPr>
        <w:t xml:space="preserve">Η </w:t>
      </w:r>
      <w:r w:rsidRPr="004575D1">
        <w:rPr>
          <w:b/>
          <w:i/>
          <w:sz w:val="24"/>
          <w:szCs w:val="24"/>
        </w:rPr>
        <w:t>πολυφαρμακία</w:t>
      </w:r>
      <w:r>
        <w:rPr>
          <w:sz w:val="24"/>
          <w:szCs w:val="24"/>
        </w:rPr>
        <w:t xml:space="preserve"> ορίζεται ως η λήψη πέντε ή περισσότερων φαρμάκων, χαρακτηριστικό μεγάλου ποσοστού ηλικιωμένων. Η σχέση πολυφαρμακίας και ευπάθειας είναι ιδιαίτερα σύνθετη.  Η ευπάθεια φαίνεται να επηρεάζει την φαρμακοδυναμική και την φαρμακοκινητική των φαρμάκων σύμφωνα με τους </w:t>
      </w:r>
      <w:r>
        <w:rPr>
          <w:sz w:val="24"/>
          <w:szCs w:val="24"/>
          <w:lang w:val="en-US"/>
        </w:rPr>
        <w:t>Hilmer</w:t>
      </w:r>
      <w:r w:rsidRPr="003971B7">
        <w:rPr>
          <w:sz w:val="24"/>
          <w:szCs w:val="24"/>
        </w:rPr>
        <w:t xml:space="preserve"> </w:t>
      </w:r>
      <w:r>
        <w:rPr>
          <w:sz w:val="24"/>
          <w:szCs w:val="24"/>
        </w:rPr>
        <w:t>και συν. (2019)</w:t>
      </w:r>
      <w:r w:rsidR="00291972">
        <w:rPr>
          <w:sz w:val="24"/>
          <w:szCs w:val="24"/>
        </w:rPr>
        <w:t xml:space="preserve">. Σε ανασκόπηση μελετών το 2018 οι </w:t>
      </w:r>
      <w:r w:rsidR="00291972">
        <w:rPr>
          <w:sz w:val="24"/>
          <w:szCs w:val="24"/>
          <w:lang w:val="en-US"/>
        </w:rPr>
        <w:t>Gutierrez</w:t>
      </w:r>
      <w:r w:rsidR="00291972" w:rsidRPr="00F747FB">
        <w:rPr>
          <w:sz w:val="24"/>
          <w:szCs w:val="24"/>
        </w:rPr>
        <w:t>-</w:t>
      </w:r>
      <w:r w:rsidR="00291972">
        <w:rPr>
          <w:sz w:val="24"/>
          <w:szCs w:val="24"/>
          <w:lang w:val="en-US"/>
        </w:rPr>
        <w:t>Valencia</w:t>
      </w:r>
      <w:r w:rsidR="00291972">
        <w:rPr>
          <w:sz w:val="24"/>
          <w:szCs w:val="24"/>
        </w:rPr>
        <w:t xml:space="preserve"> και συν.</w:t>
      </w:r>
      <w:r w:rsidR="00F747FB" w:rsidRPr="00F747FB">
        <w:rPr>
          <w:sz w:val="24"/>
          <w:szCs w:val="24"/>
        </w:rPr>
        <w:t xml:space="preserve"> </w:t>
      </w:r>
      <w:r w:rsidR="00F747FB">
        <w:rPr>
          <w:sz w:val="24"/>
          <w:szCs w:val="24"/>
        </w:rPr>
        <w:t xml:space="preserve">ανέδειξαν την αμφίδρομη σχέση μεταξύ πολυφαρμακίας και ευπάθειας. Η πολυφαρμακία και οι ανεπιθύμητες παρενέργειες των φαρμάκων περιλαμβάνονται στην εκτίμηση της ευπάθειας. </w:t>
      </w:r>
    </w:p>
    <w:p w:rsidR="00F747FB" w:rsidRDefault="008E2879" w:rsidP="00AF343E">
      <w:pPr>
        <w:rPr>
          <w:sz w:val="24"/>
          <w:szCs w:val="24"/>
        </w:rPr>
      </w:pPr>
      <w:r>
        <w:rPr>
          <w:sz w:val="24"/>
          <w:szCs w:val="24"/>
        </w:rPr>
        <w:t xml:space="preserve">Όσο αφορά τις ψυχολογικές αιτίες της ευπάθειας, σημαντικό ρόλο παίζει η </w:t>
      </w:r>
      <w:r w:rsidRPr="004575D1">
        <w:rPr>
          <w:b/>
          <w:i/>
          <w:sz w:val="24"/>
          <w:szCs w:val="24"/>
        </w:rPr>
        <w:t>κατάθλιψη</w:t>
      </w:r>
      <w:r>
        <w:rPr>
          <w:sz w:val="24"/>
          <w:szCs w:val="24"/>
        </w:rPr>
        <w:t xml:space="preserve"> και η έλλειψη συντρόφου. Οι καταστάσεις αυτές συνδέονται με την χαμηλότερη γνωστική λειτουργία </w:t>
      </w:r>
      <w:r w:rsidRPr="008E2879">
        <w:rPr>
          <w:sz w:val="24"/>
          <w:szCs w:val="24"/>
        </w:rPr>
        <w:t>(Carneiro et al., 2017).</w:t>
      </w:r>
      <w:r>
        <w:rPr>
          <w:sz w:val="24"/>
          <w:szCs w:val="24"/>
        </w:rPr>
        <w:t xml:space="preserve"> </w:t>
      </w:r>
      <w:r w:rsidR="00FC789C">
        <w:rPr>
          <w:sz w:val="24"/>
          <w:szCs w:val="24"/>
        </w:rPr>
        <w:t xml:space="preserve">Η ευπάθεια φαίνεται να είμαι υψηλότερη σε άτομα με κατάθλιψη άνω των 65 ετών και ιδιαίτερα οι άνδρες. Η χρήση αντικαταθλιπτικών αυξάνει την ευπάθεια </w:t>
      </w:r>
      <w:r w:rsidR="00FC789C" w:rsidRPr="00FC789C">
        <w:rPr>
          <w:sz w:val="24"/>
          <w:szCs w:val="24"/>
        </w:rPr>
        <w:t>(Chu et al., 2019; Satake &amp; Arai, 2020).</w:t>
      </w:r>
    </w:p>
    <w:p w:rsidR="004575D1" w:rsidRPr="00531776" w:rsidRDefault="004575D1" w:rsidP="00AF343E">
      <w:pPr>
        <w:rPr>
          <w:sz w:val="24"/>
          <w:szCs w:val="24"/>
        </w:rPr>
      </w:pPr>
      <w:r>
        <w:rPr>
          <w:sz w:val="24"/>
          <w:szCs w:val="24"/>
        </w:rPr>
        <w:lastRenderedPageBreak/>
        <w:t xml:space="preserve">Τα άτομα μεγάλης ηλικίας συχνά παρουσιάζουν </w:t>
      </w:r>
      <w:r w:rsidRPr="00360A9E">
        <w:rPr>
          <w:b/>
          <w:i/>
          <w:sz w:val="24"/>
          <w:szCs w:val="24"/>
        </w:rPr>
        <w:t>μειωμένη όρεξη</w:t>
      </w:r>
      <w:r>
        <w:rPr>
          <w:sz w:val="24"/>
          <w:szCs w:val="24"/>
        </w:rPr>
        <w:t xml:space="preserve"> για φαγητό και απώλεια βάρους. Η ανορεξία θεωρείται παράγοντας ευπάθειας με δυνατότητα σημαντικής βελτίωσης με τις κατάλληλες παρεμβάσεις (</w:t>
      </w:r>
      <w:r>
        <w:rPr>
          <w:sz w:val="24"/>
          <w:szCs w:val="24"/>
          <w:lang w:val="en-US"/>
        </w:rPr>
        <w:t>Sanford</w:t>
      </w:r>
      <w:r w:rsidRPr="004575D1">
        <w:rPr>
          <w:sz w:val="24"/>
          <w:szCs w:val="24"/>
        </w:rPr>
        <w:t>, 2017</w:t>
      </w:r>
      <w:r>
        <w:rPr>
          <w:sz w:val="24"/>
          <w:szCs w:val="24"/>
        </w:rPr>
        <w:t>)</w:t>
      </w:r>
      <w:r w:rsidRPr="004575D1">
        <w:rPr>
          <w:sz w:val="24"/>
          <w:szCs w:val="24"/>
        </w:rPr>
        <w:t xml:space="preserve">. </w:t>
      </w:r>
      <w:r>
        <w:rPr>
          <w:sz w:val="24"/>
          <w:szCs w:val="24"/>
        </w:rPr>
        <w:t xml:space="preserve">Στην μελέτη </w:t>
      </w:r>
      <w:r>
        <w:rPr>
          <w:sz w:val="24"/>
          <w:szCs w:val="24"/>
          <w:lang w:val="en-US"/>
        </w:rPr>
        <w:t>HELIAD</w:t>
      </w:r>
      <w:r w:rsidRPr="004575D1">
        <w:rPr>
          <w:sz w:val="24"/>
          <w:szCs w:val="24"/>
        </w:rPr>
        <w:t xml:space="preserve"> </w:t>
      </w:r>
      <w:r>
        <w:rPr>
          <w:sz w:val="24"/>
          <w:szCs w:val="24"/>
        </w:rPr>
        <w:t>στην Ελλάδα, η μεσογειακή διατροφή επηρεάζει την πιθανότητα ευπάθειας αλλά και λοιπών ασθενειών όπως η άνοια. Αντίθετα, οι ηλικιωμένοι που υποσιτίζονται εκδηλώνουν ευπάθεια στο 68%</w:t>
      </w:r>
      <w:r w:rsidR="00B14E3B">
        <w:rPr>
          <w:sz w:val="24"/>
          <w:szCs w:val="24"/>
        </w:rPr>
        <w:t xml:space="preserve"> (</w:t>
      </w:r>
      <w:r w:rsidR="00B14E3B">
        <w:rPr>
          <w:sz w:val="24"/>
          <w:szCs w:val="24"/>
          <w:lang w:val="en-US"/>
        </w:rPr>
        <w:t>Ntanasi</w:t>
      </w:r>
      <w:r w:rsidR="00B14E3B" w:rsidRPr="00B14E3B">
        <w:rPr>
          <w:sz w:val="24"/>
          <w:szCs w:val="24"/>
        </w:rPr>
        <w:t xml:space="preserve"> </w:t>
      </w:r>
      <w:r w:rsidR="00B14E3B">
        <w:rPr>
          <w:sz w:val="24"/>
          <w:szCs w:val="24"/>
          <w:lang w:val="en-US"/>
        </w:rPr>
        <w:t>et</w:t>
      </w:r>
      <w:r w:rsidR="00B14E3B" w:rsidRPr="00B14E3B">
        <w:rPr>
          <w:sz w:val="24"/>
          <w:szCs w:val="24"/>
        </w:rPr>
        <w:t xml:space="preserve"> </w:t>
      </w:r>
      <w:r w:rsidR="00B14E3B">
        <w:rPr>
          <w:sz w:val="24"/>
          <w:szCs w:val="24"/>
          <w:lang w:val="en-US"/>
        </w:rPr>
        <w:t>al</w:t>
      </w:r>
      <w:r w:rsidR="00B14E3B" w:rsidRPr="00B14E3B">
        <w:rPr>
          <w:sz w:val="24"/>
          <w:szCs w:val="24"/>
        </w:rPr>
        <w:t>., 2018</w:t>
      </w:r>
      <w:r w:rsidR="00B14E3B">
        <w:rPr>
          <w:sz w:val="24"/>
          <w:szCs w:val="24"/>
        </w:rPr>
        <w:t>)</w:t>
      </w:r>
      <w:r w:rsidR="00B14E3B" w:rsidRPr="00B14E3B">
        <w:rPr>
          <w:sz w:val="24"/>
          <w:szCs w:val="24"/>
        </w:rPr>
        <w:t>.</w:t>
      </w:r>
    </w:p>
    <w:p w:rsidR="00B14E3B" w:rsidRPr="00531776" w:rsidRDefault="00B14E3B" w:rsidP="00AF343E">
      <w:pPr>
        <w:rPr>
          <w:sz w:val="24"/>
          <w:szCs w:val="24"/>
        </w:rPr>
      </w:pPr>
    </w:p>
    <w:p w:rsidR="00B14E3B" w:rsidRPr="00B14E3B" w:rsidRDefault="00B14E3B" w:rsidP="00AF343E">
      <w:pPr>
        <w:rPr>
          <w:b/>
          <w:sz w:val="28"/>
          <w:szCs w:val="28"/>
        </w:rPr>
      </w:pPr>
      <w:r w:rsidRPr="00531776">
        <w:rPr>
          <w:b/>
          <w:sz w:val="28"/>
          <w:szCs w:val="28"/>
        </w:rPr>
        <w:t xml:space="preserve">2.2.4 </w:t>
      </w:r>
      <w:r w:rsidRPr="00B14E3B">
        <w:rPr>
          <w:b/>
          <w:sz w:val="28"/>
          <w:szCs w:val="28"/>
        </w:rPr>
        <w:t xml:space="preserve">Ευπάθεια και </w:t>
      </w:r>
      <w:r w:rsidR="00D1561F">
        <w:rPr>
          <w:b/>
          <w:sz w:val="28"/>
          <w:szCs w:val="28"/>
        </w:rPr>
        <w:t>άλλοι παράγοντες</w:t>
      </w:r>
    </w:p>
    <w:p w:rsidR="00FC789C" w:rsidRDefault="00531776" w:rsidP="00AF343E">
      <w:pPr>
        <w:rPr>
          <w:sz w:val="24"/>
          <w:szCs w:val="24"/>
        </w:rPr>
      </w:pPr>
      <w:r>
        <w:rPr>
          <w:sz w:val="24"/>
          <w:szCs w:val="24"/>
        </w:rPr>
        <w:t>Με βάση έρευνες για την ευπάθεια</w:t>
      </w:r>
      <w:r w:rsidR="00815946">
        <w:rPr>
          <w:sz w:val="24"/>
          <w:szCs w:val="24"/>
        </w:rPr>
        <w:t xml:space="preserve"> ο τρόπος ζωής επηρεάζει την ευπάθεια ειδικά αν είναι ανθυγιεινός. Το κάπνισμα, η κατανάλωση αλκοόλ και το σωματικό βάρος σχετίζονται σε μεγάλο βαθμό με την ευπάθεια. </w:t>
      </w:r>
      <w:r w:rsidR="00962177">
        <w:rPr>
          <w:sz w:val="24"/>
          <w:szCs w:val="24"/>
        </w:rPr>
        <w:t xml:space="preserve">Οι άνδρες τείνουν να καπνίζουν και να καταναλώνουν αλκοόλ περισσότερο και έτσι οδηγούνται συχνά σε συννοσηρότητες και έχουν αυξημένη θνησιμότητα </w:t>
      </w:r>
      <w:r w:rsidR="00962177" w:rsidRPr="00962177">
        <w:rPr>
          <w:sz w:val="24"/>
          <w:szCs w:val="24"/>
        </w:rPr>
        <w:t>(Gordon et al., 2017; van Campen, 2012).</w:t>
      </w:r>
    </w:p>
    <w:p w:rsidR="00962177" w:rsidRDefault="001D7384" w:rsidP="00AF343E">
      <w:pPr>
        <w:rPr>
          <w:sz w:val="24"/>
          <w:szCs w:val="24"/>
        </w:rPr>
      </w:pPr>
      <w:r>
        <w:rPr>
          <w:sz w:val="24"/>
          <w:szCs w:val="24"/>
        </w:rPr>
        <w:t xml:space="preserve">Στην έρευνα </w:t>
      </w:r>
      <w:r>
        <w:rPr>
          <w:sz w:val="24"/>
          <w:szCs w:val="24"/>
          <w:lang w:val="en-US"/>
        </w:rPr>
        <w:t>SHARE</w:t>
      </w:r>
      <w:r w:rsidRPr="001D7384">
        <w:rPr>
          <w:sz w:val="24"/>
          <w:szCs w:val="24"/>
        </w:rPr>
        <w:t xml:space="preserve"> </w:t>
      </w:r>
      <w:r>
        <w:rPr>
          <w:sz w:val="24"/>
          <w:szCs w:val="24"/>
        </w:rPr>
        <w:t xml:space="preserve">σε δείγμα 14.082 ατόμων άνω των 55 ετών η </w:t>
      </w:r>
      <w:r w:rsidRPr="00360A9E">
        <w:rPr>
          <w:b/>
          <w:sz w:val="24"/>
          <w:szCs w:val="24"/>
        </w:rPr>
        <w:t>ανθυγιεινή ζωή</w:t>
      </w:r>
      <w:r w:rsidR="00592DC8">
        <w:rPr>
          <w:sz w:val="24"/>
          <w:szCs w:val="24"/>
        </w:rPr>
        <w:t xml:space="preserve">, η περιορισμένη κοινωνικότητα και οι κακές συνθήκες υγείας οδηγούν σε ευπάθεια. Ιδιαίτερα το κάπνισμα, όπως υποστηρίζουν οι </w:t>
      </w:r>
      <w:r w:rsidR="00592DC8">
        <w:rPr>
          <w:sz w:val="24"/>
          <w:szCs w:val="24"/>
          <w:lang w:val="en-US"/>
        </w:rPr>
        <w:t>Etman</w:t>
      </w:r>
      <w:r w:rsidR="00592DC8" w:rsidRPr="00592DC8">
        <w:rPr>
          <w:sz w:val="24"/>
          <w:szCs w:val="24"/>
        </w:rPr>
        <w:t xml:space="preserve"> </w:t>
      </w:r>
      <w:r w:rsidR="00592DC8">
        <w:rPr>
          <w:sz w:val="24"/>
          <w:szCs w:val="24"/>
        </w:rPr>
        <w:t xml:space="preserve">και συν. (2012) όχι απλά δημιουργεί ευπάθεια αλλά την επιδεινώνει με γοργούς ρυθμούς. </w:t>
      </w:r>
    </w:p>
    <w:p w:rsidR="003B5DA8" w:rsidRPr="003B5DA8" w:rsidRDefault="003B5DA8" w:rsidP="00AF343E">
      <w:pPr>
        <w:rPr>
          <w:sz w:val="24"/>
          <w:szCs w:val="24"/>
        </w:rPr>
      </w:pPr>
      <w:r>
        <w:rPr>
          <w:sz w:val="24"/>
          <w:szCs w:val="24"/>
        </w:rPr>
        <w:t>Επιπρόσθετα, η ευπάθεια συνολικά σχετίζεται με τον</w:t>
      </w:r>
      <w:r w:rsidRPr="00360A9E">
        <w:rPr>
          <w:b/>
          <w:i/>
          <w:sz w:val="24"/>
          <w:szCs w:val="24"/>
        </w:rPr>
        <w:t xml:space="preserve"> πόνο</w:t>
      </w:r>
      <w:r>
        <w:rPr>
          <w:sz w:val="24"/>
          <w:szCs w:val="24"/>
        </w:rPr>
        <w:t xml:space="preserve"> περίπου στο 5,8%. Ο πόνος με βάση τους </w:t>
      </w:r>
      <w:r>
        <w:rPr>
          <w:sz w:val="24"/>
          <w:szCs w:val="24"/>
          <w:lang w:val="en-US"/>
        </w:rPr>
        <w:t>Coelho</w:t>
      </w:r>
      <w:r w:rsidRPr="001B1D8C">
        <w:rPr>
          <w:sz w:val="24"/>
          <w:szCs w:val="24"/>
        </w:rPr>
        <w:t xml:space="preserve"> </w:t>
      </w:r>
      <w:r>
        <w:rPr>
          <w:sz w:val="24"/>
          <w:szCs w:val="24"/>
        </w:rPr>
        <w:t>και συν. (2017)</w:t>
      </w:r>
      <w:r w:rsidR="001B1D8C">
        <w:rPr>
          <w:sz w:val="24"/>
          <w:szCs w:val="24"/>
        </w:rPr>
        <w:t xml:space="preserve"> προβλέπει την σωματική ευπάθεια και την ψυχολογική σε ποσοστά 5,9% και 4% αντίστοιχα. </w:t>
      </w:r>
    </w:p>
    <w:p w:rsidR="00442F93" w:rsidRPr="00297119" w:rsidRDefault="00360A9E" w:rsidP="00297119">
      <w:pPr>
        <w:rPr>
          <w:sz w:val="24"/>
          <w:szCs w:val="24"/>
        </w:rPr>
      </w:pPr>
      <w:r>
        <w:rPr>
          <w:sz w:val="24"/>
          <w:szCs w:val="24"/>
        </w:rPr>
        <w:t xml:space="preserve">Στην ελληνική μελέτη </w:t>
      </w:r>
      <w:r>
        <w:rPr>
          <w:sz w:val="24"/>
          <w:szCs w:val="24"/>
          <w:lang w:val="en-US"/>
        </w:rPr>
        <w:t>HELIAD</w:t>
      </w:r>
      <w:r w:rsidRPr="00360A9E">
        <w:rPr>
          <w:sz w:val="24"/>
          <w:szCs w:val="24"/>
        </w:rPr>
        <w:t xml:space="preserve"> </w:t>
      </w:r>
      <w:r w:rsidRPr="00360A9E">
        <w:rPr>
          <w:b/>
          <w:i/>
          <w:sz w:val="24"/>
          <w:szCs w:val="24"/>
        </w:rPr>
        <w:t>ο ύπνος</w:t>
      </w:r>
      <w:r>
        <w:rPr>
          <w:b/>
          <w:i/>
          <w:sz w:val="24"/>
          <w:szCs w:val="24"/>
        </w:rPr>
        <w:t xml:space="preserve"> </w:t>
      </w:r>
      <w:r>
        <w:rPr>
          <w:sz w:val="24"/>
          <w:szCs w:val="24"/>
        </w:rPr>
        <w:t xml:space="preserve">θεωρήθηκε βασική παράμετρος για την ευπάθεια και θα πρέπει να λαμβάνεται υπόψη </w:t>
      </w:r>
      <w:r w:rsidRPr="00360A9E">
        <w:rPr>
          <w:sz w:val="24"/>
          <w:szCs w:val="24"/>
        </w:rPr>
        <w:t>(Balomenos et al., 2021).</w:t>
      </w:r>
      <w:r>
        <w:rPr>
          <w:sz w:val="24"/>
          <w:szCs w:val="24"/>
        </w:rPr>
        <w:t xml:space="preserve"> Η διάρκεια του ύπνου φάνηκε να έχει σχέση με την </w:t>
      </w:r>
      <w:r w:rsidR="007214B4">
        <w:rPr>
          <w:sz w:val="24"/>
          <w:szCs w:val="24"/>
        </w:rPr>
        <w:t xml:space="preserve">σωματική </w:t>
      </w:r>
      <w:r>
        <w:rPr>
          <w:sz w:val="24"/>
          <w:szCs w:val="24"/>
        </w:rPr>
        <w:t>ευπάθεια</w:t>
      </w:r>
      <w:r w:rsidR="002628EA">
        <w:rPr>
          <w:sz w:val="24"/>
          <w:szCs w:val="24"/>
        </w:rPr>
        <w:t xml:space="preserve"> είτε αυτή είναι μεγάλη δηλαδή </w:t>
      </w:r>
      <w:r w:rsidR="00297119">
        <w:rPr>
          <w:sz w:val="24"/>
          <w:szCs w:val="24"/>
        </w:rPr>
        <w:t>περισσότερο</w:t>
      </w:r>
      <w:r w:rsidR="002628EA">
        <w:rPr>
          <w:sz w:val="24"/>
          <w:szCs w:val="24"/>
        </w:rPr>
        <w:t xml:space="preserve"> από 9 ώρες είτε είναι μικρή λιγότερο από 6 ώρες</w:t>
      </w:r>
      <w:r w:rsidR="007214B4">
        <w:rPr>
          <w:sz w:val="24"/>
          <w:szCs w:val="24"/>
        </w:rPr>
        <w:t xml:space="preserve"> (Nakakubo et al., 2018)</w:t>
      </w:r>
      <w:r w:rsidR="002628EA">
        <w:rPr>
          <w:sz w:val="24"/>
          <w:szCs w:val="24"/>
        </w:rPr>
        <w:t xml:space="preserve">. </w:t>
      </w:r>
      <w:r w:rsidR="00AF343E" w:rsidRPr="00CF7455">
        <w:rPr>
          <w:sz w:val="24"/>
          <w:szCs w:val="24"/>
        </w:rPr>
        <w:br/>
      </w:r>
      <w:r w:rsidR="00297119">
        <w:rPr>
          <w:sz w:val="24"/>
          <w:szCs w:val="24"/>
        </w:rPr>
        <w:t xml:space="preserve">Τέλος, σε έρευνα 4551 ατόμων άνω των 65 ατόμων στην Καλιφόρνια παράγοντες που σχετίσθηκαν με την ευπάθεια ήταν οι περισσότερες από 3 ασθένειες, το αυξημένο </w:t>
      </w:r>
      <w:r w:rsidR="00297119">
        <w:rPr>
          <w:sz w:val="24"/>
          <w:szCs w:val="24"/>
          <w:lang w:val="en-US"/>
        </w:rPr>
        <w:t>BMI</w:t>
      </w:r>
      <w:r w:rsidR="00297119">
        <w:rPr>
          <w:sz w:val="24"/>
          <w:szCs w:val="24"/>
        </w:rPr>
        <w:t xml:space="preserve">, η αϋπνία, η κακή στοματική υγεία, το ιστορικό πτώσεων, η πολυφαρμακία, προβλήματα ισορροπίας και η έκπτωση της λειτουργικότητας. Σημαντικό είναι το εύρημα ότι οι άτυποι φροντιστές ατόμων με ευπάθεια ή αναπηρία εμφάνισαν και οι ίδιοι υψηλά ποσοστά ευπάθειας </w:t>
      </w:r>
      <w:r w:rsidR="00297119" w:rsidRPr="00297119">
        <w:rPr>
          <w:sz w:val="24"/>
          <w:szCs w:val="24"/>
        </w:rPr>
        <w:t>(Lee et al., 2018).</w:t>
      </w:r>
    </w:p>
    <w:p w:rsidR="00297119" w:rsidRDefault="00297119" w:rsidP="00297119">
      <w:pPr>
        <w:rPr>
          <w:sz w:val="20"/>
          <w:szCs w:val="20"/>
        </w:rPr>
      </w:pPr>
    </w:p>
    <w:p w:rsidR="006904B1" w:rsidRDefault="006904B1" w:rsidP="00297119">
      <w:pPr>
        <w:rPr>
          <w:b/>
          <w:sz w:val="28"/>
          <w:szCs w:val="28"/>
        </w:rPr>
      </w:pPr>
      <w:r>
        <w:rPr>
          <w:b/>
          <w:sz w:val="28"/>
          <w:szCs w:val="28"/>
        </w:rPr>
        <w:t>2.4 Μέτρηση ευπάθειας</w:t>
      </w:r>
    </w:p>
    <w:p w:rsidR="006904B1" w:rsidRDefault="00CC69A0" w:rsidP="00297119">
      <w:pPr>
        <w:rPr>
          <w:sz w:val="24"/>
          <w:szCs w:val="24"/>
        </w:rPr>
      </w:pPr>
      <w:r w:rsidRPr="00CC69A0">
        <w:rPr>
          <w:sz w:val="24"/>
          <w:szCs w:val="24"/>
        </w:rPr>
        <w:t>Η διάγνω</w:t>
      </w:r>
      <w:r>
        <w:rPr>
          <w:sz w:val="24"/>
          <w:szCs w:val="24"/>
        </w:rPr>
        <w:t xml:space="preserve">ση της ευπάθειας οδηγεί και καλύτερη παροχή φροντίδας και θα πρέπει να αξιολογείται σε όλα τα άτομα άνω των 70 ετών. </w:t>
      </w:r>
      <w:r w:rsidR="006B7959">
        <w:rPr>
          <w:sz w:val="24"/>
          <w:szCs w:val="24"/>
        </w:rPr>
        <w:t xml:space="preserve">Ο </w:t>
      </w:r>
      <w:r w:rsidR="006B7959">
        <w:rPr>
          <w:sz w:val="24"/>
          <w:szCs w:val="24"/>
          <w:lang w:val="en-US"/>
        </w:rPr>
        <w:t>Faller</w:t>
      </w:r>
      <w:r w:rsidR="006B7959" w:rsidRPr="006B7959">
        <w:rPr>
          <w:sz w:val="24"/>
          <w:szCs w:val="24"/>
        </w:rPr>
        <w:t xml:space="preserve"> </w:t>
      </w:r>
      <w:r w:rsidR="006B7959">
        <w:rPr>
          <w:sz w:val="24"/>
          <w:szCs w:val="24"/>
        </w:rPr>
        <w:t xml:space="preserve">και συν. (2019) βρήκαν </w:t>
      </w:r>
      <w:r w:rsidR="006B7959">
        <w:rPr>
          <w:sz w:val="24"/>
          <w:szCs w:val="24"/>
        </w:rPr>
        <w:lastRenderedPageBreak/>
        <w:t xml:space="preserve">51 ερωτηματολόγια για την ευπάθεια. Από αυτά τα 40 χρησιμοποιούνταν για άτομα που διαμένουν στην Κοινότητα και 28 διέκριναν την προ-ευπάθεια από την ευπάθεια. </w:t>
      </w:r>
    </w:p>
    <w:p w:rsidR="002F0F4C" w:rsidRPr="00511D51" w:rsidRDefault="002F0F4C" w:rsidP="00297119">
      <w:pPr>
        <w:rPr>
          <w:sz w:val="24"/>
          <w:szCs w:val="24"/>
        </w:rPr>
      </w:pPr>
      <w:r>
        <w:rPr>
          <w:sz w:val="24"/>
          <w:szCs w:val="24"/>
        </w:rPr>
        <w:t xml:space="preserve">Οι </w:t>
      </w:r>
      <w:r>
        <w:rPr>
          <w:sz w:val="24"/>
          <w:szCs w:val="24"/>
          <w:lang w:val="en-US"/>
        </w:rPr>
        <w:t>Dent</w:t>
      </w:r>
      <w:r w:rsidRPr="002F0F4C">
        <w:rPr>
          <w:sz w:val="24"/>
          <w:szCs w:val="24"/>
        </w:rPr>
        <w:t xml:space="preserve"> </w:t>
      </w:r>
      <w:r>
        <w:rPr>
          <w:sz w:val="24"/>
          <w:szCs w:val="24"/>
        </w:rPr>
        <w:t xml:space="preserve">και συν. (2016) ανέφεραν ότι η ευπάθεια </w:t>
      </w:r>
      <w:r w:rsidR="00992000">
        <w:rPr>
          <w:sz w:val="24"/>
          <w:szCs w:val="24"/>
        </w:rPr>
        <w:t xml:space="preserve">είναι ένα σύνδρομο που θα πρέπει να αξιολογείται σε άτομα μεγάλης ηλικίας στην κλινική πράξη. Αν και υπάρχουν πολλά εργαλεία, δεν έχει καθοριστεί το πώς θα μετριέται η ευπάθεια. Τα εργαλεία μέτρησης της ευπάθειας είναι είτε σύντομα είτε πολύ μεγάλα και χρονοβόρα. Επιπρόσθετα, οι μετρήσεις καθορίζονται σε μεγάλο βαθμό από το πολιτισμικό πλαίσιο. Οι δυο κλίμακες με υψηλή εγκυρότητα και αξιοπιστία είναι ο φαινότυπος ευπάθειας της </w:t>
      </w:r>
      <w:r w:rsidR="00992000">
        <w:rPr>
          <w:sz w:val="24"/>
          <w:szCs w:val="24"/>
          <w:lang w:val="en-US"/>
        </w:rPr>
        <w:t>Fried</w:t>
      </w:r>
      <w:r w:rsidR="00992000" w:rsidRPr="00992000">
        <w:rPr>
          <w:sz w:val="24"/>
          <w:szCs w:val="24"/>
        </w:rPr>
        <w:t xml:space="preserve"> </w:t>
      </w:r>
      <w:r w:rsidR="00992000">
        <w:rPr>
          <w:sz w:val="24"/>
          <w:szCs w:val="24"/>
        </w:rPr>
        <w:t>και ο δείκτης ευπάθειας των</w:t>
      </w:r>
      <w:r w:rsidR="00992000" w:rsidRPr="00992000">
        <w:rPr>
          <w:sz w:val="24"/>
          <w:szCs w:val="24"/>
        </w:rPr>
        <w:t xml:space="preserve"> </w:t>
      </w:r>
      <w:r w:rsidR="0051383D">
        <w:rPr>
          <w:sz w:val="24"/>
          <w:szCs w:val="24"/>
          <w:lang w:val="en-US"/>
        </w:rPr>
        <w:t>Rockwood</w:t>
      </w:r>
      <w:r w:rsidR="0051383D" w:rsidRPr="0051383D">
        <w:rPr>
          <w:sz w:val="24"/>
          <w:szCs w:val="24"/>
        </w:rPr>
        <w:t xml:space="preserve"> </w:t>
      </w:r>
      <w:r w:rsidR="0051383D">
        <w:rPr>
          <w:sz w:val="24"/>
          <w:szCs w:val="24"/>
        </w:rPr>
        <w:t xml:space="preserve">και </w:t>
      </w:r>
      <w:r w:rsidR="0051383D">
        <w:rPr>
          <w:sz w:val="24"/>
          <w:szCs w:val="24"/>
          <w:lang w:val="en-US"/>
        </w:rPr>
        <w:t>Mitnitski</w:t>
      </w:r>
      <w:r w:rsidR="0051383D" w:rsidRPr="0051383D">
        <w:rPr>
          <w:sz w:val="24"/>
          <w:szCs w:val="24"/>
        </w:rPr>
        <w:t>.</w:t>
      </w:r>
    </w:p>
    <w:p w:rsidR="00A41FDD" w:rsidRPr="00A41FDD" w:rsidRDefault="00927234" w:rsidP="00297119">
      <w:pPr>
        <w:rPr>
          <w:sz w:val="24"/>
          <w:szCs w:val="24"/>
        </w:rPr>
      </w:pPr>
      <w:r>
        <w:rPr>
          <w:sz w:val="24"/>
          <w:szCs w:val="24"/>
        </w:rPr>
        <w:t>Η ευπάθεια συνήθως μελετάται ως μέρος της ολοκληρωμένης γηριατρικής αξιολόγησης (</w:t>
      </w:r>
      <w:r>
        <w:rPr>
          <w:sz w:val="24"/>
          <w:szCs w:val="24"/>
          <w:lang w:val="en-US"/>
        </w:rPr>
        <w:t>Comprehensive</w:t>
      </w:r>
      <w:r w:rsidRPr="00927234">
        <w:rPr>
          <w:sz w:val="24"/>
          <w:szCs w:val="24"/>
        </w:rPr>
        <w:t xml:space="preserve"> </w:t>
      </w:r>
      <w:r>
        <w:rPr>
          <w:sz w:val="24"/>
          <w:szCs w:val="24"/>
          <w:lang w:val="en-US"/>
        </w:rPr>
        <w:t>Geriatric</w:t>
      </w:r>
      <w:r w:rsidRPr="00927234">
        <w:rPr>
          <w:sz w:val="24"/>
          <w:szCs w:val="24"/>
        </w:rPr>
        <w:t xml:space="preserve"> </w:t>
      </w:r>
      <w:r>
        <w:rPr>
          <w:sz w:val="24"/>
          <w:szCs w:val="24"/>
          <w:lang w:val="en-US"/>
        </w:rPr>
        <w:t>Assessment</w:t>
      </w:r>
      <w:r w:rsidRPr="00927234">
        <w:rPr>
          <w:sz w:val="24"/>
          <w:szCs w:val="24"/>
        </w:rPr>
        <w:t xml:space="preserve">- </w:t>
      </w:r>
      <w:r>
        <w:rPr>
          <w:sz w:val="24"/>
          <w:szCs w:val="24"/>
          <w:lang w:val="en-US"/>
        </w:rPr>
        <w:t>CGA</w:t>
      </w:r>
      <w:r w:rsidRPr="00927234">
        <w:rPr>
          <w:sz w:val="24"/>
          <w:szCs w:val="24"/>
        </w:rPr>
        <w:t>)</w:t>
      </w:r>
      <w:r w:rsidR="00152769">
        <w:rPr>
          <w:sz w:val="24"/>
          <w:szCs w:val="24"/>
        </w:rPr>
        <w:t xml:space="preserve"> </w:t>
      </w:r>
      <w:r w:rsidR="00152769" w:rsidRPr="00152769">
        <w:rPr>
          <w:sz w:val="24"/>
          <w:szCs w:val="24"/>
        </w:rPr>
        <w:t>(Rockwood et al., 1998).</w:t>
      </w:r>
      <w:r w:rsidR="00152769">
        <w:rPr>
          <w:sz w:val="24"/>
          <w:szCs w:val="24"/>
        </w:rPr>
        <w:t xml:space="preserve"> </w:t>
      </w:r>
      <w:r w:rsidR="00A41FDD">
        <w:rPr>
          <w:sz w:val="24"/>
          <w:szCs w:val="24"/>
        </w:rPr>
        <w:t>Σε αυτή γίνεται εκτίμηση δέκα βασικών τομέων</w:t>
      </w:r>
      <w:r w:rsidR="00716316">
        <w:rPr>
          <w:sz w:val="24"/>
          <w:szCs w:val="24"/>
        </w:rPr>
        <w:t xml:space="preserve"> (Σχήμα 4)</w:t>
      </w:r>
      <w:r w:rsidR="00152769">
        <w:rPr>
          <w:sz w:val="24"/>
          <w:szCs w:val="24"/>
        </w:rPr>
        <w:t>:</w:t>
      </w:r>
    </w:p>
    <w:p w:rsidR="00A41FDD" w:rsidRPr="00A41FDD" w:rsidRDefault="00A41FDD" w:rsidP="00A41FDD">
      <w:pPr>
        <w:pStyle w:val="ListParagraph"/>
        <w:numPr>
          <w:ilvl w:val="0"/>
          <w:numId w:val="9"/>
        </w:numPr>
        <w:rPr>
          <w:sz w:val="24"/>
          <w:szCs w:val="24"/>
        </w:rPr>
      </w:pPr>
      <w:r w:rsidRPr="00A41FDD">
        <w:rPr>
          <w:sz w:val="24"/>
          <w:szCs w:val="24"/>
        </w:rPr>
        <w:t>νοητική κατάσταση μέσω συνέντευξης και παρατήρησης</w:t>
      </w:r>
    </w:p>
    <w:p w:rsidR="0051383D" w:rsidRDefault="00A41FDD" w:rsidP="00A41FDD">
      <w:pPr>
        <w:pStyle w:val="ListParagraph"/>
        <w:numPr>
          <w:ilvl w:val="0"/>
          <w:numId w:val="9"/>
        </w:numPr>
        <w:rPr>
          <w:sz w:val="24"/>
          <w:szCs w:val="24"/>
        </w:rPr>
      </w:pPr>
      <w:r>
        <w:rPr>
          <w:sz w:val="24"/>
          <w:szCs w:val="24"/>
        </w:rPr>
        <w:t>συναισθηματική κατάσταση</w:t>
      </w:r>
    </w:p>
    <w:p w:rsidR="00A41FDD" w:rsidRDefault="00A41FDD" w:rsidP="00A41FDD">
      <w:pPr>
        <w:pStyle w:val="ListParagraph"/>
        <w:numPr>
          <w:ilvl w:val="0"/>
          <w:numId w:val="9"/>
        </w:numPr>
        <w:rPr>
          <w:sz w:val="24"/>
          <w:szCs w:val="24"/>
        </w:rPr>
      </w:pPr>
      <w:r>
        <w:rPr>
          <w:sz w:val="24"/>
          <w:szCs w:val="24"/>
        </w:rPr>
        <w:t>επικοινωνία και αξιολόγηση αισθητηριακών ελλειμμάτων</w:t>
      </w:r>
    </w:p>
    <w:p w:rsidR="00A41FDD" w:rsidRDefault="00A41FDD" w:rsidP="00A41FDD">
      <w:pPr>
        <w:pStyle w:val="ListParagraph"/>
        <w:numPr>
          <w:ilvl w:val="0"/>
          <w:numId w:val="9"/>
        </w:numPr>
        <w:rPr>
          <w:sz w:val="24"/>
          <w:szCs w:val="24"/>
        </w:rPr>
      </w:pPr>
      <w:r>
        <w:rPr>
          <w:sz w:val="24"/>
          <w:szCs w:val="24"/>
        </w:rPr>
        <w:t>κινητικότητα</w:t>
      </w:r>
    </w:p>
    <w:p w:rsidR="00A41FDD" w:rsidRDefault="00A41FDD" w:rsidP="00A41FDD">
      <w:pPr>
        <w:pStyle w:val="ListParagraph"/>
        <w:numPr>
          <w:ilvl w:val="0"/>
          <w:numId w:val="9"/>
        </w:numPr>
        <w:rPr>
          <w:sz w:val="24"/>
          <w:szCs w:val="24"/>
        </w:rPr>
      </w:pPr>
      <w:r>
        <w:rPr>
          <w:sz w:val="24"/>
          <w:szCs w:val="24"/>
        </w:rPr>
        <w:t>ισορροπία</w:t>
      </w:r>
    </w:p>
    <w:p w:rsidR="00A41FDD" w:rsidRDefault="00A41FDD" w:rsidP="00A41FDD">
      <w:pPr>
        <w:pStyle w:val="ListParagraph"/>
        <w:numPr>
          <w:ilvl w:val="0"/>
          <w:numId w:val="9"/>
        </w:numPr>
        <w:rPr>
          <w:sz w:val="24"/>
          <w:szCs w:val="24"/>
        </w:rPr>
      </w:pPr>
      <w:r>
        <w:rPr>
          <w:sz w:val="24"/>
          <w:szCs w:val="24"/>
        </w:rPr>
        <w:t>λειτουργία εντέρου</w:t>
      </w:r>
    </w:p>
    <w:p w:rsidR="00A41FDD" w:rsidRDefault="00A41FDD" w:rsidP="00A41FDD">
      <w:pPr>
        <w:pStyle w:val="ListParagraph"/>
        <w:numPr>
          <w:ilvl w:val="0"/>
          <w:numId w:val="9"/>
        </w:numPr>
        <w:rPr>
          <w:sz w:val="24"/>
          <w:szCs w:val="24"/>
        </w:rPr>
      </w:pPr>
      <w:r>
        <w:rPr>
          <w:sz w:val="24"/>
          <w:szCs w:val="24"/>
        </w:rPr>
        <w:t>λειτουργίας κύστης</w:t>
      </w:r>
    </w:p>
    <w:p w:rsidR="00A41FDD" w:rsidRPr="00F55DB4" w:rsidRDefault="00A41FDD" w:rsidP="00A41FDD">
      <w:pPr>
        <w:pStyle w:val="ListParagraph"/>
        <w:numPr>
          <w:ilvl w:val="0"/>
          <w:numId w:val="9"/>
        </w:numPr>
        <w:rPr>
          <w:sz w:val="24"/>
          <w:szCs w:val="24"/>
        </w:rPr>
      </w:pPr>
      <w:r>
        <w:rPr>
          <w:sz w:val="24"/>
          <w:szCs w:val="24"/>
        </w:rPr>
        <w:t>διατροφή και ΔΜΖ</w:t>
      </w:r>
    </w:p>
    <w:p w:rsidR="00F55DB4" w:rsidRDefault="002B6426" w:rsidP="00A41FDD">
      <w:pPr>
        <w:pStyle w:val="ListParagraph"/>
        <w:numPr>
          <w:ilvl w:val="0"/>
          <w:numId w:val="9"/>
        </w:numPr>
        <w:rPr>
          <w:sz w:val="24"/>
          <w:szCs w:val="24"/>
        </w:rPr>
      </w:pPr>
      <w:r>
        <w:rPr>
          <w:sz w:val="24"/>
          <w:szCs w:val="24"/>
        </w:rPr>
        <w:t>Λειτουργικότητα</w:t>
      </w:r>
    </w:p>
    <w:p w:rsidR="00556D36" w:rsidRPr="00716316" w:rsidRDefault="002B6426" w:rsidP="00716316">
      <w:pPr>
        <w:pStyle w:val="ListParagraph"/>
        <w:numPr>
          <w:ilvl w:val="0"/>
          <w:numId w:val="9"/>
        </w:numPr>
        <w:rPr>
          <w:sz w:val="24"/>
          <w:szCs w:val="24"/>
        </w:rPr>
      </w:pPr>
      <w:r>
        <w:rPr>
          <w:sz w:val="24"/>
          <w:szCs w:val="24"/>
        </w:rPr>
        <w:t>Κοινωνικές συνθήκες και διαβίωση</w:t>
      </w:r>
    </w:p>
    <w:p w:rsidR="00556D36" w:rsidRPr="002F0F4C" w:rsidRDefault="00716316" w:rsidP="00716316">
      <w:pPr>
        <w:jc w:val="center"/>
        <w:rPr>
          <w:sz w:val="24"/>
          <w:szCs w:val="24"/>
        </w:rPr>
      </w:pPr>
      <w:r>
        <w:rPr>
          <w:noProof/>
          <w:sz w:val="24"/>
          <w:szCs w:val="24"/>
          <w:lang w:eastAsia="el-GR"/>
        </w:rPr>
        <w:drawing>
          <wp:inline distT="0" distB="0" distL="0" distR="0">
            <wp:extent cx="3406140" cy="2979420"/>
            <wp:effectExtent l="0" t="0" r="381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6140" cy="2979420"/>
                    </a:xfrm>
                    <a:prstGeom prst="rect">
                      <a:avLst/>
                    </a:prstGeom>
                    <a:noFill/>
                    <a:ln>
                      <a:noFill/>
                    </a:ln>
                  </pic:spPr>
                </pic:pic>
              </a:graphicData>
            </a:graphic>
          </wp:inline>
        </w:drawing>
      </w:r>
    </w:p>
    <w:p w:rsidR="00716316" w:rsidRDefault="00716316" w:rsidP="00716316">
      <w:pPr>
        <w:jc w:val="center"/>
        <w:rPr>
          <w:b/>
        </w:rPr>
      </w:pPr>
      <w:r w:rsidRPr="00716316">
        <w:rPr>
          <w:b/>
        </w:rPr>
        <w:t>Σχήμα 4</w:t>
      </w:r>
      <w:r w:rsidRPr="00511D51">
        <w:rPr>
          <w:b/>
        </w:rPr>
        <w:t>:</w:t>
      </w:r>
      <w:r w:rsidRPr="00716316">
        <w:rPr>
          <w:b/>
        </w:rPr>
        <w:t>Ολοκληρωμένη Γηριατρική Αξιολόγηση</w:t>
      </w:r>
    </w:p>
    <w:p w:rsidR="00716316" w:rsidRPr="00F92A30" w:rsidRDefault="00716316" w:rsidP="00716316">
      <w:pPr>
        <w:jc w:val="center"/>
        <w:rPr>
          <w:b/>
          <w:i/>
        </w:rPr>
      </w:pPr>
      <w:r w:rsidRPr="00F92A30">
        <w:rPr>
          <w:b/>
          <w:i/>
        </w:rPr>
        <w:t xml:space="preserve">Πηγή: Veronese (Ed), 2020 </w:t>
      </w:r>
    </w:p>
    <w:p w:rsidR="00FB24A5" w:rsidRDefault="008B3D59" w:rsidP="00FB24A5">
      <w:pPr>
        <w:rPr>
          <w:sz w:val="24"/>
          <w:szCs w:val="24"/>
        </w:rPr>
      </w:pPr>
      <w:r>
        <w:rPr>
          <w:sz w:val="24"/>
          <w:szCs w:val="24"/>
        </w:rPr>
        <w:lastRenderedPageBreak/>
        <w:t xml:space="preserve">Ο φαινότυπος της </w:t>
      </w:r>
      <w:r>
        <w:rPr>
          <w:sz w:val="24"/>
          <w:szCs w:val="24"/>
          <w:lang w:val="en-US"/>
        </w:rPr>
        <w:t>Fried</w:t>
      </w:r>
      <w:r w:rsidRPr="008B3D59">
        <w:rPr>
          <w:sz w:val="24"/>
          <w:szCs w:val="24"/>
        </w:rPr>
        <w:t xml:space="preserve"> </w:t>
      </w:r>
      <w:r>
        <w:rPr>
          <w:sz w:val="24"/>
          <w:szCs w:val="24"/>
        </w:rPr>
        <w:t>ή Δείκτης Καρδιαγγειακής Υγείας μελετά την ευπάθεια με την ύπαρξη τριών ή περισσοτέρων από τα εξής κριτήρια</w:t>
      </w:r>
      <w:r w:rsidRPr="008B3D59">
        <w:rPr>
          <w:sz w:val="24"/>
          <w:szCs w:val="24"/>
        </w:rPr>
        <w:t xml:space="preserve">: </w:t>
      </w:r>
      <w:r>
        <w:rPr>
          <w:sz w:val="24"/>
          <w:szCs w:val="24"/>
        </w:rPr>
        <w:t xml:space="preserve">την ακούσια απώλεια βάρους (&gt;5 </w:t>
      </w:r>
      <w:r>
        <w:rPr>
          <w:sz w:val="24"/>
          <w:szCs w:val="24"/>
          <w:lang w:val="en-US"/>
        </w:rPr>
        <w:t>kg</w:t>
      </w:r>
      <w:r w:rsidRPr="008B3D59">
        <w:rPr>
          <w:sz w:val="24"/>
          <w:szCs w:val="24"/>
        </w:rPr>
        <w:t xml:space="preserve"> </w:t>
      </w:r>
      <w:r>
        <w:rPr>
          <w:sz w:val="24"/>
          <w:szCs w:val="24"/>
        </w:rPr>
        <w:t xml:space="preserve">το τελευταίο έτος), την αδυναμία (χαμηλή δύναμη δραγμού), την κόπωση που αναφέρουν τα άτομα, την βραδύτητα (αργή ταχύτητα βάδισης) και την σωματική άσκηση. Η κλίμακα αυτή δεν περιλαμβάνει ψυχοκοινωνικές πτυχές της ευπάθειας </w:t>
      </w:r>
      <w:r w:rsidRPr="008B3D59">
        <w:rPr>
          <w:sz w:val="24"/>
          <w:szCs w:val="24"/>
        </w:rPr>
        <w:t>(Fried et al., 2001)</w:t>
      </w:r>
      <w:r w:rsidR="009A2372" w:rsidRPr="009A2372">
        <w:rPr>
          <w:sz w:val="24"/>
          <w:szCs w:val="24"/>
        </w:rPr>
        <w:t>(</w:t>
      </w:r>
      <w:r w:rsidR="009A2372" w:rsidRPr="009A2372">
        <w:rPr>
          <w:i/>
          <w:sz w:val="24"/>
          <w:szCs w:val="24"/>
        </w:rPr>
        <w:t>Σχήμα 5</w:t>
      </w:r>
      <w:r w:rsidR="009A2372" w:rsidRPr="009A2372">
        <w:rPr>
          <w:sz w:val="24"/>
          <w:szCs w:val="24"/>
        </w:rPr>
        <w:t>)</w:t>
      </w:r>
      <w:r w:rsidRPr="008B3D59">
        <w:rPr>
          <w:sz w:val="24"/>
          <w:szCs w:val="24"/>
        </w:rPr>
        <w:t>.</w:t>
      </w:r>
    </w:p>
    <w:p w:rsidR="008B3D59" w:rsidRDefault="008B3D59" w:rsidP="00FB24A5">
      <w:pPr>
        <w:rPr>
          <w:sz w:val="24"/>
          <w:szCs w:val="24"/>
        </w:rPr>
      </w:pPr>
      <w:r>
        <w:rPr>
          <w:sz w:val="24"/>
          <w:szCs w:val="24"/>
        </w:rPr>
        <w:t xml:space="preserve">Ο δείκτης ευπάθειας συσσωρευτικών ελλειμμάτων από τους </w:t>
      </w:r>
      <w:r>
        <w:rPr>
          <w:sz w:val="24"/>
          <w:szCs w:val="24"/>
          <w:lang w:val="en-US"/>
        </w:rPr>
        <w:t>Rockwood</w:t>
      </w:r>
      <w:r w:rsidRPr="008B3D59">
        <w:rPr>
          <w:sz w:val="24"/>
          <w:szCs w:val="24"/>
        </w:rPr>
        <w:t xml:space="preserve"> </w:t>
      </w:r>
      <w:r>
        <w:rPr>
          <w:sz w:val="24"/>
          <w:szCs w:val="24"/>
        </w:rPr>
        <w:t xml:space="preserve">και </w:t>
      </w:r>
      <w:r>
        <w:rPr>
          <w:sz w:val="24"/>
          <w:szCs w:val="24"/>
          <w:lang w:val="en-US"/>
        </w:rPr>
        <w:t>Mitnitski</w:t>
      </w:r>
      <w:r>
        <w:rPr>
          <w:sz w:val="24"/>
          <w:szCs w:val="24"/>
        </w:rPr>
        <w:t xml:space="preserve"> αναφέρεται στην ύπαρξη 30 ή περισσότερων δεικτών ευπάθειας όπως οι ασθένειες, αναπηρίες κ.ά.</w:t>
      </w:r>
      <w:r w:rsidR="00DB1926">
        <w:rPr>
          <w:sz w:val="24"/>
          <w:szCs w:val="24"/>
        </w:rPr>
        <w:t xml:space="preserve"> , άρα περισσότερα ελλείμματα μεγαλύτερη ευπάθεια. Το εργαλείο αυτό απαιτεί χρόνο και δεν είναι πολλές φορές εφικτή η χορήγηση του στην καθημερινή κλινική πράξη. </w:t>
      </w:r>
    </w:p>
    <w:p w:rsidR="00EC3428" w:rsidRDefault="004F242B" w:rsidP="00FB24A5">
      <w:pPr>
        <w:rPr>
          <w:sz w:val="24"/>
          <w:szCs w:val="24"/>
        </w:rPr>
      </w:pPr>
      <w:r>
        <w:rPr>
          <w:sz w:val="24"/>
          <w:szCs w:val="24"/>
        </w:rPr>
        <w:t xml:space="preserve">Ο δείκτης ευπάθειας </w:t>
      </w:r>
      <w:r>
        <w:rPr>
          <w:sz w:val="24"/>
          <w:szCs w:val="24"/>
          <w:lang w:val="en-US"/>
        </w:rPr>
        <w:t>Tilburg</w:t>
      </w:r>
      <w:r w:rsidRPr="004F242B">
        <w:rPr>
          <w:sz w:val="24"/>
          <w:szCs w:val="24"/>
        </w:rPr>
        <w:t xml:space="preserve"> </w:t>
      </w:r>
      <w:r>
        <w:rPr>
          <w:sz w:val="24"/>
          <w:szCs w:val="24"/>
        </w:rPr>
        <w:t>(</w:t>
      </w:r>
      <w:r>
        <w:rPr>
          <w:sz w:val="24"/>
          <w:szCs w:val="24"/>
          <w:lang w:val="en-US"/>
        </w:rPr>
        <w:t>TFI</w:t>
      </w:r>
      <w:r>
        <w:rPr>
          <w:sz w:val="24"/>
          <w:szCs w:val="24"/>
        </w:rPr>
        <w:t xml:space="preserve">) δημιουργήθηκε το 2008 </w:t>
      </w:r>
      <w:r w:rsidR="00915581">
        <w:rPr>
          <w:sz w:val="23"/>
          <w:szCs w:val="23"/>
        </w:rPr>
        <w:t xml:space="preserve">(Gobbens et al., 2010) </w:t>
      </w:r>
      <w:r>
        <w:rPr>
          <w:sz w:val="24"/>
          <w:szCs w:val="24"/>
        </w:rPr>
        <w:t>και περιέχει 15 συνολικά στοιχεία ευπάθειας σε ένα ερωτηματολόγιο αυτοαναφοράς. Πιο αναλυτικά</w:t>
      </w:r>
      <w:r w:rsidRPr="004F242B">
        <w:rPr>
          <w:sz w:val="24"/>
          <w:szCs w:val="24"/>
        </w:rPr>
        <w:t xml:space="preserve">: </w:t>
      </w:r>
      <w:r w:rsidRPr="004F242B">
        <w:rPr>
          <w:i/>
          <w:sz w:val="24"/>
          <w:szCs w:val="24"/>
        </w:rPr>
        <w:t>8 στοιχεία σωματικής υγείας</w:t>
      </w:r>
      <w:r>
        <w:rPr>
          <w:sz w:val="24"/>
          <w:szCs w:val="24"/>
        </w:rPr>
        <w:t xml:space="preserve"> που αφορούν την γενική υγεία, την απώλεια βάρους, την δυσκολία στο περπάτημα, την ισορροπία, την ακοή και όραση, την δύναμη δραγμού και την κόπωση, </w:t>
      </w:r>
      <w:r w:rsidRPr="00EC3428">
        <w:rPr>
          <w:i/>
          <w:sz w:val="24"/>
          <w:szCs w:val="24"/>
        </w:rPr>
        <w:t>4 στοιχεία ψυχολογικής κατάστασης</w:t>
      </w:r>
      <w:r>
        <w:rPr>
          <w:sz w:val="24"/>
          <w:szCs w:val="24"/>
        </w:rPr>
        <w:t xml:space="preserve"> όπως η μνήμη, η διάθεση, το άγχος και το κατά πόσο αντιμετωπίζονται τα καθημερινά προβλήματα και τέλος </w:t>
      </w:r>
      <w:r w:rsidRPr="00EC3428">
        <w:rPr>
          <w:i/>
          <w:sz w:val="24"/>
          <w:szCs w:val="24"/>
        </w:rPr>
        <w:t>3 στοιχεία κοινωνικού χαρακτήρα</w:t>
      </w:r>
      <w:r>
        <w:rPr>
          <w:sz w:val="24"/>
          <w:szCs w:val="24"/>
        </w:rPr>
        <w:t xml:space="preserve"> σε σχέση με τις συνθήκες διαβίωσης, την απομόνωση και την υποστήριξη από τρίτους</w:t>
      </w:r>
      <w:r w:rsidR="00EC3428">
        <w:rPr>
          <w:sz w:val="24"/>
          <w:szCs w:val="24"/>
        </w:rPr>
        <w:t xml:space="preserve">. Η κλίμακα </w:t>
      </w:r>
      <w:r w:rsidR="00EC3428">
        <w:rPr>
          <w:sz w:val="24"/>
          <w:szCs w:val="24"/>
          <w:lang w:val="en-US"/>
        </w:rPr>
        <w:t>TFI</w:t>
      </w:r>
      <w:r w:rsidR="00EC3428" w:rsidRPr="00EC3428">
        <w:rPr>
          <w:sz w:val="24"/>
          <w:szCs w:val="24"/>
        </w:rPr>
        <w:t xml:space="preserve"> </w:t>
      </w:r>
      <w:r w:rsidR="00EC3428">
        <w:rPr>
          <w:sz w:val="24"/>
          <w:szCs w:val="24"/>
        </w:rPr>
        <w:t xml:space="preserve">είναι αξιόπιστη και έγκυρη στη χορήγηση από όλους τους επαγγελματίες υγείας. Συνολικό σκορ άνω του 5 δηλώνει ευπάθεια. Στην Ελλάδα μεταφράστηκε από τους </w:t>
      </w:r>
      <w:r w:rsidR="00EC3428">
        <w:rPr>
          <w:sz w:val="24"/>
          <w:szCs w:val="24"/>
          <w:lang w:val="en-US"/>
        </w:rPr>
        <w:t>Zhang</w:t>
      </w:r>
      <w:r w:rsidR="00EC3428" w:rsidRPr="00915581">
        <w:rPr>
          <w:sz w:val="24"/>
          <w:szCs w:val="24"/>
        </w:rPr>
        <w:t xml:space="preserve"> </w:t>
      </w:r>
      <w:r w:rsidR="00EC3428">
        <w:rPr>
          <w:sz w:val="24"/>
          <w:szCs w:val="24"/>
        </w:rPr>
        <w:t>και συν. το 2020</w:t>
      </w:r>
      <w:r w:rsidR="00915581">
        <w:rPr>
          <w:sz w:val="24"/>
          <w:szCs w:val="24"/>
        </w:rPr>
        <w:t xml:space="preserve">. </w:t>
      </w:r>
    </w:p>
    <w:p w:rsidR="009A2372" w:rsidRDefault="009A2372" w:rsidP="009A2372">
      <w:pPr>
        <w:jc w:val="center"/>
        <w:rPr>
          <w:sz w:val="24"/>
          <w:szCs w:val="24"/>
        </w:rPr>
      </w:pPr>
      <w:r>
        <w:rPr>
          <w:noProof/>
          <w:sz w:val="24"/>
          <w:szCs w:val="24"/>
          <w:lang w:eastAsia="el-GR"/>
        </w:rPr>
        <w:drawing>
          <wp:inline distT="0" distB="0" distL="0" distR="0">
            <wp:extent cx="3802380" cy="3566160"/>
            <wp:effectExtent l="0" t="0" r="762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02380" cy="3566160"/>
                    </a:xfrm>
                    <a:prstGeom prst="rect">
                      <a:avLst/>
                    </a:prstGeom>
                    <a:noFill/>
                    <a:ln>
                      <a:noFill/>
                    </a:ln>
                  </pic:spPr>
                </pic:pic>
              </a:graphicData>
            </a:graphic>
          </wp:inline>
        </w:drawing>
      </w:r>
    </w:p>
    <w:p w:rsidR="009A2372" w:rsidRPr="00F37F12" w:rsidRDefault="009A2372" w:rsidP="009A2372">
      <w:pPr>
        <w:jc w:val="center"/>
        <w:rPr>
          <w:sz w:val="20"/>
          <w:szCs w:val="20"/>
          <w:lang w:val="en-US"/>
        </w:rPr>
      </w:pPr>
      <w:r w:rsidRPr="00F37F12">
        <w:rPr>
          <w:i/>
          <w:sz w:val="20"/>
          <w:szCs w:val="20"/>
        </w:rPr>
        <w:lastRenderedPageBreak/>
        <w:t>Σχήμα 5</w:t>
      </w:r>
      <w:r w:rsidRPr="00F37F12">
        <w:rPr>
          <w:sz w:val="20"/>
          <w:szCs w:val="20"/>
        </w:rPr>
        <w:t xml:space="preserve">: Κριτήρια Φαινοτύπου της </w:t>
      </w:r>
      <w:r w:rsidRPr="00F37F12">
        <w:rPr>
          <w:sz w:val="20"/>
          <w:szCs w:val="20"/>
          <w:lang w:val="en-US"/>
        </w:rPr>
        <w:t>Fried</w:t>
      </w:r>
    </w:p>
    <w:p w:rsidR="00F37F12" w:rsidRPr="00F37F12" w:rsidRDefault="00F37F12" w:rsidP="00F37F12">
      <w:pPr>
        <w:jc w:val="center"/>
        <w:rPr>
          <w:b/>
          <w:lang w:val="en-US"/>
        </w:rPr>
      </w:pPr>
      <w:r w:rsidRPr="00F37F12">
        <w:rPr>
          <w:b/>
        </w:rPr>
        <w:t>Πηγή</w:t>
      </w:r>
      <w:r w:rsidRPr="00F37F12">
        <w:rPr>
          <w:b/>
          <w:lang w:val="en-US"/>
        </w:rPr>
        <w:t xml:space="preserve">: Fried, L. </w:t>
      </w:r>
      <w:proofErr w:type="gramStart"/>
      <w:r w:rsidRPr="00F37F12">
        <w:rPr>
          <w:b/>
          <w:lang w:val="en-US"/>
        </w:rPr>
        <w:t>et</w:t>
      </w:r>
      <w:proofErr w:type="gramEnd"/>
      <w:r w:rsidRPr="00F37F12">
        <w:rPr>
          <w:b/>
          <w:lang w:val="en-US"/>
        </w:rPr>
        <w:t xml:space="preserve"> al., </w:t>
      </w:r>
    </w:p>
    <w:p w:rsidR="00F37F12" w:rsidRDefault="00F37F12" w:rsidP="00CF5679">
      <w:pPr>
        <w:jc w:val="center"/>
        <w:rPr>
          <w:b/>
          <w:lang w:val="en-US"/>
        </w:rPr>
      </w:pPr>
      <w:proofErr w:type="gramStart"/>
      <w:r w:rsidRPr="00F37F12">
        <w:rPr>
          <w:b/>
          <w:iCs/>
          <w:lang w:val="en-US"/>
        </w:rPr>
        <w:t>The Journals of Gerontology.</w:t>
      </w:r>
      <w:proofErr w:type="gramEnd"/>
      <w:r w:rsidRPr="00F37F12">
        <w:rPr>
          <w:b/>
          <w:iCs/>
          <w:lang w:val="en-US"/>
        </w:rPr>
        <w:t xml:space="preserve"> Series A, Biological Sciences and Medical Sciences</w:t>
      </w:r>
      <w:r w:rsidRPr="00F37F12">
        <w:rPr>
          <w:b/>
          <w:lang w:val="en-US"/>
        </w:rPr>
        <w:t>, 2001</w:t>
      </w:r>
    </w:p>
    <w:p w:rsidR="00CF5679" w:rsidRPr="00CF5679" w:rsidRDefault="00CF5679" w:rsidP="00CF5679">
      <w:pPr>
        <w:jc w:val="center"/>
        <w:rPr>
          <w:b/>
          <w:lang w:val="en-US"/>
        </w:rPr>
      </w:pPr>
    </w:p>
    <w:p w:rsidR="00EC3428" w:rsidRDefault="00297515" w:rsidP="00FB24A5">
      <w:pPr>
        <w:rPr>
          <w:sz w:val="24"/>
          <w:szCs w:val="24"/>
        </w:rPr>
      </w:pPr>
      <w:r>
        <w:rPr>
          <w:sz w:val="24"/>
          <w:szCs w:val="24"/>
        </w:rPr>
        <w:t xml:space="preserve">Το ερωτηματολόγιο </w:t>
      </w:r>
      <w:r>
        <w:rPr>
          <w:sz w:val="24"/>
          <w:szCs w:val="24"/>
          <w:lang w:val="en-US"/>
        </w:rPr>
        <w:t>Sherbrooke</w:t>
      </w:r>
      <w:r w:rsidRPr="00297515">
        <w:rPr>
          <w:sz w:val="24"/>
          <w:szCs w:val="24"/>
        </w:rPr>
        <w:t xml:space="preserve"> </w:t>
      </w:r>
      <w:r>
        <w:rPr>
          <w:sz w:val="24"/>
          <w:szCs w:val="24"/>
        </w:rPr>
        <w:t>(</w:t>
      </w:r>
      <w:r>
        <w:rPr>
          <w:sz w:val="24"/>
          <w:szCs w:val="24"/>
          <w:lang w:val="en-US"/>
        </w:rPr>
        <w:t>SPQ</w:t>
      </w:r>
      <w:r>
        <w:rPr>
          <w:sz w:val="24"/>
          <w:szCs w:val="24"/>
        </w:rPr>
        <w:t xml:space="preserve">) αποτελείται από 6 ερωτήσεις που αφορούν την διαβίωση, την πολυφαρμακία, </w:t>
      </w:r>
      <w:r w:rsidR="006E7879">
        <w:rPr>
          <w:sz w:val="24"/>
          <w:szCs w:val="24"/>
        </w:rPr>
        <w:t>την κινητικότητα, την όραση, την ακοή και την μνήμη. Συνολικό σκορ άνω ή ίσο του 2 θεωρεί ότι το άτομο είναι ευπαθές</w:t>
      </w:r>
      <w:r w:rsidR="003B68C2">
        <w:rPr>
          <w:sz w:val="24"/>
          <w:szCs w:val="24"/>
        </w:rPr>
        <w:t xml:space="preserve"> (Hébert et al., 1996)</w:t>
      </w:r>
      <w:r w:rsidR="006E7879">
        <w:rPr>
          <w:sz w:val="24"/>
          <w:szCs w:val="24"/>
        </w:rPr>
        <w:t xml:space="preserve">. </w:t>
      </w:r>
    </w:p>
    <w:p w:rsidR="003B68C2" w:rsidRDefault="00B13E56" w:rsidP="00FB24A5">
      <w:pPr>
        <w:rPr>
          <w:sz w:val="24"/>
          <w:szCs w:val="24"/>
        </w:rPr>
      </w:pPr>
      <w:r>
        <w:rPr>
          <w:sz w:val="24"/>
          <w:szCs w:val="24"/>
        </w:rPr>
        <w:t xml:space="preserve">Το </w:t>
      </w:r>
      <w:r>
        <w:rPr>
          <w:sz w:val="24"/>
          <w:szCs w:val="24"/>
          <w:lang w:val="en-US"/>
        </w:rPr>
        <w:t>Prisma</w:t>
      </w:r>
      <w:r w:rsidRPr="00B13E56">
        <w:rPr>
          <w:sz w:val="24"/>
          <w:szCs w:val="24"/>
        </w:rPr>
        <w:t xml:space="preserve"> 7 </w:t>
      </w:r>
      <w:r>
        <w:rPr>
          <w:sz w:val="24"/>
          <w:szCs w:val="24"/>
        </w:rPr>
        <w:t>αποτελείται από 7 στοιχεία ευπάθειας. Σκορ άνω ίσο του 3 υποδηλώνει ευπάθεια. Βασικά στοιχεία ευπάθειας είναι η ηλικία άνω των 85, το ανδρικό φύλλο, έκπτωση λειτουργικότητας, ανάγκη ύπαρξης φροντιστή, κοινωνική απομόνωση και η χρήση βοηθήματος για το περπάτημα</w:t>
      </w:r>
      <w:r w:rsidR="000D71E4">
        <w:rPr>
          <w:sz w:val="24"/>
          <w:szCs w:val="24"/>
        </w:rPr>
        <w:t xml:space="preserve">. Το </w:t>
      </w:r>
      <w:r w:rsidR="000D71E4">
        <w:rPr>
          <w:sz w:val="24"/>
          <w:szCs w:val="24"/>
          <w:lang w:val="en-US"/>
        </w:rPr>
        <w:t>Prisma</w:t>
      </w:r>
      <w:r w:rsidR="000D71E4" w:rsidRPr="000D71E4">
        <w:rPr>
          <w:sz w:val="24"/>
          <w:szCs w:val="24"/>
        </w:rPr>
        <w:t xml:space="preserve"> 7 </w:t>
      </w:r>
      <w:r w:rsidR="000D71E4">
        <w:rPr>
          <w:sz w:val="24"/>
          <w:szCs w:val="24"/>
        </w:rPr>
        <w:t xml:space="preserve">αν και εύχρηστό τείνει να υπερεκτιμά την ευπαθεια </w:t>
      </w:r>
      <w:r w:rsidR="000D71E4" w:rsidRPr="000D71E4">
        <w:rPr>
          <w:sz w:val="24"/>
          <w:szCs w:val="24"/>
        </w:rPr>
        <w:t>(Raîche et al., 2008).</w:t>
      </w:r>
    </w:p>
    <w:p w:rsidR="000D71E4" w:rsidRDefault="000D71E4" w:rsidP="00FB24A5">
      <w:pPr>
        <w:rPr>
          <w:sz w:val="24"/>
          <w:szCs w:val="24"/>
        </w:rPr>
      </w:pPr>
      <w:r>
        <w:rPr>
          <w:sz w:val="24"/>
          <w:szCs w:val="24"/>
        </w:rPr>
        <w:t>Το</w:t>
      </w:r>
      <w:r w:rsidRPr="000D71E4">
        <w:rPr>
          <w:sz w:val="24"/>
          <w:szCs w:val="24"/>
        </w:rPr>
        <w:t xml:space="preserve"> </w:t>
      </w:r>
      <w:r>
        <w:rPr>
          <w:sz w:val="24"/>
          <w:szCs w:val="24"/>
          <w:lang w:val="en-US"/>
        </w:rPr>
        <w:t>Gerontopole</w:t>
      </w:r>
      <w:r w:rsidRPr="000D71E4">
        <w:rPr>
          <w:sz w:val="24"/>
          <w:szCs w:val="24"/>
        </w:rPr>
        <w:t xml:space="preserve"> </w:t>
      </w:r>
      <w:r>
        <w:rPr>
          <w:sz w:val="24"/>
          <w:szCs w:val="24"/>
          <w:lang w:val="en-US"/>
        </w:rPr>
        <w:t>Frailty</w:t>
      </w:r>
      <w:r w:rsidRPr="000D71E4">
        <w:rPr>
          <w:sz w:val="24"/>
          <w:szCs w:val="24"/>
        </w:rPr>
        <w:t xml:space="preserve"> </w:t>
      </w:r>
      <w:r>
        <w:rPr>
          <w:sz w:val="24"/>
          <w:szCs w:val="24"/>
          <w:lang w:val="en-US"/>
        </w:rPr>
        <w:t>Screening</w:t>
      </w:r>
      <w:r w:rsidRPr="000D71E4">
        <w:rPr>
          <w:sz w:val="24"/>
          <w:szCs w:val="24"/>
        </w:rPr>
        <w:t xml:space="preserve"> </w:t>
      </w:r>
      <w:r>
        <w:rPr>
          <w:sz w:val="24"/>
          <w:szCs w:val="24"/>
          <w:lang w:val="en-US"/>
        </w:rPr>
        <w:t>Tool</w:t>
      </w:r>
      <w:r w:rsidRPr="000D71E4">
        <w:rPr>
          <w:sz w:val="24"/>
          <w:szCs w:val="24"/>
        </w:rPr>
        <w:t xml:space="preserve"> (</w:t>
      </w:r>
      <w:r>
        <w:rPr>
          <w:sz w:val="24"/>
          <w:szCs w:val="24"/>
          <w:lang w:val="en-US"/>
        </w:rPr>
        <w:t>GFST</w:t>
      </w:r>
      <w:r w:rsidRPr="000D71E4">
        <w:rPr>
          <w:sz w:val="24"/>
          <w:szCs w:val="24"/>
        </w:rPr>
        <w:t xml:space="preserve">) </w:t>
      </w:r>
      <w:r>
        <w:rPr>
          <w:sz w:val="24"/>
          <w:szCs w:val="24"/>
        </w:rPr>
        <w:t>αποτελείται</w:t>
      </w:r>
      <w:r w:rsidRPr="000D71E4">
        <w:rPr>
          <w:sz w:val="24"/>
          <w:szCs w:val="24"/>
        </w:rPr>
        <w:t xml:space="preserve"> </w:t>
      </w:r>
      <w:r>
        <w:rPr>
          <w:sz w:val="24"/>
          <w:szCs w:val="24"/>
        </w:rPr>
        <w:t>από</w:t>
      </w:r>
      <w:r w:rsidRPr="000D71E4">
        <w:rPr>
          <w:sz w:val="24"/>
          <w:szCs w:val="24"/>
        </w:rPr>
        <w:t xml:space="preserve"> 6 </w:t>
      </w:r>
      <w:r>
        <w:rPr>
          <w:sz w:val="24"/>
          <w:szCs w:val="24"/>
        </w:rPr>
        <w:t xml:space="preserve">ερωτήσεις που αφορούν την διαβίωση, την ακούσια απώλεια βάρους, την κόπωση, την κινητικότητα, την μνήμη και την ταχύτητα βάδισης. Στο ερωτηματολόγιο αυτό ο ιατρός καλείται να απαντήσει επίσης αν θεωρεί τον ασθενή του ευπαθή. Το </w:t>
      </w:r>
      <w:r>
        <w:rPr>
          <w:sz w:val="24"/>
          <w:szCs w:val="24"/>
          <w:lang w:val="en-US"/>
        </w:rPr>
        <w:t>GFST</w:t>
      </w:r>
      <w:r w:rsidRPr="000D71E4">
        <w:rPr>
          <w:sz w:val="24"/>
          <w:szCs w:val="24"/>
        </w:rPr>
        <w:t xml:space="preserve"> </w:t>
      </w:r>
      <w:r>
        <w:rPr>
          <w:sz w:val="24"/>
          <w:szCs w:val="24"/>
        </w:rPr>
        <w:t xml:space="preserve">δεν έχει ακόμα μελετηθεί εκτενώς για την αξιοπιστία και την εγκυρότητα του </w:t>
      </w:r>
      <w:r w:rsidRPr="000D71E4">
        <w:rPr>
          <w:sz w:val="24"/>
          <w:szCs w:val="24"/>
        </w:rPr>
        <w:t>(Subra et al., 2012).</w:t>
      </w:r>
    </w:p>
    <w:p w:rsidR="006D164E" w:rsidRPr="006D164E" w:rsidRDefault="006D164E" w:rsidP="00FB24A5">
      <w:pPr>
        <w:rPr>
          <w:sz w:val="24"/>
          <w:szCs w:val="24"/>
        </w:rPr>
      </w:pPr>
      <w:r>
        <w:rPr>
          <w:sz w:val="24"/>
          <w:szCs w:val="24"/>
        </w:rPr>
        <w:t>Η</w:t>
      </w:r>
      <w:r w:rsidRPr="006D164E">
        <w:rPr>
          <w:sz w:val="24"/>
          <w:szCs w:val="24"/>
        </w:rPr>
        <w:t xml:space="preserve"> </w:t>
      </w:r>
      <w:r>
        <w:rPr>
          <w:sz w:val="24"/>
          <w:szCs w:val="24"/>
        </w:rPr>
        <w:t>λίστα</w:t>
      </w:r>
      <w:r w:rsidRPr="006D164E">
        <w:rPr>
          <w:sz w:val="24"/>
          <w:szCs w:val="24"/>
        </w:rPr>
        <w:t xml:space="preserve"> </w:t>
      </w:r>
      <w:r>
        <w:rPr>
          <w:sz w:val="24"/>
          <w:szCs w:val="24"/>
          <w:lang w:val="en-US"/>
        </w:rPr>
        <w:t>Kihon</w:t>
      </w:r>
      <w:r w:rsidRPr="006D164E">
        <w:rPr>
          <w:sz w:val="24"/>
          <w:szCs w:val="24"/>
        </w:rPr>
        <w:t xml:space="preserve"> (</w:t>
      </w:r>
      <w:r>
        <w:rPr>
          <w:sz w:val="24"/>
          <w:szCs w:val="24"/>
          <w:lang w:val="en-US"/>
        </w:rPr>
        <w:t>Kihon</w:t>
      </w:r>
      <w:r w:rsidRPr="006D164E">
        <w:rPr>
          <w:sz w:val="24"/>
          <w:szCs w:val="24"/>
        </w:rPr>
        <w:t xml:space="preserve"> </w:t>
      </w:r>
      <w:r>
        <w:rPr>
          <w:sz w:val="24"/>
          <w:szCs w:val="24"/>
          <w:lang w:val="en-US"/>
        </w:rPr>
        <w:t>Check</w:t>
      </w:r>
      <w:r w:rsidRPr="006D164E">
        <w:rPr>
          <w:sz w:val="24"/>
          <w:szCs w:val="24"/>
        </w:rPr>
        <w:t xml:space="preserve"> </w:t>
      </w:r>
      <w:r>
        <w:rPr>
          <w:sz w:val="24"/>
          <w:szCs w:val="24"/>
          <w:lang w:val="en-US"/>
        </w:rPr>
        <w:t>list</w:t>
      </w:r>
      <w:r w:rsidRPr="006D164E">
        <w:rPr>
          <w:sz w:val="24"/>
          <w:szCs w:val="24"/>
        </w:rPr>
        <w:t>-</w:t>
      </w:r>
      <w:r>
        <w:rPr>
          <w:sz w:val="24"/>
          <w:szCs w:val="24"/>
          <w:lang w:val="en-US"/>
        </w:rPr>
        <w:t>KCL</w:t>
      </w:r>
      <w:r w:rsidRPr="006D164E">
        <w:rPr>
          <w:sz w:val="24"/>
          <w:szCs w:val="24"/>
        </w:rPr>
        <w:t xml:space="preserve">) </w:t>
      </w:r>
      <w:r>
        <w:rPr>
          <w:sz w:val="24"/>
          <w:szCs w:val="24"/>
        </w:rPr>
        <w:t xml:space="preserve">χρησιμοποιείται κυρίως στην Ιαπωνία. Αποτελείται από 25 ερωτήσεις που αξιολογούν την σωματική, την ψυχολογική, την λειτουργική και κοινωνική κατάσταση των ατόμων και έχει προγνωστική αξία για το σύνδρομο της ευπάθειας. Απαιτείται όμως παρόλα αυτά η χορήγηση και στάθμιση του και σε άλλες χώρες </w:t>
      </w:r>
      <w:r w:rsidRPr="006D164E">
        <w:rPr>
          <w:sz w:val="24"/>
          <w:szCs w:val="24"/>
        </w:rPr>
        <w:t>(Satake et al., 2016).</w:t>
      </w:r>
    </w:p>
    <w:p w:rsidR="003B68C2" w:rsidRPr="006D164E" w:rsidRDefault="003B68C2" w:rsidP="00FB24A5">
      <w:pPr>
        <w:rPr>
          <w:sz w:val="24"/>
          <w:szCs w:val="24"/>
        </w:rPr>
      </w:pPr>
    </w:p>
    <w:p w:rsidR="006904B1" w:rsidRDefault="006904B1" w:rsidP="00FB24A5">
      <w:pPr>
        <w:rPr>
          <w:b/>
          <w:sz w:val="28"/>
          <w:szCs w:val="28"/>
        </w:rPr>
      </w:pPr>
      <w:r>
        <w:rPr>
          <w:b/>
          <w:sz w:val="28"/>
          <w:szCs w:val="28"/>
        </w:rPr>
        <w:t>2.5 Επιπτώσεις ευπάθειας</w:t>
      </w:r>
    </w:p>
    <w:p w:rsidR="006904B1" w:rsidRDefault="00485BA4" w:rsidP="00297119">
      <w:pPr>
        <w:rPr>
          <w:sz w:val="24"/>
          <w:szCs w:val="24"/>
        </w:rPr>
      </w:pPr>
      <w:r>
        <w:rPr>
          <w:sz w:val="24"/>
          <w:szCs w:val="24"/>
        </w:rPr>
        <w:t xml:space="preserve">Η ευπάθεια αποτελεί ένα σύνδρομο, μια διαδικασία συνήθως με επιδείνωση στην πορεία της ζωής ενός ατόμου. Η ευπάθεια ευθύνεται για μια σειρά εκδηλώσεων όπως π.χ. οι πτώσεις , η λειτουργική έκπτωση που δεν θα πρέπει να παραβλέπονται ή να θεωρούνται φυσικό επακόλουθο της ηλικίας </w:t>
      </w:r>
      <w:r w:rsidRPr="00485BA4">
        <w:rPr>
          <w:sz w:val="24"/>
          <w:szCs w:val="24"/>
        </w:rPr>
        <w:t>(Clegg et al., 2013).</w:t>
      </w:r>
    </w:p>
    <w:p w:rsidR="00485BA4" w:rsidRDefault="00485BA4" w:rsidP="00297119">
      <w:pPr>
        <w:rPr>
          <w:sz w:val="24"/>
          <w:szCs w:val="24"/>
        </w:rPr>
      </w:pPr>
      <w:r>
        <w:rPr>
          <w:sz w:val="24"/>
          <w:szCs w:val="24"/>
        </w:rPr>
        <w:t xml:space="preserve">Όπως έχει αναφερθεί υ ευπάθεια συνδέεται με αυξημένη θνησιμότητα </w:t>
      </w:r>
      <w:r w:rsidRPr="00485BA4">
        <w:rPr>
          <w:sz w:val="24"/>
          <w:szCs w:val="24"/>
        </w:rPr>
        <w:t>(Hoogendijk et al., 2019)</w:t>
      </w:r>
      <w:r>
        <w:rPr>
          <w:sz w:val="24"/>
          <w:szCs w:val="24"/>
        </w:rPr>
        <w:t xml:space="preserve"> και κακή έκβαση υγείας όπως πτώσεις</w:t>
      </w:r>
      <w:r w:rsidR="00F92A30">
        <w:rPr>
          <w:sz w:val="24"/>
          <w:szCs w:val="24"/>
        </w:rPr>
        <w:t xml:space="preserve">, κατάθλιψη, άνοια, νοσηλείες κ.ά. όπως απεικονίζονται στο </w:t>
      </w:r>
      <w:r w:rsidR="009A2372">
        <w:rPr>
          <w:i/>
          <w:sz w:val="24"/>
          <w:szCs w:val="24"/>
        </w:rPr>
        <w:t>Σχήμα 6</w:t>
      </w:r>
      <w:r w:rsidR="00F92A30">
        <w:rPr>
          <w:sz w:val="24"/>
          <w:szCs w:val="24"/>
        </w:rPr>
        <w:t>.</w:t>
      </w:r>
    </w:p>
    <w:p w:rsidR="00F92A30" w:rsidRDefault="00F92A30" w:rsidP="00F92A30">
      <w:pPr>
        <w:jc w:val="center"/>
        <w:rPr>
          <w:sz w:val="24"/>
          <w:szCs w:val="24"/>
        </w:rPr>
      </w:pPr>
      <w:r>
        <w:rPr>
          <w:noProof/>
          <w:sz w:val="24"/>
          <w:szCs w:val="24"/>
          <w:lang w:eastAsia="el-GR"/>
        </w:rPr>
        <w:lastRenderedPageBreak/>
        <w:drawing>
          <wp:inline distT="0" distB="0" distL="0" distR="0">
            <wp:extent cx="3558540" cy="3566160"/>
            <wp:effectExtent l="0" t="0" r="381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58540" cy="3566160"/>
                    </a:xfrm>
                    <a:prstGeom prst="rect">
                      <a:avLst/>
                    </a:prstGeom>
                    <a:noFill/>
                    <a:ln>
                      <a:noFill/>
                    </a:ln>
                  </pic:spPr>
                </pic:pic>
              </a:graphicData>
            </a:graphic>
          </wp:inline>
        </w:drawing>
      </w:r>
    </w:p>
    <w:p w:rsidR="00F92A30" w:rsidRPr="00F92A30" w:rsidRDefault="009A2372" w:rsidP="00F92A3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b/>
          <w:bCs/>
          <w:color w:val="000000"/>
        </w:rPr>
        <w:t>Σχήμα 6</w:t>
      </w:r>
      <w:r w:rsidR="00F92A30" w:rsidRPr="00F92A30">
        <w:rPr>
          <w:rFonts w:ascii="Times New Roman" w:hAnsi="Times New Roman" w:cs="Times New Roman"/>
          <w:b/>
          <w:bCs/>
          <w:color w:val="000000"/>
        </w:rPr>
        <w:t>. Επιπτώσεις ευπάθειας</w:t>
      </w:r>
    </w:p>
    <w:p w:rsidR="00420FAB" w:rsidRPr="00730701" w:rsidRDefault="00730701" w:rsidP="00F92A30">
      <w:pPr>
        <w:jc w:val="center"/>
      </w:pPr>
      <w:r>
        <w:rPr>
          <w:rFonts w:ascii="Times New Roman" w:hAnsi="Times New Roman" w:cs="Times New Roman"/>
          <w:b/>
          <w:bCs/>
          <w:i/>
          <w:iCs/>
          <w:color w:val="000000"/>
        </w:rPr>
        <w:t>1</w:t>
      </w:r>
      <w:r w:rsidR="00F92A30" w:rsidRPr="00F92A30">
        <w:rPr>
          <w:rFonts w:ascii="Times New Roman" w:hAnsi="Times New Roman" w:cs="Times New Roman"/>
          <w:b/>
          <w:bCs/>
          <w:i/>
          <w:iCs/>
          <w:color w:val="000000"/>
        </w:rPr>
        <w:t>Πηγή</w:t>
      </w:r>
      <w:r w:rsidR="00F92A30" w:rsidRPr="00730701">
        <w:rPr>
          <w:rFonts w:ascii="Times New Roman" w:hAnsi="Times New Roman" w:cs="Times New Roman"/>
          <w:b/>
          <w:bCs/>
          <w:i/>
          <w:iCs/>
          <w:color w:val="000000"/>
        </w:rPr>
        <w:t xml:space="preserve">: </w:t>
      </w:r>
      <w:r w:rsidR="00F92A30" w:rsidRPr="00F92A30">
        <w:rPr>
          <w:rFonts w:ascii="Times New Roman" w:hAnsi="Times New Roman" w:cs="Times New Roman"/>
          <w:b/>
          <w:bCs/>
          <w:i/>
          <w:iCs/>
          <w:color w:val="000000"/>
          <w:lang w:val="en-US"/>
        </w:rPr>
        <w:t>Satake</w:t>
      </w:r>
      <w:r w:rsidR="00F92A30" w:rsidRPr="00730701">
        <w:rPr>
          <w:rFonts w:ascii="Times New Roman" w:hAnsi="Times New Roman" w:cs="Times New Roman"/>
          <w:b/>
          <w:bCs/>
          <w:i/>
          <w:iCs/>
          <w:color w:val="000000"/>
        </w:rPr>
        <w:t xml:space="preserve"> </w:t>
      </w:r>
      <w:r w:rsidR="00F92A30" w:rsidRPr="00F92A30">
        <w:rPr>
          <w:rFonts w:ascii="Times New Roman" w:hAnsi="Times New Roman" w:cs="Times New Roman"/>
          <w:b/>
          <w:bCs/>
          <w:i/>
          <w:iCs/>
          <w:color w:val="000000"/>
          <w:lang w:val="en-US"/>
        </w:rPr>
        <w:t>and</w:t>
      </w:r>
      <w:r w:rsidR="00F92A30" w:rsidRPr="00730701">
        <w:rPr>
          <w:rFonts w:ascii="Times New Roman" w:hAnsi="Times New Roman" w:cs="Times New Roman"/>
          <w:b/>
          <w:bCs/>
          <w:i/>
          <w:iCs/>
          <w:color w:val="000000"/>
        </w:rPr>
        <w:t xml:space="preserve"> </w:t>
      </w:r>
      <w:r w:rsidR="00F92A30" w:rsidRPr="00F92A30">
        <w:rPr>
          <w:rFonts w:ascii="Times New Roman" w:hAnsi="Times New Roman" w:cs="Times New Roman"/>
          <w:b/>
          <w:bCs/>
          <w:i/>
          <w:iCs/>
          <w:color w:val="000000"/>
          <w:lang w:val="en-US"/>
        </w:rPr>
        <w:t>Arai</w:t>
      </w:r>
      <w:r w:rsidR="00F92A30" w:rsidRPr="00730701">
        <w:rPr>
          <w:rFonts w:ascii="Times New Roman" w:hAnsi="Times New Roman" w:cs="Times New Roman"/>
          <w:b/>
          <w:bCs/>
          <w:i/>
          <w:iCs/>
          <w:color w:val="000000"/>
        </w:rPr>
        <w:t>, 2020</w:t>
      </w:r>
    </w:p>
    <w:p w:rsidR="00F92A30" w:rsidRDefault="00730701" w:rsidP="00297119">
      <w:pPr>
        <w:rPr>
          <w:sz w:val="24"/>
          <w:szCs w:val="24"/>
        </w:rPr>
      </w:pPr>
      <w:r>
        <w:rPr>
          <w:sz w:val="24"/>
          <w:szCs w:val="24"/>
        </w:rPr>
        <w:t xml:space="preserve">Οι </w:t>
      </w:r>
      <w:r>
        <w:rPr>
          <w:sz w:val="24"/>
          <w:szCs w:val="24"/>
          <w:lang w:val="en-US"/>
        </w:rPr>
        <w:t>Lin</w:t>
      </w:r>
      <w:r w:rsidRPr="00730701">
        <w:rPr>
          <w:sz w:val="24"/>
          <w:szCs w:val="24"/>
        </w:rPr>
        <w:t xml:space="preserve"> </w:t>
      </w:r>
      <w:r>
        <w:rPr>
          <w:sz w:val="24"/>
          <w:szCs w:val="24"/>
        </w:rPr>
        <w:t>και συν. (2018) αναφέρουν ότι σε χώρε</w:t>
      </w:r>
      <w:r w:rsidR="00512FBE">
        <w:rPr>
          <w:sz w:val="24"/>
          <w:szCs w:val="24"/>
        </w:rPr>
        <w:t>ς</w:t>
      </w:r>
      <w:r>
        <w:rPr>
          <w:sz w:val="24"/>
          <w:szCs w:val="24"/>
        </w:rPr>
        <w:t xml:space="preserve"> χαμηλού εισοδήματος η ευπάθεια είναι συχνότερη και </w:t>
      </w:r>
      <w:r w:rsidR="00512FBE">
        <w:rPr>
          <w:sz w:val="24"/>
          <w:szCs w:val="24"/>
        </w:rPr>
        <w:t xml:space="preserve">οι επιπτώσεις της αφορούν αναπηρία, νοσηλεία και θάνατο. </w:t>
      </w:r>
    </w:p>
    <w:p w:rsidR="00512FBE" w:rsidRPr="002D2D35" w:rsidRDefault="00511D51" w:rsidP="00297119">
      <w:pPr>
        <w:rPr>
          <w:sz w:val="24"/>
          <w:szCs w:val="24"/>
        </w:rPr>
      </w:pPr>
      <w:r>
        <w:rPr>
          <w:sz w:val="24"/>
          <w:szCs w:val="24"/>
        </w:rPr>
        <w:t>Οι συχνότερες επιπτώσεις της</w:t>
      </w:r>
      <w:r w:rsidR="00512FBE">
        <w:rPr>
          <w:sz w:val="24"/>
          <w:szCs w:val="24"/>
        </w:rPr>
        <w:t xml:space="preserve"> ευπάθειας αφορούν</w:t>
      </w:r>
      <w:r w:rsidR="00512FBE" w:rsidRPr="00512FBE">
        <w:rPr>
          <w:sz w:val="24"/>
          <w:szCs w:val="24"/>
        </w:rPr>
        <w:t>:</w:t>
      </w:r>
    </w:p>
    <w:p w:rsidR="002E3E61" w:rsidRDefault="002E3E61" w:rsidP="00297119">
      <w:pPr>
        <w:rPr>
          <w:sz w:val="24"/>
          <w:szCs w:val="24"/>
        </w:rPr>
      </w:pPr>
      <w:r>
        <w:rPr>
          <w:sz w:val="24"/>
          <w:szCs w:val="24"/>
        </w:rPr>
        <w:t xml:space="preserve">Διαταραχές στην βάδιση και στην ισορροπία που οδηγούν σε πτώσεις. Στην μελέτη των </w:t>
      </w:r>
      <w:r>
        <w:rPr>
          <w:sz w:val="24"/>
          <w:szCs w:val="24"/>
          <w:lang w:val="en-US"/>
        </w:rPr>
        <w:t>Fang</w:t>
      </w:r>
      <w:r w:rsidRPr="002E3E61">
        <w:rPr>
          <w:sz w:val="24"/>
          <w:szCs w:val="24"/>
        </w:rPr>
        <w:t xml:space="preserve"> </w:t>
      </w:r>
      <w:r>
        <w:rPr>
          <w:sz w:val="24"/>
          <w:szCs w:val="24"/>
        </w:rPr>
        <w:t xml:space="preserve">και συν. το 2012 το 11% ανέφερε πτώσεις ενώ το 35% είχε αποβιώσει στα επόμενα οκτώ χρόνια. </w:t>
      </w:r>
    </w:p>
    <w:p w:rsidR="00512FBE" w:rsidRDefault="002E3E61" w:rsidP="00297119">
      <w:pPr>
        <w:rPr>
          <w:sz w:val="24"/>
          <w:szCs w:val="24"/>
        </w:rPr>
      </w:pPr>
      <w:r>
        <w:rPr>
          <w:sz w:val="24"/>
          <w:szCs w:val="24"/>
        </w:rPr>
        <w:t>Η ποιότητα ζωής επηρεάζεται  από την ευπάθεια καθώς παρατηρείται έκπτωση λειτουργικότητας</w:t>
      </w:r>
      <w:r w:rsidR="00FB2F61">
        <w:rPr>
          <w:sz w:val="24"/>
          <w:szCs w:val="24"/>
        </w:rPr>
        <w:t xml:space="preserve"> στην καθημερινότητα. Έτσι, εμφανίζεται μεγαλύτερος κίνδυνος αναπηρίας, νοσηλείας, ιδρυματοποίησης και τελικά θνησιμότητας (</w:t>
      </w:r>
      <w:r w:rsidR="00FB2F61">
        <w:rPr>
          <w:sz w:val="24"/>
          <w:szCs w:val="24"/>
          <w:lang w:val="en-US"/>
        </w:rPr>
        <w:t>Mulasso</w:t>
      </w:r>
      <w:r w:rsidR="00FB2F61" w:rsidRPr="00FB2F61">
        <w:rPr>
          <w:sz w:val="24"/>
          <w:szCs w:val="24"/>
        </w:rPr>
        <w:t xml:space="preserve"> </w:t>
      </w:r>
      <w:r w:rsidR="00FB2F61">
        <w:rPr>
          <w:sz w:val="24"/>
          <w:szCs w:val="24"/>
          <w:lang w:val="en-US"/>
        </w:rPr>
        <w:t>et</w:t>
      </w:r>
      <w:r w:rsidR="00FB2F61" w:rsidRPr="00FB2F61">
        <w:rPr>
          <w:sz w:val="24"/>
          <w:szCs w:val="24"/>
        </w:rPr>
        <w:t xml:space="preserve"> </w:t>
      </w:r>
      <w:r w:rsidR="00FB2F61">
        <w:rPr>
          <w:sz w:val="24"/>
          <w:szCs w:val="24"/>
          <w:lang w:val="en-US"/>
        </w:rPr>
        <w:t>al</w:t>
      </w:r>
      <w:r w:rsidR="00FB2F61" w:rsidRPr="00FB2F61">
        <w:rPr>
          <w:sz w:val="24"/>
          <w:szCs w:val="24"/>
        </w:rPr>
        <w:t>., 2016</w:t>
      </w:r>
      <w:r w:rsidR="00FB2F61">
        <w:rPr>
          <w:sz w:val="24"/>
          <w:szCs w:val="24"/>
        </w:rPr>
        <w:t>)</w:t>
      </w:r>
      <w:r w:rsidR="00FB2F61" w:rsidRPr="00FB2F61">
        <w:rPr>
          <w:sz w:val="24"/>
          <w:szCs w:val="24"/>
        </w:rPr>
        <w:t xml:space="preserve">. </w:t>
      </w:r>
      <w:r w:rsidR="00BD651A">
        <w:rPr>
          <w:sz w:val="24"/>
          <w:szCs w:val="24"/>
        </w:rPr>
        <w:t xml:space="preserve">Η ευπάθεια σχετίζεται με την ποιότητα ζωής και υπάρχει αρνητική σχέση μεταξύ σωματικής, ψυχολογικής και κοινωνικής ευπάθειας με την ποιότητα ζωής </w:t>
      </w:r>
      <w:r w:rsidR="00BD651A" w:rsidRPr="00BD651A">
        <w:rPr>
          <w:sz w:val="24"/>
          <w:szCs w:val="24"/>
        </w:rPr>
        <w:t>(Papathanasiou et al., 2021).</w:t>
      </w:r>
    </w:p>
    <w:p w:rsidR="00BD651A" w:rsidRDefault="00BD651A" w:rsidP="00297119">
      <w:pPr>
        <w:rPr>
          <w:sz w:val="24"/>
          <w:szCs w:val="24"/>
        </w:rPr>
      </w:pPr>
      <w:r>
        <w:rPr>
          <w:sz w:val="24"/>
          <w:szCs w:val="24"/>
        </w:rPr>
        <w:t xml:space="preserve">Η ευπάθεια οδηγεί συχνά σε νοσηλείες. Οι </w:t>
      </w:r>
      <w:r>
        <w:rPr>
          <w:sz w:val="24"/>
          <w:szCs w:val="24"/>
          <w:lang w:val="en-US"/>
        </w:rPr>
        <w:t>Andreasen</w:t>
      </w:r>
      <w:r w:rsidRPr="00BD651A">
        <w:rPr>
          <w:sz w:val="24"/>
          <w:szCs w:val="24"/>
        </w:rPr>
        <w:t xml:space="preserve"> </w:t>
      </w:r>
      <w:r>
        <w:rPr>
          <w:sz w:val="24"/>
          <w:szCs w:val="24"/>
        </w:rPr>
        <w:t xml:space="preserve">και συν. (2018) χρησιμοποιώντας το </w:t>
      </w:r>
      <w:r>
        <w:rPr>
          <w:sz w:val="24"/>
          <w:szCs w:val="24"/>
          <w:lang w:val="en-US"/>
        </w:rPr>
        <w:t>TFI</w:t>
      </w:r>
      <w:r>
        <w:rPr>
          <w:sz w:val="24"/>
          <w:szCs w:val="24"/>
        </w:rPr>
        <w:t xml:space="preserve"> βρήκαν ότι </w:t>
      </w:r>
      <w:r w:rsidR="00175758">
        <w:rPr>
          <w:sz w:val="24"/>
          <w:szCs w:val="24"/>
        </w:rPr>
        <w:t xml:space="preserve">όταν οι </w:t>
      </w:r>
      <w:r w:rsidR="00143497">
        <w:rPr>
          <w:sz w:val="24"/>
          <w:szCs w:val="24"/>
        </w:rPr>
        <w:t>ασθενείς</w:t>
      </w:r>
      <w:r w:rsidR="00175758">
        <w:rPr>
          <w:sz w:val="24"/>
          <w:szCs w:val="24"/>
        </w:rPr>
        <w:t xml:space="preserve"> σκόραραν &gt;8 </w:t>
      </w:r>
      <w:r w:rsidR="00143497">
        <w:rPr>
          <w:sz w:val="24"/>
          <w:szCs w:val="24"/>
        </w:rPr>
        <w:t>είχαν</w:t>
      </w:r>
      <w:r w:rsidR="00175758">
        <w:rPr>
          <w:sz w:val="24"/>
          <w:szCs w:val="24"/>
        </w:rPr>
        <w:t xml:space="preserve"> 88% κίνδυνο επανεισαγωγής στο νοσοκομείο ή ακόμα και θανάτου. Σε μελέτη τους το 2020 βρέθηκε ότι ειδικά η σωματική και κοινωνική ευπάθεια σχετίζεται με  αύξηση της θνησιμότητας στους άνω των 65. </w:t>
      </w:r>
      <w:r w:rsidR="00143497">
        <w:rPr>
          <w:sz w:val="24"/>
          <w:szCs w:val="24"/>
        </w:rPr>
        <w:t xml:space="preserve">Αυτό συμβαίνει περισσότερο στις γυναίκες από τους άνδρες. Η ευπάθεια οδηγεί σε μεγαλύτερη θνησιμότητα εντός του νοσοκομείου και μεγαλύτερη διάρκεια της νοσηλείας </w:t>
      </w:r>
      <w:r w:rsidR="00143497" w:rsidRPr="00143497">
        <w:rPr>
          <w:sz w:val="24"/>
          <w:szCs w:val="24"/>
        </w:rPr>
        <w:t>(Chong et al., 2017).</w:t>
      </w:r>
    </w:p>
    <w:p w:rsidR="00D03789" w:rsidRDefault="00D03789" w:rsidP="00297119">
      <w:pPr>
        <w:rPr>
          <w:sz w:val="24"/>
          <w:szCs w:val="24"/>
        </w:rPr>
      </w:pPr>
      <w:r>
        <w:rPr>
          <w:sz w:val="24"/>
          <w:szCs w:val="24"/>
        </w:rPr>
        <w:lastRenderedPageBreak/>
        <w:t xml:space="preserve">Η ευπάθεια συχνά μπορεί να οδηγήσει σε ανάπτυξη νευροεκφυλιστικών νόσων όπως η άνοια καθώς φαίνεται να αποτελεί σημαντικό παράγοντα πρόγνωσης </w:t>
      </w:r>
      <w:r w:rsidRPr="00D03789">
        <w:rPr>
          <w:sz w:val="24"/>
          <w:szCs w:val="24"/>
        </w:rPr>
        <w:t>(Kojima et al., 2016).</w:t>
      </w:r>
      <w:r>
        <w:rPr>
          <w:sz w:val="24"/>
          <w:szCs w:val="24"/>
        </w:rPr>
        <w:t xml:space="preserve"> Η ευπάθεια σχετίζεται επίσης με καρδιαγγειακές  νόσους και καρδιακή ανεπάρκεια </w:t>
      </w:r>
      <w:r w:rsidRPr="00D03789">
        <w:rPr>
          <w:sz w:val="24"/>
          <w:szCs w:val="24"/>
        </w:rPr>
        <w:t>(Veronese et al., 2016).</w:t>
      </w:r>
    </w:p>
    <w:p w:rsidR="00D03789" w:rsidRDefault="00D03789" w:rsidP="00297119">
      <w:pPr>
        <w:rPr>
          <w:sz w:val="24"/>
          <w:szCs w:val="24"/>
        </w:rPr>
      </w:pPr>
      <w:r>
        <w:rPr>
          <w:sz w:val="24"/>
          <w:szCs w:val="24"/>
        </w:rPr>
        <w:t xml:space="preserve">Το ντελίριο ή παραλήρημα θεωρείται αποτέλεσμα της ευπάθειας </w:t>
      </w:r>
      <w:r w:rsidR="00B5762D">
        <w:rPr>
          <w:sz w:val="24"/>
          <w:szCs w:val="24"/>
        </w:rPr>
        <w:t>που συχνά επηρεάζει την εγκεφαλική λειτουργία και έχει σημαντικές επιπτώσεις στο άτομο</w:t>
      </w:r>
      <w:r w:rsidR="00B5762D" w:rsidRPr="00B5762D">
        <w:rPr>
          <w:sz w:val="24"/>
          <w:szCs w:val="24"/>
        </w:rPr>
        <w:t xml:space="preserve"> </w:t>
      </w:r>
      <w:r w:rsidR="00B5762D">
        <w:rPr>
          <w:sz w:val="24"/>
          <w:szCs w:val="24"/>
        </w:rPr>
        <w:t>(</w:t>
      </w:r>
      <w:r w:rsidR="00B5762D" w:rsidRPr="0059380A">
        <w:rPr>
          <w:i/>
          <w:sz w:val="24"/>
          <w:szCs w:val="24"/>
        </w:rPr>
        <w:t xml:space="preserve">Σχήμα </w:t>
      </w:r>
      <w:r w:rsidR="009A2372">
        <w:rPr>
          <w:i/>
          <w:sz w:val="24"/>
          <w:szCs w:val="24"/>
        </w:rPr>
        <w:t>7</w:t>
      </w:r>
      <w:r w:rsidR="00B5762D" w:rsidRPr="0059380A">
        <w:rPr>
          <w:i/>
          <w:sz w:val="24"/>
          <w:szCs w:val="24"/>
        </w:rPr>
        <w:t>).</w:t>
      </w:r>
      <w:r w:rsidR="00B5762D">
        <w:rPr>
          <w:sz w:val="24"/>
          <w:szCs w:val="24"/>
        </w:rPr>
        <w:t xml:space="preserve"> </w:t>
      </w:r>
      <w:r w:rsidR="009C18F4">
        <w:rPr>
          <w:sz w:val="24"/>
          <w:szCs w:val="24"/>
        </w:rPr>
        <w:t xml:space="preserve">Σχεδόν το 50 % των ευπαθών ατόμων που θα χειρουργηθούν εμφανίζουν ντελίριο </w:t>
      </w:r>
      <w:r w:rsidR="009C18F4" w:rsidRPr="009C18F4">
        <w:rPr>
          <w:sz w:val="24"/>
          <w:szCs w:val="24"/>
        </w:rPr>
        <w:t>(McIsaac et al., 2017, 2020).</w:t>
      </w:r>
      <w:r w:rsidR="009C18F4">
        <w:rPr>
          <w:sz w:val="24"/>
          <w:szCs w:val="24"/>
        </w:rPr>
        <w:t xml:space="preserve"> </w:t>
      </w:r>
    </w:p>
    <w:p w:rsidR="00D03789" w:rsidRDefault="00B5762D" w:rsidP="00B5762D">
      <w:pPr>
        <w:jc w:val="center"/>
        <w:rPr>
          <w:sz w:val="24"/>
          <w:szCs w:val="24"/>
        </w:rPr>
      </w:pPr>
      <w:r>
        <w:rPr>
          <w:noProof/>
          <w:sz w:val="24"/>
          <w:szCs w:val="24"/>
          <w:lang w:eastAsia="el-GR"/>
        </w:rPr>
        <w:drawing>
          <wp:inline distT="0" distB="0" distL="0" distR="0">
            <wp:extent cx="4282440" cy="2659380"/>
            <wp:effectExtent l="0" t="0" r="3810" b="762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2440" cy="2659380"/>
                    </a:xfrm>
                    <a:prstGeom prst="rect">
                      <a:avLst/>
                    </a:prstGeom>
                    <a:noFill/>
                    <a:ln>
                      <a:noFill/>
                    </a:ln>
                  </pic:spPr>
                </pic:pic>
              </a:graphicData>
            </a:graphic>
          </wp:inline>
        </w:drawing>
      </w:r>
    </w:p>
    <w:p w:rsidR="00B5762D" w:rsidRPr="00B5762D" w:rsidRDefault="00B5762D" w:rsidP="00B5762D">
      <w:pPr>
        <w:jc w:val="center"/>
        <w:rPr>
          <w:b/>
          <w:sz w:val="20"/>
          <w:szCs w:val="20"/>
          <w:lang w:val="en-US"/>
        </w:rPr>
      </w:pPr>
      <w:r>
        <w:rPr>
          <w:b/>
          <w:sz w:val="20"/>
          <w:szCs w:val="20"/>
        </w:rPr>
        <w:t>Σχήμα</w:t>
      </w:r>
      <w:r w:rsidRPr="00B5762D">
        <w:rPr>
          <w:b/>
          <w:sz w:val="20"/>
          <w:szCs w:val="20"/>
          <w:lang w:val="en-US"/>
        </w:rPr>
        <w:t xml:space="preserve"> </w:t>
      </w:r>
      <w:r w:rsidR="009A2372">
        <w:rPr>
          <w:b/>
          <w:sz w:val="20"/>
          <w:szCs w:val="20"/>
        </w:rPr>
        <w:t>7</w:t>
      </w:r>
      <w:r>
        <w:rPr>
          <w:b/>
          <w:sz w:val="20"/>
          <w:szCs w:val="20"/>
          <w:lang w:val="en-US"/>
        </w:rPr>
        <w:t xml:space="preserve">: </w:t>
      </w:r>
      <w:r>
        <w:rPr>
          <w:b/>
          <w:sz w:val="20"/>
          <w:szCs w:val="20"/>
        </w:rPr>
        <w:t xml:space="preserve">Διάγραμμα του </w:t>
      </w:r>
      <w:r>
        <w:rPr>
          <w:b/>
          <w:sz w:val="20"/>
          <w:szCs w:val="20"/>
          <w:lang w:val="en-US"/>
        </w:rPr>
        <w:t>Bouchon.</w:t>
      </w:r>
    </w:p>
    <w:p w:rsidR="00B5762D" w:rsidRPr="00B5762D" w:rsidRDefault="00B5762D" w:rsidP="00B5762D">
      <w:pPr>
        <w:jc w:val="center"/>
        <w:rPr>
          <w:b/>
          <w:sz w:val="20"/>
          <w:szCs w:val="20"/>
          <w:lang w:val="en-US"/>
        </w:rPr>
      </w:pPr>
      <w:r w:rsidRPr="00B5762D">
        <w:rPr>
          <w:b/>
          <w:sz w:val="20"/>
          <w:szCs w:val="20"/>
          <w:lang w:val="en-US"/>
        </w:rPr>
        <w:t>Bouchon JP: 1+2+3 ou comment tenter d'être efficace en gériatrie</w:t>
      </w:r>
      <w:proofErr w:type="gramStart"/>
      <w:r w:rsidRPr="00B5762D">
        <w:rPr>
          <w:b/>
          <w:sz w:val="20"/>
          <w:szCs w:val="20"/>
          <w:lang w:val="en-US"/>
        </w:rPr>
        <w:t>?RevPrat1984</w:t>
      </w:r>
      <w:proofErr w:type="gramEnd"/>
      <w:r w:rsidRPr="00B5762D">
        <w:rPr>
          <w:b/>
          <w:sz w:val="20"/>
          <w:szCs w:val="20"/>
          <w:lang w:val="en-US"/>
        </w:rPr>
        <w:t>; 34: 888-92.</w:t>
      </w:r>
    </w:p>
    <w:p w:rsidR="00361969" w:rsidRDefault="00361969" w:rsidP="00361969">
      <w:pPr>
        <w:rPr>
          <w:rStyle w:val="Emphasis"/>
          <w:i w:val="0"/>
          <w:sz w:val="24"/>
          <w:szCs w:val="24"/>
        </w:rPr>
      </w:pPr>
      <w:r>
        <w:rPr>
          <w:rStyle w:val="Emphasis"/>
          <w:i w:val="0"/>
          <w:sz w:val="24"/>
          <w:szCs w:val="24"/>
        </w:rPr>
        <w:t>Ένα μεγάλο ποσοστό των ατόμων(30-50%) που έχουν ευπάθεια</w:t>
      </w:r>
      <w:r w:rsidR="009C18F4">
        <w:rPr>
          <w:rStyle w:val="Emphasis"/>
          <w:i w:val="0"/>
          <w:sz w:val="24"/>
          <w:szCs w:val="24"/>
        </w:rPr>
        <w:t xml:space="preserve"> και υποβάλλονται σε θεραπείες ή χειρ. επεμβάσεις έχουν μεγαλύτερο κίνδυνο θνησιμότητας και αναπηρίας ιδιαίτερα εάν η επέμβαση ήταν επείγουσα κι όχι προγραμματισμένη, γεγονός που αυξάνει την μετεγχειρητική θνησιμότητα. Αυτό οδηγεί σε μεγάλη νοσηλεία και αύξηση του κόστους ενώ οι ασθενείς συχνά παρουσιάζουν λειτουργική επιδείνωση</w:t>
      </w:r>
      <w:r w:rsidR="0003678C">
        <w:rPr>
          <w:rStyle w:val="Emphasis"/>
          <w:i w:val="0"/>
          <w:sz w:val="24"/>
          <w:szCs w:val="24"/>
        </w:rPr>
        <w:t>, λοιμώξεις, νεφρική ανεπάρκεια και ιδρυματοποίηση</w:t>
      </w:r>
      <w:r w:rsidR="00807B6B">
        <w:rPr>
          <w:rStyle w:val="Emphasis"/>
          <w:i w:val="0"/>
          <w:sz w:val="24"/>
          <w:szCs w:val="24"/>
        </w:rPr>
        <w:t xml:space="preserve"> </w:t>
      </w:r>
      <w:r w:rsidR="00807B6B" w:rsidRPr="00807B6B">
        <w:rPr>
          <w:rStyle w:val="Emphasis"/>
          <w:i w:val="0"/>
          <w:sz w:val="24"/>
          <w:szCs w:val="24"/>
        </w:rPr>
        <w:t>(Krishnan et al., 2014; Mamtora et al., 2020; Pecheva et al., 2020).</w:t>
      </w:r>
    </w:p>
    <w:p w:rsidR="008E50FC" w:rsidRPr="00357514" w:rsidRDefault="00357514" w:rsidP="00361969">
      <w:pPr>
        <w:rPr>
          <w:rStyle w:val="Emphasis"/>
          <w:i w:val="0"/>
          <w:sz w:val="24"/>
          <w:szCs w:val="24"/>
        </w:rPr>
      </w:pPr>
      <w:r>
        <w:rPr>
          <w:rStyle w:val="Emphasis"/>
          <w:i w:val="0"/>
          <w:sz w:val="24"/>
          <w:szCs w:val="24"/>
        </w:rPr>
        <w:t xml:space="preserve">Οι </w:t>
      </w:r>
      <w:r>
        <w:rPr>
          <w:rStyle w:val="Emphasis"/>
          <w:i w:val="0"/>
          <w:sz w:val="24"/>
          <w:szCs w:val="24"/>
          <w:lang w:val="en-US"/>
        </w:rPr>
        <w:t>Lin</w:t>
      </w:r>
      <w:r w:rsidRPr="00357514">
        <w:rPr>
          <w:rStyle w:val="Emphasis"/>
          <w:i w:val="0"/>
          <w:sz w:val="24"/>
          <w:szCs w:val="24"/>
        </w:rPr>
        <w:t xml:space="preserve"> </w:t>
      </w:r>
      <w:r>
        <w:rPr>
          <w:rStyle w:val="Emphasis"/>
          <w:i w:val="0"/>
          <w:sz w:val="24"/>
          <w:szCs w:val="24"/>
        </w:rPr>
        <w:t>και συν. (2016) αναφέρουν ότι η ευπάθεια αποτελεί για τα άτομα μεγάλης ηλικίας προγνωστικό παράγοντα της νοσηρότητας και της θνητότητας μετά από επέμβαση σε σύγκριση με την ηλικία. Η σχέση φάνηκε ιδιαίτερα στις μετεγχειρητικές επιπλοκές, στην μεγάλη νοσηλεία και στην αναγκαιότητα για επανεισαγωγή στο νοσοκομείο ή σε κάποια δομή.</w:t>
      </w:r>
    </w:p>
    <w:p w:rsidR="00554EBC" w:rsidRPr="00361969" w:rsidRDefault="00361969" w:rsidP="00361969">
      <w:pPr>
        <w:rPr>
          <w:rStyle w:val="Emphasis"/>
          <w:i w:val="0"/>
          <w:sz w:val="24"/>
          <w:szCs w:val="24"/>
        </w:rPr>
      </w:pPr>
      <w:r>
        <w:rPr>
          <w:rStyle w:val="Emphasis"/>
          <w:i w:val="0"/>
          <w:sz w:val="24"/>
          <w:szCs w:val="24"/>
        </w:rPr>
        <w:t xml:space="preserve">Τέλος, η ευπάθεια οδηγεί σε μεγαλύτερες δαπάνες και χρήση υπηρεσιών υγείας από τα άτομα </w:t>
      </w:r>
      <w:r w:rsidRPr="00361969">
        <w:rPr>
          <w:rStyle w:val="Emphasis"/>
          <w:i w:val="0"/>
          <w:sz w:val="24"/>
          <w:szCs w:val="24"/>
        </w:rPr>
        <w:t>(Hoogendijk et al., 2019).</w:t>
      </w:r>
      <w:r>
        <w:rPr>
          <w:rStyle w:val="Emphasis"/>
          <w:i w:val="0"/>
          <w:sz w:val="24"/>
          <w:szCs w:val="24"/>
        </w:rPr>
        <w:t xml:space="preserve"> Όσο αυξάνεται η ευπάθεια, αυξάνει και το </w:t>
      </w:r>
      <w:r>
        <w:rPr>
          <w:rStyle w:val="Emphasis"/>
          <w:i w:val="0"/>
          <w:sz w:val="24"/>
          <w:szCs w:val="24"/>
        </w:rPr>
        <w:lastRenderedPageBreak/>
        <w:t xml:space="preserve">κόστος φροντίδας και περίθαλψης και οδηγεί σε διαρκή επιβάρυνση των ασθενών και των φροντιστών τους. </w:t>
      </w:r>
    </w:p>
    <w:p w:rsidR="00730701" w:rsidRPr="00361969" w:rsidRDefault="00730701" w:rsidP="00297119">
      <w:pPr>
        <w:rPr>
          <w:sz w:val="24"/>
          <w:szCs w:val="24"/>
        </w:rPr>
      </w:pPr>
    </w:p>
    <w:p w:rsidR="006904B1" w:rsidRPr="006904B1" w:rsidRDefault="006904B1" w:rsidP="00297119">
      <w:pPr>
        <w:rPr>
          <w:b/>
          <w:sz w:val="28"/>
          <w:szCs w:val="28"/>
        </w:rPr>
      </w:pPr>
      <w:r>
        <w:rPr>
          <w:b/>
          <w:sz w:val="28"/>
          <w:szCs w:val="28"/>
        </w:rPr>
        <w:t>2.6 Πρόληψη ευπάθειας</w:t>
      </w:r>
    </w:p>
    <w:p w:rsidR="006904B1" w:rsidRDefault="0071724C" w:rsidP="00297119">
      <w:pPr>
        <w:rPr>
          <w:sz w:val="24"/>
          <w:szCs w:val="24"/>
        </w:rPr>
      </w:pPr>
      <w:r>
        <w:rPr>
          <w:sz w:val="24"/>
          <w:szCs w:val="24"/>
        </w:rPr>
        <w:t xml:space="preserve">Σε αρχικά στάδια η ευπάθεια μπορεί να βελτιωθεί. Γι αυτό το λόγο τα συστήματα υγείας παγκοσμίως οφείλουν να λάβουν μέτρα προς αυτή την κατεύθυνση. Οι </w:t>
      </w:r>
      <w:r>
        <w:rPr>
          <w:sz w:val="24"/>
          <w:szCs w:val="24"/>
          <w:lang w:val="en-US"/>
        </w:rPr>
        <w:t>Dent</w:t>
      </w:r>
      <w:r w:rsidRPr="0071724C">
        <w:rPr>
          <w:sz w:val="24"/>
          <w:szCs w:val="24"/>
        </w:rPr>
        <w:t xml:space="preserve"> </w:t>
      </w:r>
      <w:r>
        <w:rPr>
          <w:sz w:val="24"/>
          <w:szCs w:val="24"/>
        </w:rPr>
        <w:t xml:space="preserve">και συν. (2019) στη Διεθνή Διάσκεψη Έρευνας για την Ευπάθεια και τη Σαρκοπενία ανάπτυξαν οδηγίες προς αυτό. </w:t>
      </w:r>
    </w:p>
    <w:p w:rsidR="0071724C" w:rsidRDefault="00BD7160" w:rsidP="00297119">
      <w:pPr>
        <w:rPr>
          <w:sz w:val="24"/>
          <w:szCs w:val="24"/>
        </w:rPr>
      </w:pPr>
      <w:r>
        <w:rPr>
          <w:sz w:val="24"/>
          <w:szCs w:val="24"/>
        </w:rPr>
        <w:t xml:space="preserve">Η ευπάθεια πρέπει να αξιολογείται προτού εμφανιστούν συμπτώματα και ιδιαίτερα η σωματική ευπάθεια. Στόχος είναι η αντιμετώπιση της πολυφαρμακίας, της σαρκοπενίας και προβλημάτων υγείας που ενισχύουν την κόπωση όπως η κατάθλιψη, η αναιμία, η υπόταση, ο υποθυρεοειδισμός και η ανεπάρκεια της Β12. Σημαντική είναι και η κοινωνική στήριξη και η κάλυψη βασικών αναγκών. </w:t>
      </w:r>
      <w:r w:rsidR="00764555">
        <w:rPr>
          <w:sz w:val="24"/>
          <w:szCs w:val="24"/>
        </w:rPr>
        <w:t xml:space="preserve">Σύσταση για καθημερινή σωματική άσκηση και τέλος έλεγχος για απώλεια βάρους και λήψη συμπληρωμάτων. </w:t>
      </w:r>
    </w:p>
    <w:p w:rsidR="00F33925" w:rsidRDefault="002D2D35" w:rsidP="00297119">
      <w:pPr>
        <w:rPr>
          <w:sz w:val="24"/>
          <w:szCs w:val="24"/>
        </w:rPr>
      </w:pPr>
      <w:r>
        <w:rPr>
          <w:sz w:val="24"/>
          <w:szCs w:val="24"/>
        </w:rPr>
        <w:t xml:space="preserve">Η φυσική άσκηση επιδρά θετικά σε πολλά συστήματα και συμβάλλει στην εμφάνιση ή την καθυστέρηση της ευπάθειας. Η άσκηση βοηθά στην λειτουργικότητα, στην μείωση των πτώσεων, στην βάδιση και στην γενικότερη υγεία και διάθεση. Με την άσκηση μειώνεται το στρες και η φλεγμονή, βελτιώνεται η λειτουργία των μιτοχονδρίων και η αντίσταση στην ινσουλίνη. Όσο αφορά την προτεινόμενη άσκηση </w:t>
      </w:r>
      <w:r w:rsidR="00D86894">
        <w:rPr>
          <w:sz w:val="24"/>
          <w:szCs w:val="24"/>
        </w:rPr>
        <w:t xml:space="preserve">φαίνεται να βοηθά η αερόβια, οι ασκήσεις αντιστάσεων, ισορροπίας και τα βάρη </w:t>
      </w:r>
      <w:r w:rsidR="00D86894" w:rsidRPr="00D86894">
        <w:rPr>
          <w:sz w:val="24"/>
          <w:szCs w:val="24"/>
        </w:rPr>
        <w:t>(Angulo et al., 2020; Espinoza &amp; Walston, 2005).</w:t>
      </w:r>
    </w:p>
    <w:p w:rsidR="00D86894" w:rsidRDefault="00D86894" w:rsidP="00297119">
      <w:pPr>
        <w:rPr>
          <w:sz w:val="24"/>
          <w:szCs w:val="24"/>
        </w:rPr>
      </w:pPr>
      <w:r>
        <w:rPr>
          <w:sz w:val="24"/>
          <w:szCs w:val="24"/>
        </w:rPr>
        <w:t xml:space="preserve">Το ιδανικό πρόγραμμα άσκησης περιλαμβάνει πολλά είδη μαζί για να μειωθεί η ευπάθεια αλλά και βελτιωθεί η μυϊκή δύναμη και η αναπηρία. Οι ομαδικές παρεμβάσεις ασκήσεων φαίνεται να είναι πιο αποτελεσματικές ενώ είναι ιδιαίτερα σημαντικά τα οφέλη στην προ-ευπάθεια </w:t>
      </w:r>
      <w:r w:rsidRPr="00D86894">
        <w:rPr>
          <w:sz w:val="24"/>
          <w:szCs w:val="24"/>
        </w:rPr>
        <w:t>(Won, 2020).</w:t>
      </w:r>
    </w:p>
    <w:p w:rsidR="00D86894" w:rsidRPr="00D30377" w:rsidRDefault="00D86894" w:rsidP="00297119">
      <w:pPr>
        <w:rPr>
          <w:sz w:val="24"/>
          <w:szCs w:val="24"/>
        </w:rPr>
      </w:pPr>
      <w:r>
        <w:rPr>
          <w:sz w:val="24"/>
          <w:szCs w:val="24"/>
        </w:rPr>
        <w:t>Πιο συγκεκριμένα</w:t>
      </w:r>
      <w:r w:rsidR="00C74365">
        <w:rPr>
          <w:sz w:val="24"/>
          <w:szCs w:val="24"/>
        </w:rPr>
        <w:t>,</w:t>
      </w:r>
      <w:r>
        <w:rPr>
          <w:sz w:val="24"/>
          <w:szCs w:val="24"/>
        </w:rPr>
        <w:t xml:space="preserve"> οι </w:t>
      </w:r>
      <w:r>
        <w:rPr>
          <w:sz w:val="23"/>
          <w:szCs w:val="23"/>
        </w:rPr>
        <w:t xml:space="preserve">Chodzko-Zajko και συν. (2009) προτείνουν ,ένα πρόγραμμα 150’ </w:t>
      </w:r>
      <w:r w:rsidR="00C74365">
        <w:rPr>
          <w:sz w:val="23"/>
          <w:szCs w:val="23"/>
        </w:rPr>
        <w:t xml:space="preserve">ασκήσεων την εβδομάδα με αερόβιες ασκήσεις, μυϊκής ενδυνάμωσης, ασκήσεις ισορροπίας και ασκήσεις ευλυγισίας. Σημαντική παράμετρος είναι η δέσμευση των ατόμων στα προγράμματα άσκησης. Γι αυτό το λόγο, οι συμμετέχοντες καλό θα ήταν να ενημερώνονται για την διάρκεια και τα πολλαπλά οφέλη της σωματικής άσκησης και να λαμβάνονται υπόψη οι προτιμήσεις των ασθενών και να καθοδηγούνται από ειδικό </w:t>
      </w:r>
      <w:r w:rsidR="00C74365" w:rsidRPr="00D30377">
        <w:rPr>
          <w:sz w:val="24"/>
          <w:szCs w:val="24"/>
        </w:rPr>
        <w:t>(Angulo et al., 2020).</w:t>
      </w:r>
    </w:p>
    <w:p w:rsidR="00C74365" w:rsidRDefault="008F4280" w:rsidP="00297119">
      <w:pPr>
        <w:rPr>
          <w:sz w:val="24"/>
          <w:szCs w:val="24"/>
        </w:rPr>
      </w:pPr>
      <w:r w:rsidRPr="00D30377">
        <w:rPr>
          <w:sz w:val="24"/>
          <w:szCs w:val="24"/>
        </w:rPr>
        <w:t>Η ευπάθεια έχει συσχετισθεί με τον υποσιτισμό</w:t>
      </w:r>
      <w:r w:rsidR="00D30377" w:rsidRPr="00D30377">
        <w:rPr>
          <w:sz w:val="24"/>
          <w:szCs w:val="24"/>
        </w:rPr>
        <w:t xml:space="preserve"> και την έλλειψη άσκησης</w:t>
      </w:r>
      <w:r w:rsidRPr="00D30377">
        <w:rPr>
          <w:sz w:val="24"/>
          <w:szCs w:val="24"/>
        </w:rPr>
        <w:t xml:space="preserve"> (Clegg et</w:t>
      </w:r>
      <w:r w:rsidR="00D30377" w:rsidRPr="00D30377">
        <w:rPr>
          <w:sz w:val="24"/>
          <w:szCs w:val="24"/>
        </w:rPr>
        <w:t xml:space="preserve"> al., 2013; Goisser et al., 2015</w:t>
      </w:r>
      <w:r w:rsidRPr="00D30377">
        <w:rPr>
          <w:sz w:val="24"/>
          <w:szCs w:val="24"/>
        </w:rPr>
        <w:t>).</w:t>
      </w:r>
      <w:r w:rsidR="00D30377" w:rsidRPr="00D30377">
        <w:rPr>
          <w:sz w:val="24"/>
          <w:szCs w:val="24"/>
        </w:rPr>
        <w:t xml:space="preserve"> Η μεσογειακή διατροφή προσφέρει</w:t>
      </w:r>
      <w:r w:rsidR="00D30377">
        <w:rPr>
          <w:sz w:val="24"/>
          <w:szCs w:val="24"/>
        </w:rPr>
        <w:t xml:space="preserve"> πολλαπλά οφέλη </w:t>
      </w:r>
      <w:r w:rsidR="00D30377">
        <w:rPr>
          <w:sz w:val="24"/>
          <w:szCs w:val="24"/>
        </w:rPr>
        <w:lastRenderedPageBreak/>
        <w:t xml:space="preserve">σε ευπαθείς και προ-ευπαθείς ομάδες, ενώ ο ιδανικός ΔΜΣ φαίνεται να είναι ιδανικός από 25 ως 29,9 για την υγεία γενικότερα. </w:t>
      </w:r>
    </w:p>
    <w:p w:rsidR="007F2832" w:rsidRDefault="007F2832" w:rsidP="00297119">
      <w:pPr>
        <w:rPr>
          <w:sz w:val="24"/>
          <w:szCs w:val="24"/>
        </w:rPr>
      </w:pPr>
      <w:r>
        <w:rPr>
          <w:sz w:val="24"/>
          <w:szCs w:val="24"/>
        </w:rPr>
        <w:t xml:space="preserve">Οι </w:t>
      </w:r>
      <w:r>
        <w:rPr>
          <w:sz w:val="24"/>
          <w:szCs w:val="24"/>
          <w:lang w:val="en-US"/>
        </w:rPr>
        <w:t>Gabrovec</w:t>
      </w:r>
      <w:r w:rsidRPr="007F2832">
        <w:rPr>
          <w:sz w:val="24"/>
          <w:szCs w:val="24"/>
        </w:rPr>
        <w:t xml:space="preserve"> </w:t>
      </w:r>
      <w:r>
        <w:rPr>
          <w:sz w:val="24"/>
          <w:szCs w:val="24"/>
        </w:rPr>
        <w:t xml:space="preserve">και συν. (2019) προτείνουν </w:t>
      </w:r>
      <w:r w:rsidR="004F410A">
        <w:rPr>
          <w:sz w:val="24"/>
          <w:szCs w:val="24"/>
        </w:rPr>
        <w:t xml:space="preserve">δίαιτα εμπλουτισμένη σε πρωτεΐνες, περίπου στο 1,5 γρ ανά κιλό την ημέρα για την προστασία από την ευπάθεια. Σημαντική είναι η πρόσληψη βιταμίνης </w:t>
      </w:r>
      <w:r w:rsidR="004F410A">
        <w:rPr>
          <w:sz w:val="24"/>
          <w:szCs w:val="24"/>
          <w:lang w:val="en-US"/>
        </w:rPr>
        <w:t>D</w:t>
      </w:r>
      <w:r w:rsidR="004F410A">
        <w:rPr>
          <w:sz w:val="24"/>
          <w:szCs w:val="24"/>
        </w:rPr>
        <w:t xml:space="preserve">. Αυτές οι οδηγίες φαίνεται να συμβάλλουν σημαντικά στην καθυστέρηση και την μείωση της ευπάθειας αλλά χρειάζονται περισσότερες έρευνες για να επιβεβαιωθούν </w:t>
      </w:r>
      <w:r w:rsidR="004F410A" w:rsidRPr="004F410A">
        <w:rPr>
          <w:sz w:val="24"/>
          <w:szCs w:val="24"/>
        </w:rPr>
        <w:t>(Cesari et al., 2017; Hernández Morante et al., 2019; Marques et al., 2018).</w:t>
      </w:r>
      <w:r w:rsidR="004F410A">
        <w:rPr>
          <w:sz w:val="24"/>
          <w:szCs w:val="24"/>
        </w:rPr>
        <w:t xml:space="preserve"> </w:t>
      </w:r>
    </w:p>
    <w:p w:rsidR="005E1105" w:rsidRPr="001A6EEC" w:rsidRDefault="00DC426E" w:rsidP="00297119">
      <w:pPr>
        <w:rPr>
          <w:sz w:val="24"/>
          <w:szCs w:val="24"/>
        </w:rPr>
      </w:pPr>
      <w:r>
        <w:rPr>
          <w:sz w:val="24"/>
          <w:szCs w:val="24"/>
        </w:rPr>
        <w:t xml:space="preserve">Η λήψη φαρμάκων που βοηθούν στην πρόληψη της ευπάθειας δεν έχουν μελετηθεί σε σημαντικό βαθμό. </w:t>
      </w:r>
      <w:r w:rsidR="00337054">
        <w:rPr>
          <w:sz w:val="24"/>
          <w:szCs w:val="24"/>
        </w:rPr>
        <w:t xml:space="preserve">Οι αναστολείς της αγγειοτενσίνης βοηθούν στην άσκηση και γενικά στην ποιότητα ζωής. Τα συμπληρώματα όπως η τεστοστερόνη και τα οιστρογόνα και η αυξητική ορμόνη φαίνεται να βελτιώνουν την μυϊκή μάζα και τη λειτουργικότητα αλλά δεν υπάρχουν αρκετές έρευνες που να το επιβεβαιώνουν </w:t>
      </w:r>
      <w:r w:rsidR="00337054" w:rsidRPr="00337054">
        <w:rPr>
          <w:sz w:val="24"/>
          <w:szCs w:val="24"/>
        </w:rPr>
        <w:t>(Chen et al., 2014; Espinoza &amp; Walston, 2005).</w:t>
      </w:r>
      <w:r w:rsidR="00337054">
        <w:rPr>
          <w:sz w:val="24"/>
          <w:szCs w:val="24"/>
        </w:rPr>
        <w:t xml:space="preserve"> Αμφιλεγόμενη παραμένει</w:t>
      </w:r>
      <w:r w:rsidR="001A6EEC">
        <w:rPr>
          <w:sz w:val="24"/>
          <w:szCs w:val="24"/>
        </w:rPr>
        <w:t xml:space="preserve"> η χορήγηση </w:t>
      </w:r>
      <w:r w:rsidR="001A6EEC">
        <w:rPr>
          <w:sz w:val="24"/>
          <w:szCs w:val="24"/>
          <w:lang w:val="en-US"/>
        </w:rPr>
        <w:t>IGF</w:t>
      </w:r>
      <w:r w:rsidR="001A6EEC" w:rsidRPr="001A6EEC">
        <w:rPr>
          <w:sz w:val="24"/>
          <w:szCs w:val="24"/>
        </w:rPr>
        <w:t xml:space="preserve"> </w:t>
      </w:r>
      <w:r w:rsidR="001A6EEC">
        <w:rPr>
          <w:sz w:val="24"/>
          <w:szCs w:val="24"/>
        </w:rPr>
        <w:t xml:space="preserve">και βιταμίνης </w:t>
      </w:r>
      <w:r w:rsidR="001A6EEC">
        <w:rPr>
          <w:sz w:val="24"/>
          <w:szCs w:val="24"/>
          <w:lang w:val="en-US"/>
        </w:rPr>
        <w:t>D</w:t>
      </w:r>
      <w:r w:rsidR="001A6EEC">
        <w:rPr>
          <w:sz w:val="24"/>
          <w:szCs w:val="24"/>
        </w:rPr>
        <w:t xml:space="preserve"> για την ευπάθεια </w:t>
      </w:r>
      <w:r w:rsidR="001A6EEC" w:rsidRPr="001A6EEC">
        <w:rPr>
          <w:sz w:val="24"/>
          <w:szCs w:val="24"/>
        </w:rPr>
        <w:t>(Clegg et al., 2013).</w:t>
      </w:r>
    </w:p>
    <w:p w:rsidR="004F410A" w:rsidRDefault="004365C7" w:rsidP="00297119">
      <w:pPr>
        <w:rPr>
          <w:sz w:val="24"/>
          <w:szCs w:val="24"/>
        </w:rPr>
      </w:pPr>
      <w:r>
        <w:rPr>
          <w:sz w:val="24"/>
          <w:szCs w:val="24"/>
        </w:rPr>
        <w:t xml:space="preserve">Η γνωστική ενδυνάμωση εβδομαδιαίως με ασκήσεις για την </w:t>
      </w:r>
      <w:r w:rsidR="00466F9B">
        <w:rPr>
          <w:sz w:val="24"/>
          <w:szCs w:val="24"/>
        </w:rPr>
        <w:t>μνήμη</w:t>
      </w:r>
      <w:r>
        <w:rPr>
          <w:sz w:val="24"/>
          <w:szCs w:val="24"/>
        </w:rPr>
        <w:t>, την προσοχή, την κρίση κ.ά.</w:t>
      </w:r>
      <w:r w:rsidR="00466F9B">
        <w:rPr>
          <w:sz w:val="24"/>
          <w:szCs w:val="24"/>
        </w:rPr>
        <w:t xml:space="preserve"> συστήνονται για την ευπάθεια αλλά υπάρχουν περιορισμένες έρευνες. Οι </w:t>
      </w:r>
      <w:r w:rsidR="00466F9B">
        <w:rPr>
          <w:sz w:val="24"/>
          <w:szCs w:val="24"/>
          <w:lang w:val="en-US"/>
        </w:rPr>
        <w:t>Gordon</w:t>
      </w:r>
      <w:r w:rsidR="00466F9B" w:rsidRPr="00466F9B">
        <w:rPr>
          <w:sz w:val="24"/>
          <w:szCs w:val="24"/>
        </w:rPr>
        <w:t xml:space="preserve"> </w:t>
      </w:r>
      <w:r w:rsidR="00466F9B">
        <w:rPr>
          <w:sz w:val="24"/>
          <w:szCs w:val="24"/>
        </w:rPr>
        <w:t xml:space="preserve">και </w:t>
      </w:r>
      <w:r w:rsidR="00466F9B">
        <w:rPr>
          <w:sz w:val="24"/>
          <w:szCs w:val="24"/>
          <w:lang w:val="en-US"/>
        </w:rPr>
        <w:t>Hubbard</w:t>
      </w:r>
      <w:r w:rsidR="00466F9B" w:rsidRPr="00466F9B">
        <w:rPr>
          <w:sz w:val="24"/>
          <w:szCs w:val="24"/>
        </w:rPr>
        <w:t xml:space="preserve"> </w:t>
      </w:r>
      <w:r w:rsidR="00466F9B">
        <w:rPr>
          <w:sz w:val="24"/>
          <w:szCs w:val="24"/>
        </w:rPr>
        <w:t xml:space="preserve">(2020) αναφέρουν ότι μέσω τέτοιου είδους παρεμβάσεων η ευπάθεια βελτιώνεται και μειώνεται ο επιπολασμός της. </w:t>
      </w:r>
    </w:p>
    <w:p w:rsidR="00466F9B" w:rsidRDefault="009C7904" w:rsidP="00297119">
      <w:pPr>
        <w:rPr>
          <w:sz w:val="24"/>
          <w:szCs w:val="24"/>
        </w:rPr>
      </w:pPr>
      <w:r>
        <w:rPr>
          <w:sz w:val="24"/>
          <w:szCs w:val="24"/>
        </w:rPr>
        <w:t xml:space="preserve">Η μείωση των φαρμάκων που λαμβάνει ένα άτομο </w:t>
      </w:r>
      <w:r w:rsidR="000D7F94">
        <w:rPr>
          <w:sz w:val="24"/>
          <w:szCs w:val="24"/>
        </w:rPr>
        <w:t xml:space="preserve">προλαμβάνει την ευπάθεια καθώς μειώνει τη θνησιμότητα, τις νοσηλείες και τις πτώσεις </w:t>
      </w:r>
      <w:r w:rsidR="000D7F94" w:rsidRPr="000D7F94">
        <w:rPr>
          <w:sz w:val="24"/>
          <w:szCs w:val="24"/>
        </w:rPr>
        <w:t>(Marques et al., 2018).</w:t>
      </w:r>
      <w:r w:rsidR="000D7F94">
        <w:rPr>
          <w:sz w:val="24"/>
          <w:szCs w:val="24"/>
        </w:rPr>
        <w:t xml:space="preserve"> Το 50% των ατόμων άνω των 65 ετών λαμβάνουν πέντε ή περισσότερα φάρμακα </w:t>
      </w:r>
      <w:r w:rsidR="000D7F94" w:rsidRPr="000D7F94">
        <w:rPr>
          <w:sz w:val="24"/>
          <w:szCs w:val="24"/>
        </w:rPr>
        <w:t>(Gabrovec et al., 2019).</w:t>
      </w:r>
      <w:r w:rsidR="000D7F94">
        <w:rPr>
          <w:sz w:val="24"/>
          <w:szCs w:val="24"/>
        </w:rPr>
        <w:t xml:space="preserve"> Υπάρχει σύσταση για μείωση των φαρμάκων μέσω της χρήσης των κριτηρίων </w:t>
      </w:r>
      <w:r w:rsidR="000D7F94">
        <w:rPr>
          <w:sz w:val="24"/>
          <w:szCs w:val="24"/>
          <w:lang w:val="en-US"/>
        </w:rPr>
        <w:t>Beers</w:t>
      </w:r>
      <w:r w:rsidR="000D7F94" w:rsidRPr="000D7F94">
        <w:rPr>
          <w:sz w:val="24"/>
          <w:szCs w:val="24"/>
        </w:rPr>
        <w:t xml:space="preserve">, </w:t>
      </w:r>
      <w:r w:rsidR="000D7F94">
        <w:rPr>
          <w:sz w:val="24"/>
          <w:szCs w:val="24"/>
          <w:lang w:val="en-US"/>
        </w:rPr>
        <w:t>STOPP</w:t>
      </w:r>
      <w:r w:rsidR="000D7F94" w:rsidRPr="000D7F94">
        <w:rPr>
          <w:sz w:val="24"/>
          <w:szCs w:val="24"/>
        </w:rPr>
        <w:t>/</w:t>
      </w:r>
      <w:r w:rsidR="000D7F94">
        <w:rPr>
          <w:sz w:val="24"/>
          <w:szCs w:val="24"/>
          <w:lang w:val="en-US"/>
        </w:rPr>
        <w:t>START</w:t>
      </w:r>
      <w:r w:rsidR="000D7F94" w:rsidRPr="000D7F94">
        <w:rPr>
          <w:sz w:val="24"/>
          <w:szCs w:val="24"/>
        </w:rPr>
        <w:t xml:space="preserve"> </w:t>
      </w:r>
      <w:r w:rsidR="000D7F94">
        <w:rPr>
          <w:sz w:val="24"/>
          <w:szCs w:val="24"/>
        </w:rPr>
        <w:t xml:space="preserve">και </w:t>
      </w:r>
      <w:r w:rsidR="000D7F94">
        <w:rPr>
          <w:sz w:val="24"/>
          <w:szCs w:val="24"/>
          <w:lang w:val="en-US"/>
        </w:rPr>
        <w:t>Laroche</w:t>
      </w:r>
      <w:r w:rsidR="000D7F94">
        <w:rPr>
          <w:sz w:val="24"/>
          <w:szCs w:val="24"/>
        </w:rPr>
        <w:t>.</w:t>
      </w:r>
    </w:p>
    <w:p w:rsidR="000D7F94" w:rsidRDefault="00886F3D" w:rsidP="00297119">
      <w:pPr>
        <w:rPr>
          <w:sz w:val="24"/>
          <w:szCs w:val="24"/>
        </w:rPr>
      </w:pPr>
      <w:r>
        <w:rPr>
          <w:sz w:val="24"/>
          <w:szCs w:val="24"/>
        </w:rPr>
        <w:t xml:space="preserve">Όσο αφορά την ανεξάρτητη διαβίωση των ατόμων μεγάλης ηλικίας η </w:t>
      </w:r>
      <w:r w:rsidR="00223A45">
        <w:rPr>
          <w:sz w:val="24"/>
          <w:szCs w:val="24"/>
        </w:rPr>
        <w:t>χρήση της τεχνολογίας φαίνεται να βοηθά τα άτομα με ευπάθεια, τα διευκολύνει και βοηθά την οικογένεια (Gabrovec et al., 2019)</w:t>
      </w:r>
      <w:r w:rsidR="00223A45" w:rsidRPr="00223A45">
        <w:rPr>
          <w:sz w:val="24"/>
          <w:szCs w:val="24"/>
        </w:rPr>
        <w:t>.</w:t>
      </w:r>
      <w:r w:rsidR="00223A45">
        <w:rPr>
          <w:sz w:val="24"/>
          <w:szCs w:val="24"/>
        </w:rPr>
        <w:t xml:space="preserve"> </w:t>
      </w:r>
    </w:p>
    <w:p w:rsidR="002D2D35" w:rsidRDefault="00223A45" w:rsidP="00297119">
      <w:pPr>
        <w:rPr>
          <w:sz w:val="24"/>
          <w:szCs w:val="24"/>
        </w:rPr>
      </w:pPr>
      <w:r>
        <w:rPr>
          <w:sz w:val="24"/>
          <w:szCs w:val="24"/>
        </w:rPr>
        <w:t xml:space="preserve">Η υποστήριξη σε κοινωνικό επίπεδο είναι σημαντική για τα ευπαθή άτομα. Η μειωμένη επαφή με τους άλλους και η απομόνωση αποτελεί παράγοντας για την εμφάνιση της ευπάθειας γι αυτό και η δημιουργία ενός υποστηρικτικού πλαισίου προλαμβάνει την ευπάθεια ειδικά αν αυτό συμβαίνει σε καθημερινή βάση. </w:t>
      </w:r>
      <w:r w:rsidR="00714617">
        <w:rPr>
          <w:sz w:val="24"/>
          <w:szCs w:val="24"/>
        </w:rPr>
        <w:t xml:space="preserve">Οι </w:t>
      </w:r>
      <w:r w:rsidR="00714617">
        <w:rPr>
          <w:sz w:val="24"/>
          <w:szCs w:val="24"/>
          <w:lang w:val="en-US"/>
        </w:rPr>
        <w:t>Chon</w:t>
      </w:r>
      <w:r w:rsidR="00714617" w:rsidRPr="00714617">
        <w:rPr>
          <w:sz w:val="24"/>
          <w:szCs w:val="24"/>
        </w:rPr>
        <w:t xml:space="preserve"> </w:t>
      </w:r>
      <w:r w:rsidR="00714617">
        <w:rPr>
          <w:sz w:val="24"/>
          <w:szCs w:val="24"/>
        </w:rPr>
        <w:t xml:space="preserve">και συν. (2018) υποστήριξαν ότι η οικογένεια δεν φαίνεται να είναι βασικός προστατευτικός παράγοντας απέναντι στην ευπάθεια. </w:t>
      </w:r>
    </w:p>
    <w:p w:rsidR="00F706B3" w:rsidRPr="00714617" w:rsidRDefault="00F706B3" w:rsidP="00297119">
      <w:pPr>
        <w:rPr>
          <w:sz w:val="24"/>
          <w:szCs w:val="24"/>
        </w:rPr>
      </w:pPr>
      <w:r>
        <w:rPr>
          <w:sz w:val="24"/>
          <w:szCs w:val="24"/>
        </w:rPr>
        <w:t xml:space="preserve">Τέλος, συχνά υπάρχουν παράγοντες κοινωνικοί και οικονομικοί που εμποδίζουν τα άτομα να συμμετέχουν σε ολοκληρωμένες παρεμβάσεις όπως π.χ. η δυσκολία μετακίνησης. Τέτοιοι παράγοντες καλό είναι να λαμβάνονται υπόψη και να γίνεται προσπάθεια να ξεπεραστούν. Η συμμετοχή σε ομαδικές παρεμβάσεις όχι μόνο </w:t>
      </w:r>
      <w:r>
        <w:rPr>
          <w:sz w:val="24"/>
          <w:szCs w:val="24"/>
        </w:rPr>
        <w:lastRenderedPageBreak/>
        <w:t xml:space="preserve">ενισχύει την σωματική ή γνωστική κατάσταση των ατόμων αλλά προσφέρει οφέλη στην κοινωνικοποίηση των ατόμων </w:t>
      </w:r>
      <w:r w:rsidRPr="00F706B3">
        <w:rPr>
          <w:sz w:val="24"/>
          <w:szCs w:val="24"/>
        </w:rPr>
        <w:t>(Angulo et al., 2020).</w:t>
      </w:r>
    </w:p>
    <w:p w:rsidR="00714617" w:rsidRPr="00357514" w:rsidRDefault="00714617" w:rsidP="00297119">
      <w:pPr>
        <w:rPr>
          <w:sz w:val="24"/>
          <w:szCs w:val="24"/>
        </w:rPr>
      </w:pPr>
    </w:p>
    <w:p w:rsidR="006904B1" w:rsidRDefault="006A4E49" w:rsidP="00297119">
      <w:pPr>
        <w:rPr>
          <w:b/>
          <w:sz w:val="28"/>
          <w:szCs w:val="28"/>
        </w:rPr>
      </w:pPr>
      <w:r>
        <w:rPr>
          <w:b/>
          <w:sz w:val="28"/>
          <w:szCs w:val="28"/>
        </w:rPr>
        <w:t>3. Ευπάθεια και άνοια</w:t>
      </w:r>
    </w:p>
    <w:p w:rsidR="006A4E49" w:rsidRDefault="00241904" w:rsidP="00297119">
      <w:pPr>
        <w:rPr>
          <w:b/>
          <w:sz w:val="28"/>
          <w:szCs w:val="28"/>
        </w:rPr>
      </w:pPr>
      <w:r w:rsidRPr="00241904">
        <w:rPr>
          <w:b/>
          <w:sz w:val="28"/>
          <w:szCs w:val="28"/>
        </w:rPr>
        <w:t>3.1 Άνοια και Ήπια Νευρογνωστική Διαταραχή</w:t>
      </w:r>
    </w:p>
    <w:p w:rsidR="00241904" w:rsidRDefault="00725332" w:rsidP="00241904">
      <w:pPr>
        <w:rPr>
          <w:sz w:val="24"/>
          <w:szCs w:val="24"/>
        </w:rPr>
      </w:pPr>
      <w:r>
        <w:rPr>
          <w:sz w:val="24"/>
          <w:szCs w:val="24"/>
        </w:rPr>
        <w:t>Με τον όρο άνοια (α</w:t>
      </w:r>
      <w:r w:rsidR="0074466B">
        <w:rPr>
          <w:sz w:val="24"/>
          <w:szCs w:val="24"/>
        </w:rPr>
        <w:t xml:space="preserve">-νους) αναφερόμαστε σε μια επίκτητη κατάσταση όπου χαρακτηρίζεται από σημαντική έκπτωση διαφόρων νοητικών λειτουργιών. Η άνοια είναι μια νόσος με εκφυλιστικό χαρακτήρα. Συχνότερα, η άνοια έχει συνδεθεί με διαταραχές της μνήμης και της αλλαγής στην προσωπικότητα των ατόμων με χαρακτήρα προοδευτικό και μη αναστρέψιμο </w:t>
      </w:r>
      <w:r w:rsidR="0074466B" w:rsidRPr="0074466B">
        <w:rPr>
          <w:sz w:val="24"/>
          <w:szCs w:val="24"/>
        </w:rPr>
        <w:t>(Lezak et al., 2009).</w:t>
      </w:r>
      <w:r w:rsidR="0074466B">
        <w:rPr>
          <w:sz w:val="24"/>
          <w:szCs w:val="24"/>
        </w:rPr>
        <w:t xml:space="preserve"> </w:t>
      </w:r>
    </w:p>
    <w:p w:rsidR="0074466B" w:rsidRDefault="0074466B" w:rsidP="00241904">
      <w:pPr>
        <w:rPr>
          <w:sz w:val="24"/>
          <w:szCs w:val="24"/>
        </w:rPr>
      </w:pPr>
      <w:r>
        <w:rPr>
          <w:sz w:val="24"/>
          <w:szCs w:val="24"/>
        </w:rPr>
        <w:t>Ο όρος άνοια περιγράφει ένα σύνδρομο με διαταραχές στις ανώτερες νοητικές λειτουργίες , στην κοινωνική ζωή και γενικότερα στη λειτουργικότητα. Η άνοια επηρεάζει την ευφυΐα, την προσωπικότητα και την μνήμη. Σημαντική έκπτωση προκαλεί στον λόγο, στον προσανατολισμό σε χώρο και χρόνο, στην κρίση, στην ολοκληρωμένη σκέψη, στην επεξεργασία, στην αντίληψη, στην μάθηση και στην ταχύτητα επεξεργασίας. Η συνείδηση φαίνεται να είναι κάτι που διατ</w:t>
      </w:r>
      <w:r w:rsidR="00C54A64">
        <w:rPr>
          <w:sz w:val="24"/>
          <w:szCs w:val="24"/>
        </w:rPr>
        <w:t xml:space="preserve">ηρείται μέχρι και τα προχωρημένα στάδια της νόσου </w:t>
      </w:r>
      <w:r w:rsidR="00C54A64" w:rsidRPr="00C54A64">
        <w:rPr>
          <w:sz w:val="24"/>
          <w:szCs w:val="24"/>
        </w:rPr>
        <w:t>(Μάνος, 1997, Μπαμπάτσικου, 2016, Τσολάκη, 2002).</w:t>
      </w:r>
    </w:p>
    <w:p w:rsidR="00BD09DC" w:rsidRDefault="00BD09DC" w:rsidP="00241904">
      <w:pPr>
        <w:rPr>
          <w:sz w:val="24"/>
          <w:szCs w:val="24"/>
        </w:rPr>
      </w:pPr>
      <w:r>
        <w:rPr>
          <w:sz w:val="24"/>
          <w:szCs w:val="24"/>
        </w:rPr>
        <w:t xml:space="preserve">Αν και ο τομέας της άνοιας έχει σημειώσει μεγάλη πρόοδο ερευνητικά τα τελευταία χρόνια, δεν έχει εδραιωθεί ακόμη ένας κοινός ορισμός καθώς υπάρχουν σημαντικές διαφοροποιήσεις στην κλινική εικόνα και στην πορεία της ασθένειας </w:t>
      </w:r>
      <w:r w:rsidRPr="00BD09DC">
        <w:rPr>
          <w:sz w:val="24"/>
          <w:szCs w:val="24"/>
        </w:rPr>
        <w:t>(Ballard</w:t>
      </w:r>
      <w:r w:rsidR="0066405F">
        <w:rPr>
          <w:sz w:val="24"/>
          <w:szCs w:val="24"/>
        </w:rPr>
        <w:t xml:space="preserve"> </w:t>
      </w:r>
      <w:r w:rsidRPr="00BD09DC">
        <w:rPr>
          <w:sz w:val="24"/>
          <w:szCs w:val="24"/>
        </w:rPr>
        <w:t>&amp; Bannister, 2005).</w:t>
      </w:r>
    </w:p>
    <w:p w:rsidR="00BD09DC" w:rsidRDefault="0066405F" w:rsidP="00241904">
      <w:pPr>
        <w:rPr>
          <w:sz w:val="24"/>
          <w:szCs w:val="24"/>
        </w:rPr>
      </w:pPr>
      <w:r>
        <w:rPr>
          <w:sz w:val="24"/>
          <w:szCs w:val="24"/>
        </w:rPr>
        <w:t>Τα πρώτα συμπτώματα της άνοιας παραμένουν αδιευκρίνιστα και συνήθως περιγράφονται ως καταθλιπτική διάθεση, ευερεθιστότητα, δυσκολία εκμάθησης</w:t>
      </w:r>
      <w:r w:rsidR="00170116">
        <w:rPr>
          <w:sz w:val="24"/>
          <w:szCs w:val="24"/>
        </w:rPr>
        <w:t xml:space="preserve"> και απώλεια βραχύχρονης μνήμης. Στην πορεία το άτομο χάνει κι άλλες δεξιότητες και εμφανίζονται διαταραχές του λόγου, απάθεια. Σε πιο προχωρημένα στάδια οι ασθενείς εξαρτώνται πλήρως από κάποιον φροντιστή. Ο </w:t>
      </w:r>
      <w:r w:rsidR="00170116">
        <w:rPr>
          <w:sz w:val="24"/>
          <w:szCs w:val="24"/>
          <w:lang w:val="en-US"/>
        </w:rPr>
        <w:t>Beier</w:t>
      </w:r>
      <w:r w:rsidR="00170116" w:rsidRPr="00170116">
        <w:rPr>
          <w:sz w:val="24"/>
          <w:szCs w:val="24"/>
        </w:rPr>
        <w:t xml:space="preserve"> (2005) </w:t>
      </w:r>
      <w:r w:rsidR="00170116">
        <w:rPr>
          <w:sz w:val="24"/>
          <w:szCs w:val="24"/>
        </w:rPr>
        <w:t xml:space="preserve">αναφέρει ότι τα 9,3 έτη ως μέσος όρος ζωής των ασθενών με άνοια αλλά μπορεί να είναι και πολύ πιο σύντομος στα 3,3 </w:t>
      </w:r>
      <w:r w:rsidR="00170116" w:rsidRPr="00170116">
        <w:rPr>
          <w:sz w:val="24"/>
          <w:szCs w:val="24"/>
        </w:rPr>
        <w:t>(Sadik και Wilcock, 2003).</w:t>
      </w:r>
      <w:r w:rsidR="00170116">
        <w:rPr>
          <w:sz w:val="24"/>
          <w:szCs w:val="24"/>
        </w:rPr>
        <w:t xml:space="preserve"> </w:t>
      </w:r>
    </w:p>
    <w:p w:rsidR="00095B25" w:rsidRDefault="00095B25" w:rsidP="00241904">
      <w:pPr>
        <w:rPr>
          <w:sz w:val="24"/>
          <w:szCs w:val="24"/>
        </w:rPr>
      </w:pPr>
      <w:r>
        <w:rPr>
          <w:sz w:val="24"/>
          <w:szCs w:val="24"/>
        </w:rPr>
        <w:t xml:space="preserve">Κατά το </w:t>
      </w:r>
      <w:r>
        <w:rPr>
          <w:sz w:val="24"/>
          <w:szCs w:val="24"/>
          <w:lang w:val="en-US"/>
        </w:rPr>
        <w:t>DSM</w:t>
      </w:r>
      <w:r w:rsidRPr="00095B25">
        <w:rPr>
          <w:sz w:val="24"/>
          <w:szCs w:val="24"/>
        </w:rPr>
        <w:t xml:space="preserve">-5, </w:t>
      </w:r>
      <w:r>
        <w:rPr>
          <w:sz w:val="24"/>
          <w:szCs w:val="24"/>
        </w:rPr>
        <w:t>η Ήπια Νευρογνωστική Διαταραχή (</w:t>
      </w:r>
      <w:r>
        <w:rPr>
          <w:sz w:val="24"/>
          <w:szCs w:val="24"/>
          <w:lang w:val="en-US"/>
        </w:rPr>
        <w:t>Mild</w:t>
      </w:r>
      <w:r w:rsidRPr="00095B25">
        <w:rPr>
          <w:sz w:val="24"/>
          <w:szCs w:val="24"/>
        </w:rPr>
        <w:t xml:space="preserve"> </w:t>
      </w:r>
      <w:r>
        <w:rPr>
          <w:sz w:val="24"/>
          <w:szCs w:val="24"/>
          <w:lang w:val="en-US"/>
        </w:rPr>
        <w:t>Cognitive</w:t>
      </w:r>
      <w:r w:rsidRPr="00095B25">
        <w:rPr>
          <w:sz w:val="24"/>
          <w:szCs w:val="24"/>
        </w:rPr>
        <w:t xml:space="preserve"> </w:t>
      </w:r>
      <w:r>
        <w:rPr>
          <w:sz w:val="24"/>
          <w:szCs w:val="24"/>
          <w:lang w:val="en-US"/>
        </w:rPr>
        <w:t>Impairement</w:t>
      </w:r>
      <w:r w:rsidRPr="00095B25">
        <w:rPr>
          <w:sz w:val="24"/>
          <w:szCs w:val="24"/>
        </w:rPr>
        <w:t>-</w:t>
      </w:r>
      <w:r>
        <w:rPr>
          <w:sz w:val="24"/>
          <w:szCs w:val="24"/>
          <w:lang w:val="en-US"/>
        </w:rPr>
        <w:t>MCI</w:t>
      </w:r>
      <w:r>
        <w:rPr>
          <w:sz w:val="24"/>
          <w:szCs w:val="24"/>
        </w:rPr>
        <w:t>)</w:t>
      </w:r>
      <w:r w:rsidRPr="00095B25">
        <w:rPr>
          <w:sz w:val="24"/>
          <w:szCs w:val="24"/>
        </w:rPr>
        <w:t xml:space="preserve"> </w:t>
      </w:r>
      <w:r>
        <w:rPr>
          <w:sz w:val="24"/>
          <w:szCs w:val="24"/>
        </w:rPr>
        <w:t>χαρακτηρίζεται από γνωστική εξασθένηση δίχως όμως να επηρεάζεται η λειτουργικότητα των ατόμων. Το</w:t>
      </w:r>
      <w:r w:rsidRPr="00095B25">
        <w:rPr>
          <w:sz w:val="24"/>
          <w:szCs w:val="24"/>
        </w:rPr>
        <w:t xml:space="preserve"> </w:t>
      </w:r>
      <w:r>
        <w:rPr>
          <w:sz w:val="24"/>
          <w:szCs w:val="24"/>
          <w:lang w:val="en-US"/>
        </w:rPr>
        <w:t>MCI</w:t>
      </w:r>
      <w:r w:rsidRPr="00095B25">
        <w:rPr>
          <w:sz w:val="24"/>
          <w:szCs w:val="24"/>
        </w:rPr>
        <w:t xml:space="preserve"> </w:t>
      </w:r>
      <w:r>
        <w:rPr>
          <w:sz w:val="24"/>
          <w:szCs w:val="24"/>
        </w:rPr>
        <w:t xml:space="preserve">θεωρείται συχνά πρόδρομος της νόσου </w:t>
      </w:r>
      <w:r>
        <w:rPr>
          <w:sz w:val="24"/>
          <w:szCs w:val="24"/>
          <w:lang w:val="en-US"/>
        </w:rPr>
        <w:t>Alzheimer</w:t>
      </w:r>
      <w:r w:rsidRPr="00095B25">
        <w:rPr>
          <w:sz w:val="24"/>
          <w:szCs w:val="24"/>
        </w:rPr>
        <w:t xml:space="preserve"> </w:t>
      </w:r>
      <w:r>
        <w:rPr>
          <w:sz w:val="24"/>
          <w:szCs w:val="24"/>
        </w:rPr>
        <w:t>ή άλλων καταστάσεων. Το 10-20% των ατόμων άνω των 65 ετών παρουσιάζουν ΗΝΔ</w:t>
      </w:r>
      <w:r w:rsidR="00FA1F53">
        <w:rPr>
          <w:sz w:val="24"/>
          <w:szCs w:val="24"/>
        </w:rPr>
        <w:t xml:space="preserve"> με το 30-70% των περιπτώσεων να εμφανίζει συμπτώματα. Τα κριτήρια της ΗΝΔ απαιτούν την εξασθένηση σε </w:t>
      </w:r>
      <w:r w:rsidR="00DF4917">
        <w:rPr>
          <w:sz w:val="24"/>
          <w:szCs w:val="24"/>
        </w:rPr>
        <w:t xml:space="preserve">έναν ή περισσότερους τομείς όπως είναι η προσοχή, η μνήμη, ο λόγος, η μάθηση, οι εκτελεστικές λειτουργίες. Τα </w:t>
      </w:r>
      <w:r w:rsidR="00DF4917">
        <w:rPr>
          <w:sz w:val="24"/>
          <w:szCs w:val="24"/>
        </w:rPr>
        <w:lastRenderedPageBreak/>
        <w:t>ελλείμματα αυτά να είναι σε βαθμό που δεν προκαλούν λειτουργική έκπτωση</w:t>
      </w:r>
      <w:r w:rsidR="00667FD1">
        <w:rPr>
          <w:sz w:val="24"/>
          <w:szCs w:val="24"/>
        </w:rPr>
        <w:t xml:space="preserve">. Τέλος, να μην εμφανίζονται στα πλαίσια παραληρήματος ή άλλης διαταραχής </w:t>
      </w:r>
      <w:r w:rsidR="002B5737" w:rsidRPr="002B5737">
        <w:rPr>
          <w:sz w:val="24"/>
          <w:szCs w:val="24"/>
        </w:rPr>
        <w:t>(</w:t>
      </w:r>
      <w:r w:rsidR="002B5737">
        <w:rPr>
          <w:sz w:val="24"/>
          <w:szCs w:val="24"/>
          <w:lang w:val="en-US"/>
        </w:rPr>
        <w:t>Yaffe</w:t>
      </w:r>
      <w:r w:rsidR="002B5737" w:rsidRPr="002B5737">
        <w:rPr>
          <w:sz w:val="24"/>
          <w:szCs w:val="24"/>
        </w:rPr>
        <w:t xml:space="preserve"> </w:t>
      </w:r>
      <w:r w:rsidR="002B5737">
        <w:rPr>
          <w:sz w:val="24"/>
          <w:szCs w:val="24"/>
          <w:lang w:val="en-US"/>
        </w:rPr>
        <w:t>et</w:t>
      </w:r>
      <w:r w:rsidR="002B5737" w:rsidRPr="002B5737">
        <w:rPr>
          <w:sz w:val="24"/>
          <w:szCs w:val="24"/>
        </w:rPr>
        <w:t xml:space="preserve"> </w:t>
      </w:r>
      <w:r w:rsidR="002B5737">
        <w:rPr>
          <w:sz w:val="24"/>
          <w:szCs w:val="24"/>
          <w:lang w:val="en-US"/>
        </w:rPr>
        <w:t>al</w:t>
      </w:r>
      <w:r w:rsidR="002B5737" w:rsidRPr="002B5737">
        <w:rPr>
          <w:sz w:val="24"/>
          <w:szCs w:val="24"/>
        </w:rPr>
        <w:t>., 2011)</w:t>
      </w:r>
      <w:r w:rsidR="00667FD1">
        <w:rPr>
          <w:sz w:val="24"/>
          <w:szCs w:val="24"/>
        </w:rPr>
        <w:t xml:space="preserve">. </w:t>
      </w:r>
    </w:p>
    <w:p w:rsidR="00667FD1" w:rsidRDefault="00DF44FA" w:rsidP="00241904">
      <w:pPr>
        <w:rPr>
          <w:sz w:val="24"/>
          <w:szCs w:val="24"/>
        </w:rPr>
      </w:pPr>
      <w:r>
        <w:rPr>
          <w:sz w:val="24"/>
          <w:szCs w:val="24"/>
        </w:rPr>
        <w:t xml:space="preserve">Η ΗΝΔ </w:t>
      </w:r>
      <w:r w:rsidR="00F404F2">
        <w:rPr>
          <w:sz w:val="24"/>
          <w:szCs w:val="24"/>
        </w:rPr>
        <w:t xml:space="preserve">διαχωρίζεται σε δυο βασικούς τύπους, τον αμνησιακό τύπο και τον μη αμνησιακό ανάλογα με </w:t>
      </w:r>
      <w:r w:rsidR="00C43219">
        <w:rPr>
          <w:sz w:val="24"/>
          <w:szCs w:val="24"/>
        </w:rPr>
        <w:t xml:space="preserve">τα </w:t>
      </w:r>
      <w:r w:rsidR="00F404F2">
        <w:rPr>
          <w:sz w:val="24"/>
          <w:szCs w:val="24"/>
        </w:rPr>
        <w:t xml:space="preserve">ελλείμματα που παρουσιάζει το άτομο. Στο </w:t>
      </w:r>
      <w:r w:rsidR="009A2372">
        <w:rPr>
          <w:i/>
          <w:sz w:val="24"/>
          <w:szCs w:val="24"/>
        </w:rPr>
        <w:t>σχήμα 8</w:t>
      </w:r>
      <w:r w:rsidR="00F404F2">
        <w:rPr>
          <w:sz w:val="24"/>
          <w:szCs w:val="24"/>
        </w:rPr>
        <w:t xml:space="preserve"> οι δυο αυτοί τύποι διαχωρίζονται σε μονοεπίπεδοι και πολυεπίπεδοι αναλόγως τον όποιο τομέα έχουν επηρεάσει ή αν είναι ελλειμματικοί περισσότεροι από έναν τομείς.  </w:t>
      </w:r>
    </w:p>
    <w:p w:rsidR="00F404F2" w:rsidRDefault="007E0031" w:rsidP="00241904">
      <w:pPr>
        <w:rPr>
          <w:sz w:val="24"/>
          <w:szCs w:val="24"/>
        </w:rPr>
      </w:pPr>
      <w:r>
        <w:rPr>
          <w:noProof/>
          <w:sz w:val="24"/>
          <w:szCs w:val="24"/>
          <w:lang w:eastAsia="el-GR"/>
        </w:rPr>
        <w:drawing>
          <wp:inline distT="0" distB="0" distL="0" distR="0">
            <wp:extent cx="5187213" cy="2552700"/>
            <wp:effectExtent l="0" t="0" r="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types-of-MCI-and-their-risk-for-neurodegenerative-diseases-MCI-mild-cognitiv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87227" cy="2552707"/>
                    </a:xfrm>
                    <a:prstGeom prst="rect">
                      <a:avLst/>
                    </a:prstGeom>
                  </pic:spPr>
                </pic:pic>
              </a:graphicData>
            </a:graphic>
          </wp:inline>
        </w:drawing>
      </w:r>
    </w:p>
    <w:p w:rsidR="00F404F2" w:rsidRPr="00C43219" w:rsidRDefault="007E0031" w:rsidP="007E0031">
      <w:pPr>
        <w:jc w:val="center"/>
        <w:rPr>
          <w:sz w:val="20"/>
          <w:szCs w:val="20"/>
          <w:lang w:val="en-US"/>
        </w:rPr>
      </w:pPr>
      <w:r w:rsidRPr="007E0031">
        <w:rPr>
          <w:sz w:val="20"/>
          <w:szCs w:val="20"/>
        </w:rPr>
        <w:t>Σχήμα</w:t>
      </w:r>
      <w:r w:rsidR="009A2372">
        <w:rPr>
          <w:sz w:val="20"/>
          <w:szCs w:val="20"/>
          <w:lang w:val="en-US"/>
        </w:rPr>
        <w:t xml:space="preserve"> </w:t>
      </w:r>
      <w:r w:rsidR="009A2372" w:rsidRPr="009C494C">
        <w:rPr>
          <w:sz w:val="20"/>
          <w:szCs w:val="20"/>
          <w:lang w:val="en-US"/>
        </w:rPr>
        <w:t>8</w:t>
      </w:r>
      <w:r w:rsidRPr="00C43219">
        <w:rPr>
          <w:sz w:val="20"/>
          <w:szCs w:val="20"/>
          <w:lang w:val="en-US"/>
        </w:rPr>
        <w:t xml:space="preserve">: </w:t>
      </w:r>
      <w:r w:rsidRPr="007E0031">
        <w:rPr>
          <w:sz w:val="20"/>
          <w:szCs w:val="20"/>
        </w:rPr>
        <w:t>Υπότυποι</w:t>
      </w:r>
      <w:r w:rsidRPr="00C43219">
        <w:rPr>
          <w:sz w:val="20"/>
          <w:szCs w:val="20"/>
          <w:lang w:val="en-US"/>
        </w:rPr>
        <w:t xml:space="preserve"> </w:t>
      </w:r>
      <w:r w:rsidRPr="007E0031">
        <w:rPr>
          <w:sz w:val="20"/>
          <w:szCs w:val="20"/>
        </w:rPr>
        <w:t>ΗΝΔ</w:t>
      </w:r>
      <w:r w:rsidR="00D32C97" w:rsidRPr="00C43219">
        <w:rPr>
          <w:sz w:val="20"/>
          <w:szCs w:val="20"/>
          <w:lang w:val="en-US"/>
        </w:rPr>
        <w:t xml:space="preserve"> </w:t>
      </w:r>
      <w:r w:rsidR="00D32C97">
        <w:rPr>
          <w:sz w:val="20"/>
          <w:szCs w:val="20"/>
        </w:rPr>
        <w:t>και</w:t>
      </w:r>
      <w:r w:rsidR="00D32C97" w:rsidRPr="00C43219">
        <w:rPr>
          <w:sz w:val="20"/>
          <w:szCs w:val="20"/>
          <w:lang w:val="en-US"/>
        </w:rPr>
        <w:t xml:space="preserve"> </w:t>
      </w:r>
      <w:r w:rsidR="00D32C97">
        <w:rPr>
          <w:sz w:val="20"/>
          <w:szCs w:val="20"/>
        </w:rPr>
        <w:t>Άνοιες</w:t>
      </w:r>
    </w:p>
    <w:p w:rsidR="00F404F2" w:rsidRPr="001C7426" w:rsidRDefault="007E0031" w:rsidP="00DC0845">
      <w:pPr>
        <w:jc w:val="center"/>
        <w:rPr>
          <w:sz w:val="20"/>
          <w:szCs w:val="20"/>
          <w:lang w:val="en-US"/>
        </w:rPr>
      </w:pPr>
      <w:r w:rsidRPr="007E0031">
        <w:rPr>
          <w:i/>
          <w:sz w:val="20"/>
          <w:szCs w:val="20"/>
        </w:rPr>
        <w:t>Πηγή</w:t>
      </w:r>
      <w:r w:rsidRPr="007E0031">
        <w:rPr>
          <w:i/>
          <w:sz w:val="20"/>
          <w:szCs w:val="20"/>
          <w:lang w:val="en-US"/>
        </w:rPr>
        <w:t>:</w:t>
      </w:r>
      <w:r w:rsidRPr="007E0031">
        <w:rPr>
          <w:sz w:val="20"/>
          <w:szCs w:val="20"/>
          <w:lang w:val="en-US"/>
        </w:rPr>
        <w:t xml:space="preserve"> International Journal of Molecular Sciences (IJMS)</w:t>
      </w:r>
    </w:p>
    <w:p w:rsidR="00912615" w:rsidRPr="00095B25" w:rsidRDefault="00095B25" w:rsidP="00241904">
      <w:pPr>
        <w:rPr>
          <w:b/>
          <w:sz w:val="28"/>
          <w:szCs w:val="28"/>
        </w:rPr>
      </w:pPr>
      <w:r w:rsidRPr="00095B25">
        <w:rPr>
          <w:b/>
          <w:sz w:val="28"/>
          <w:szCs w:val="28"/>
        </w:rPr>
        <w:t>3.1.1 Αιτιολογία των ανοιών</w:t>
      </w:r>
    </w:p>
    <w:p w:rsidR="00BD09DC" w:rsidRDefault="0096748E" w:rsidP="00241904">
      <w:pPr>
        <w:rPr>
          <w:sz w:val="24"/>
          <w:szCs w:val="24"/>
        </w:rPr>
      </w:pPr>
      <w:r>
        <w:rPr>
          <w:sz w:val="24"/>
          <w:szCs w:val="24"/>
        </w:rPr>
        <w:t xml:space="preserve">Η άνοια προκαλείται από ποικίλους παράγοντες. Η πιο κοινή αιτία άνοιας είναι η νόσος </w:t>
      </w:r>
      <w:r>
        <w:rPr>
          <w:sz w:val="24"/>
          <w:szCs w:val="24"/>
          <w:lang w:val="en-US"/>
        </w:rPr>
        <w:t>Alzheimer</w:t>
      </w:r>
      <w:r w:rsidRPr="0096748E">
        <w:rPr>
          <w:sz w:val="24"/>
          <w:szCs w:val="24"/>
        </w:rPr>
        <w:t xml:space="preserve"> (</w:t>
      </w:r>
      <w:r>
        <w:rPr>
          <w:sz w:val="24"/>
          <w:szCs w:val="24"/>
          <w:lang w:val="en-US"/>
        </w:rPr>
        <w:t>AD</w:t>
      </w:r>
      <w:r w:rsidRPr="0096748E">
        <w:rPr>
          <w:sz w:val="24"/>
          <w:szCs w:val="24"/>
        </w:rPr>
        <w:t>) (Reitz &amp; Mayeux, 2014)</w:t>
      </w:r>
      <w:r w:rsidR="00B55456" w:rsidRPr="00B55456">
        <w:rPr>
          <w:sz w:val="24"/>
          <w:szCs w:val="24"/>
        </w:rPr>
        <w:t xml:space="preserve"> </w:t>
      </w:r>
      <w:r w:rsidR="00B55456">
        <w:rPr>
          <w:sz w:val="24"/>
          <w:szCs w:val="24"/>
        </w:rPr>
        <w:t>και αναφέρεται στο 70% περίπου των περιπτώσεων</w:t>
      </w:r>
      <w:r w:rsidRPr="0096748E">
        <w:rPr>
          <w:sz w:val="24"/>
          <w:szCs w:val="24"/>
        </w:rPr>
        <w:t>.</w:t>
      </w:r>
      <w:r w:rsidR="00B55456">
        <w:rPr>
          <w:sz w:val="24"/>
          <w:szCs w:val="24"/>
        </w:rPr>
        <w:t xml:space="preserve"> Η εμφάνιση της μπορεί να είναι τυχαία ή να είναι κληρονομική. </w:t>
      </w:r>
      <w:r w:rsidRPr="0096748E">
        <w:rPr>
          <w:sz w:val="23"/>
          <w:szCs w:val="23"/>
        </w:rPr>
        <w:t xml:space="preserve"> </w:t>
      </w:r>
      <w:r w:rsidR="00B55456">
        <w:rPr>
          <w:sz w:val="23"/>
          <w:szCs w:val="23"/>
        </w:rPr>
        <w:t xml:space="preserve">Σύμφωνα με τους </w:t>
      </w:r>
      <w:r w:rsidR="00B55456" w:rsidRPr="00B55456">
        <w:rPr>
          <w:sz w:val="24"/>
          <w:szCs w:val="24"/>
        </w:rPr>
        <w:t>Hippius &amp; Neundörfer(2002)</w:t>
      </w:r>
      <w:r w:rsidR="00B55456">
        <w:rPr>
          <w:sz w:val="24"/>
          <w:szCs w:val="24"/>
        </w:rPr>
        <w:t xml:space="preserve">, </w:t>
      </w:r>
      <w:r w:rsidR="00D571BD">
        <w:rPr>
          <w:sz w:val="24"/>
          <w:szCs w:val="24"/>
        </w:rPr>
        <w:t xml:space="preserve">η </w:t>
      </w:r>
      <w:r w:rsidR="00D571BD">
        <w:rPr>
          <w:sz w:val="24"/>
          <w:szCs w:val="24"/>
          <w:lang w:val="en-US"/>
        </w:rPr>
        <w:t>AD</w:t>
      </w:r>
      <w:r w:rsidR="00D571BD">
        <w:rPr>
          <w:sz w:val="24"/>
          <w:szCs w:val="24"/>
        </w:rPr>
        <w:t xml:space="preserve"> προκαλείται από νευροινιδιακά τολύπια και γεροντικές πλάκες στον εγκέφαλο τα οποία συνδέονται με το β-αμυλοειδές και την πρωτεΐνη </w:t>
      </w:r>
      <w:r w:rsidR="00D571BD">
        <w:rPr>
          <w:sz w:val="24"/>
          <w:szCs w:val="24"/>
          <w:lang w:val="en-US"/>
        </w:rPr>
        <w:t>tau</w:t>
      </w:r>
      <w:r w:rsidR="00D571BD">
        <w:rPr>
          <w:sz w:val="24"/>
          <w:szCs w:val="24"/>
        </w:rPr>
        <w:t xml:space="preserve"> αντίστοιχα. </w:t>
      </w:r>
    </w:p>
    <w:p w:rsidR="00232974" w:rsidRPr="00D571BD" w:rsidRDefault="00232974" w:rsidP="00241904">
      <w:pPr>
        <w:rPr>
          <w:sz w:val="24"/>
          <w:szCs w:val="24"/>
        </w:rPr>
      </w:pPr>
      <w:r>
        <w:rPr>
          <w:sz w:val="24"/>
          <w:szCs w:val="24"/>
        </w:rPr>
        <w:t xml:space="preserve">Η αγγειακή άνοια </w:t>
      </w:r>
      <w:r w:rsidR="003607ED">
        <w:rPr>
          <w:sz w:val="24"/>
          <w:szCs w:val="24"/>
        </w:rPr>
        <w:t>(</w:t>
      </w:r>
      <w:r w:rsidR="003607ED">
        <w:rPr>
          <w:sz w:val="24"/>
          <w:szCs w:val="24"/>
          <w:lang w:val="en-US"/>
        </w:rPr>
        <w:t>VD</w:t>
      </w:r>
      <w:r w:rsidR="003607ED">
        <w:rPr>
          <w:sz w:val="24"/>
          <w:szCs w:val="24"/>
        </w:rPr>
        <w:t>)</w:t>
      </w:r>
      <w:r w:rsidR="003607ED" w:rsidRPr="003607ED">
        <w:rPr>
          <w:sz w:val="24"/>
          <w:szCs w:val="24"/>
        </w:rPr>
        <w:t xml:space="preserve"> </w:t>
      </w:r>
      <w:r>
        <w:rPr>
          <w:sz w:val="24"/>
          <w:szCs w:val="24"/>
        </w:rPr>
        <w:t xml:space="preserve">συνδέεται με το 5-10% των περιπτώσεων και αυξάνεται με την ηλικία. Για την εμφάνιση της αγγειακής άνοιας ευθύνονται παράγοντες όπως το κάπνισμα, ο σακχαρώδης διαβήτης, η υπέρταση και η υπερχοληστερολαιμία, καθώς και τα ισχαμικά επεισόδια </w:t>
      </w:r>
      <w:r w:rsidRPr="00232974">
        <w:rPr>
          <w:sz w:val="24"/>
          <w:szCs w:val="24"/>
        </w:rPr>
        <w:t>(Uwagbai &amp; Kalish, 2022).</w:t>
      </w:r>
    </w:p>
    <w:p w:rsidR="00DC0845" w:rsidRDefault="003607ED" w:rsidP="00241904">
      <w:pPr>
        <w:rPr>
          <w:sz w:val="24"/>
          <w:szCs w:val="24"/>
        </w:rPr>
      </w:pPr>
      <w:r>
        <w:rPr>
          <w:sz w:val="24"/>
          <w:szCs w:val="24"/>
        </w:rPr>
        <w:t xml:space="preserve">Η άνοια με σωμάτια </w:t>
      </w:r>
      <w:r>
        <w:rPr>
          <w:sz w:val="24"/>
          <w:szCs w:val="24"/>
          <w:lang w:val="en-US"/>
        </w:rPr>
        <w:t>Lewy</w:t>
      </w:r>
      <w:r w:rsidRPr="003607ED">
        <w:rPr>
          <w:sz w:val="24"/>
          <w:szCs w:val="24"/>
        </w:rPr>
        <w:t xml:space="preserve"> (</w:t>
      </w:r>
      <w:r>
        <w:rPr>
          <w:sz w:val="24"/>
          <w:szCs w:val="24"/>
          <w:lang w:val="en-US"/>
        </w:rPr>
        <w:t>LBD</w:t>
      </w:r>
      <w:r w:rsidRPr="003607ED">
        <w:rPr>
          <w:sz w:val="24"/>
          <w:szCs w:val="24"/>
        </w:rPr>
        <w:t xml:space="preserve">) </w:t>
      </w:r>
      <w:r>
        <w:rPr>
          <w:sz w:val="24"/>
          <w:szCs w:val="24"/>
        </w:rPr>
        <w:t xml:space="preserve">επηρεάζει το 5-10% των ασθενών αν και συχνά υποδιαγιγνώσκεται (Kane et al, 2018). Προκαλείται από την μη φυσιολογική συσσώρευση της πρωτεΐνης αλφα-συνουκλείνη (McKeith,2007). </w:t>
      </w:r>
    </w:p>
    <w:p w:rsidR="0053099E" w:rsidRDefault="0053099E" w:rsidP="00241904">
      <w:pPr>
        <w:rPr>
          <w:sz w:val="24"/>
          <w:szCs w:val="24"/>
        </w:rPr>
      </w:pPr>
      <w:r>
        <w:rPr>
          <w:sz w:val="24"/>
          <w:szCs w:val="24"/>
        </w:rPr>
        <w:lastRenderedPageBreak/>
        <w:t>Η μετωποκροταφική άνοια (</w:t>
      </w:r>
      <w:r>
        <w:rPr>
          <w:sz w:val="24"/>
          <w:szCs w:val="24"/>
          <w:lang w:val="en-US"/>
        </w:rPr>
        <w:t>FTD</w:t>
      </w:r>
      <w:r>
        <w:rPr>
          <w:sz w:val="24"/>
          <w:szCs w:val="24"/>
        </w:rPr>
        <w:t>)</w:t>
      </w:r>
      <w:r w:rsidRPr="0053099E">
        <w:rPr>
          <w:sz w:val="24"/>
          <w:szCs w:val="24"/>
        </w:rPr>
        <w:t xml:space="preserve"> </w:t>
      </w:r>
      <w:r>
        <w:rPr>
          <w:sz w:val="24"/>
          <w:szCs w:val="24"/>
        </w:rPr>
        <w:t>ευθύνεται για το 25% των πε</w:t>
      </w:r>
      <w:r w:rsidR="006E09E4">
        <w:rPr>
          <w:sz w:val="24"/>
          <w:szCs w:val="24"/>
        </w:rPr>
        <w:t>ρ</w:t>
      </w:r>
      <w:r>
        <w:rPr>
          <w:sz w:val="24"/>
          <w:szCs w:val="24"/>
        </w:rPr>
        <w:t>ιπτώσε</w:t>
      </w:r>
      <w:r w:rsidR="006E09E4">
        <w:rPr>
          <w:sz w:val="24"/>
          <w:szCs w:val="24"/>
        </w:rPr>
        <w:t xml:space="preserve">ων, ειδικά σε άτομα κάτω των 65%. Υπάρχουν λίγες διαθέσιμες μελέτες για την </w:t>
      </w:r>
      <w:r w:rsidR="006E09E4">
        <w:rPr>
          <w:sz w:val="24"/>
          <w:szCs w:val="24"/>
          <w:lang w:val="en-US"/>
        </w:rPr>
        <w:t>FTD</w:t>
      </w:r>
      <w:r w:rsidR="006E09E4">
        <w:rPr>
          <w:sz w:val="24"/>
          <w:szCs w:val="24"/>
        </w:rPr>
        <w:t xml:space="preserve">. Σύμφωνα με τους </w:t>
      </w:r>
      <w:r w:rsidR="006E09E4">
        <w:rPr>
          <w:sz w:val="24"/>
          <w:szCs w:val="24"/>
          <w:lang w:val="en-US"/>
        </w:rPr>
        <w:t>Young</w:t>
      </w:r>
      <w:r w:rsidR="006E09E4" w:rsidRPr="006E09E4">
        <w:rPr>
          <w:sz w:val="24"/>
          <w:szCs w:val="24"/>
        </w:rPr>
        <w:t xml:space="preserve"> </w:t>
      </w:r>
      <w:r w:rsidR="006E09E4">
        <w:rPr>
          <w:sz w:val="24"/>
          <w:szCs w:val="24"/>
        </w:rPr>
        <w:t xml:space="preserve">και συν. (2018) προκαλείται συσσώρευση πρωτεϊνών ση φαιά και λευκή ουσία του εγκεφάλου.  </w:t>
      </w:r>
    </w:p>
    <w:p w:rsidR="00054379" w:rsidRDefault="00054379" w:rsidP="00241904">
      <w:pPr>
        <w:rPr>
          <w:sz w:val="24"/>
          <w:szCs w:val="24"/>
        </w:rPr>
      </w:pPr>
      <w:r>
        <w:rPr>
          <w:sz w:val="24"/>
          <w:szCs w:val="24"/>
        </w:rPr>
        <w:t xml:space="preserve">Η νόσος </w:t>
      </w:r>
      <w:r>
        <w:rPr>
          <w:sz w:val="24"/>
          <w:szCs w:val="24"/>
          <w:lang w:val="en-US"/>
        </w:rPr>
        <w:t>Creutzfeldt</w:t>
      </w:r>
      <w:r w:rsidRPr="00054379">
        <w:rPr>
          <w:sz w:val="24"/>
          <w:szCs w:val="24"/>
        </w:rPr>
        <w:t>-</w:t>
      </w:r>
      <w:r>
        <w:rPr>
          <w:sz w:val="24"/>
          <w:szCs w:val="24"/>
          <w:lang w:val="en-US"/>
        </w:rPr>
        <w:t>Jakob</w:t>
      </w:r>
      <w:r w:rsidRPr="00054379">
        <w:rPr>
          <w:sz w:val="24"/>
          <w:szCs w:val="24"/>
        </w:rPr>
        <w:t xml:space="preserve"> (</w:t>
      </w:r>
      <w:r>
        <w:rPr>
          <w:sz w:val="24"/>
          <w:szCs w:val="24"/>
          <w:lang w:val="en-US"/>
        </w:rPr>
        <w:t>CJD</w:t>
      </w:r>
      <w:r w:rsidRPr="00054379">
        <w:rPr>
          <w:sz w:val="24"/>
          <w:szCs w:val="24"/>
        </w:rPr>
        <w:t>)</w:t>
      </w:r>
      <w:r>
        <w:rPr>
          <w:sz w:val="24"/>
          <w:szCs w:val="24"/>
        </w:rPr>
        <w:t xml:space="preserve"> είναι αρκετά σπάνια περίπου 1</w:t>
      </w:r>
      <w:r w:rsidRPr="00054379">
        <w:rPr>
          <w:sz w:val="24"/>
          <w:szCs w:val="24"/>
        </w:rPr>
        <w:t>:</w:t>
      </w:r>
      <w:r>
        <w:rPr>
          <w:sz w:val="24"/>
          <w:szCs w:val="24"/>
        </w:rPr>
        <w:t xml:space="preserve">1.000.000 ανθρώπους. Συχνά συναντάμε μικτές άνοιες με συνυπάρχουσα την </w:t>
      </w:r>
      <w:r>
        <w:rPr>
          <w:sz w:val="24"/>
          <w:szCs w:val="24"/>
          <w:lang w:val="en-US"/>
        </w:rPr>
        <w:t>AD</w:t>
      </w:r>
      <w:r>
        <w:rPr>
          <w:sz w:val="24"/>
          <w:szCs w:val="24"/>
        </w:rPr>
        <w:t xml:space="preserve"> με</w:t>
      </w:r>
      <w:r w:rsidRPr="00054379">
        <w:rPr>
          <w:sz w:val="24"/>
          <w:szCs w:val="24"/>
        </w:rPr>
        <w:t xml:space="preserve"> </w:t>
      </w:r>
      <w:r>
        <w:rPr>
          <w:sz w:val="24"/>
          <w:szCs w:val="24"/>
          <w:lang w:val="en-US"/>
        </w:rPr>
        <w:t>LBD</w:t>
      </w:r>
      <w:r w:rsidRPr="00054379">
        <w:rPr>
          <w:sz w:val="24"/>
          <w:szCs w:val="24"/>
        </w:rPr>
        <w:t xml:space="preserve"> </w:t>
      </w:r>
      <w:r>
        <w:rPr>
          <w:sz w:val="24"/>
          <w:szCs w:val="24"/>
        </w:rPr>
        <w:t xml:space="preserve">ή </w:t>
      </w:r>
      <w:r>
        <w:rPr>
          <w:sz w:val="24"/>
          <w:szCs w:val="24"/>
          <w:lang w:val="en-US"/>
        </w:rPr>
        <w:t>VD</w:t>
      </w:r>
      <w:r>
        <w:rPr>
          <w:sz w:val="24"/>
          <w:szCs w:val="24"/>
        </w:rPr>
        <w:t>.</w:t>
      </w:r>
    </w:p>
    <w:p w:rsidR="00054379" w:rsidRPr="00054379" w:rsidRDefault="00054379" w:rsidP="00241904">
      <w:pPr>
        <w:rPr>
          <w:sz w:val="24"/>
          <w:szCs w:val="24"/>
        </w:rPr>
      </w:pPr>
    </w:p>
    <w:p w:rsidR="00B27885" w:rsidRDefault="00095B25" w:rsidP="00297119">
      <w:pPr>
        <w:rPr>
          <w:b/>
          <w:sz w:val="28"/>
          <w:szCs w:val="28"/>
        </w:rPr>
      </w:pPr>
      <w:r>
        <w:rPr>
          <w:b/>
          <w:sz w:val="28"/>
          <w:szCs w:val="28"/>
        </w:rPr>
        <w:t>3.1.</w:t>
      </w:r>
      <w:r w:rsidRPr="00095B25">
        <w:rPr>
          <w:b/>
          <w:sz w:val="28"/>
          <w:szCs w:val="28"/>
        </w:rPr>
        <w:t>2</w:t>
      </w:r>
      <w:r w:rsidR="00241904">
        <w:rPr>
          <w:b/>
          <w:sz w:val="28"/>
          <w:szCs w:val="28"/>
        </w:rPr>
        <w:t xml:space="preserve"> Επιδημιολογικά στοιχεία</w:t>
      </w:r>
    </w:p>
    <w:p w:rsidR="00241904" w:rsidRDefault="00FF6099" w:rsidP="00297119">
      <w:pPr>
        <w:rPr>
          <w:sz w:val="23"/>
          <w:szCs w:val="23"/>
        </w:rPr>
      </w:pPr>
      <w:r>
        <w:rPr>
          <w:sz w:val="24"/>
          <w:szCs w:val="24"/>
        </w:rPr>
        <w:t xml:space="preserve">Το 2050 υπολογίζεται ότι ο αριθμός των ατόμων μεγάλης ηλικίας θα φτάσει τα 1.97 δις, δηλαδή το 33% του πληθυσμού </w:t>
      </w:r>
      <w:r>
        <w:rPr>
          <w:sz w:val="23"/>
          <w:szCs w:val="23"/>
        </w:rPr>
        <w:t xml:space="preserve">(Θεοδοσοπούλου και συν., 2001, Κυριακίδου, 1992). </w:t>
      </w:r>
      <w:r w:rsidR="00323B24">
        <w:rPr>
          <w:sz w:val="23"/>
          <w:szCs w:val="23"/>
        </w:rPr>
        <w:t xml:space="preserve">Η άνοια έχει συνδεθεί με την γήρανση. Σήμερα, έχουν καταγραφεί 46,8 εκ, ασθενείς με άνοια, ο οποίος θα αγγίξει τα 131,5 εκ, το 2050. </w:t>
      </w:r>
      <w:r w:rsidR="006F587F">
        <w:rPr>
          <w:sz w:val="23"/>
          <w:szCs w:val="23"/>
        </w:rPr>
        <w:t xml:space="preserve">Σύμφωνα με την ομοσπονδία </w:t>
      </w:r>
      <w:r w:rsidR="006F587F">
        <w:rPr>
          <w:sz w:val="23"/>
          <w:szCs w:val="23"/>
          <w:lang w:val="en-US"/>
        </w:rPr>
        <w:t>Alzheimer</w:t>
      </w:r>
      <w:r w:rsidR="006F587F" w:rsidRPr="006F587F">
        <w:rPr>
          <w:sz w:val="23"/>
          <w:szCs w:val="23"/>
        </w:rPr>
        <w:t xml:space="preserve"> </w:t>
      </w:r>
      <w:r w:rsidR="006F587F">
        <w:rPr>
          <w:sz w:val="23"/>
          <w:szCs w:val="23"/>
          <w:lang w:val="en-US"/>
        </w:rPr>
        <w:t>Disease</w:t>
      </w:r>
      <w:r w:rsidR="006F587F" w:rsidRPr="006F587F">
        <w:rPr>
          <w:sz w:val="23"/>
          <w:szCs w:val="23"/>
        </w:rPr>
        <w:t xml:space="preserve"> </w:t>
      </w:r>
      <w:r w:rsidR="006F587F">
        <w:rPr>
          <w:sz w:val="23"/>
          <w:szCs w:val="23"/>
          <w:lang w:val="en-US"/>
        </w:rPr>
        <w:t>International</w:t>
      </w:r>
      <w:r w:rsidR="006F587F" w:rsidRPr="006F587F">
        <w:rPr>
          <w:sz w:val="23"/>
          <w:szCs w:val="23"/>
        </w:rPr>
        <w:t xml:space="preserve"> (</w:t>
      </w:r>
      <w:r w:rsidR="006F587F">
        <w:rPr>
          <w:sz w:val="23"/>
          <w:szCs w:val="23"/>
          <w:lang w:val="en-US"/>
        </w:rPr>
        <w:t>DIA</w:t>
      </w:r>
      <w:r w:rsidR="006F587F" w:rsidRPr="006F587F">
        <w:rPr>
          <w:sz w:val="23"/>
          <w:szCs w:val="23"/>
        </w:rPr>
        <w:t xml:space="preserve">)(2015) </w:t>
      </w:r>
      <w:r w:rsidR="006F587F">
        <w:rPr>
          <w:sz w:val="23"/>
          <w:szCs w:val="23"/>
        </w:rPr>
        <w:t>κάθε 7 δευτερόλεπτα καταγράφεται ένας νέος ασθενής</w:t>
      </w:r>
      <w:r w:rsidR="00E87DAB">
        <w:rPr>
          <w:sz w:val="23"/>
          <w:szCs w:val="23"/>
        </w:rPr>
        <w:t>.</w:t>
      </w:r>
    </w:p>
    <w:p w:rsidR="00FF6099" w:rsidRDefault="00E87DAB" w:rsidP="00297119">
      <w:pPr>
        <w:rPr>
          <w:sz w:val="24"/>
          <w:szCs w:val="24"/>
        </w:rPr>
      </w:pPr>
      <w:r>
        <w:rPr>
          <w:sz w:val="23"/>
          <w:szCs w:val="23"/>
        </w:rPr>
        <w:t xml:space="preserve">Στην Ελλάδα δεν υπάρχουν σαφή στοιχεία για την άνοια. Το 2010 η </w:t>
      </w:r>
      <w:r>
        <w:rPr>
          <w:sz w:val="23"/>
          <w:szCs w:val="23"/>
          <w:lang w:val="en-US"/>
        </w:rPr>
        <w:t>DIA</w:t>
      </w:r>
      <w:r w:rsidRPr="00E87DAB">
        <w:rPr>
          <w:sz w:val="23"/>
          <w:szCs w:val="23"/>
        </w:rPr>
        <w:t xml:space="preserve"> </w:t>
      </w:r>
      <w:r>
        <w:rPr>
          <w:sz w:val="23"/>
          <w:szCs w:val="23"/>
        </w:rPr>
        <w:t xml:space="preserve">ανέφερε ότι οι ασθενείς θα φτάσουν τους 196.000 και θα αγγίξουν τους 365.000 το 2050 </w:t>
      </w:r>
      <w:r w:rsidRPr="00E87DAB">
        <w:rPr>
          <w:sz w:val="23"/>
          <w:szCs w:val="23"/>
        </w:rPr>
        <w:t>(Εθνικό Σχέδιο Δράσης Άνοιας, 2015, Alzheimer Disease International, 2015).</w:t>
      </w:r>
      <w:r>
        <w:rPr>
          <w:sz w:val="23"/>
          <w:szCs w:val="23"/>
        </w:rPr>
        <w:t xml:space="preserve"> </w:t>
      </w:r>
      <w:r w:rsidR="00A75733">
        <w:rPr>
          <w:sz w:val="23"/>
          <w:szCs w:val="23"/>
        </w:rPr>
        <w:t xml:space="preserve">Η αύξηση των ασθενών επιβαρύνει την κοινωνία, την οικογένεια και την οικονομία </w:t>
      </w:r>
      <w:r w:rsidR="00A75733" w:rsidRPr="00A75733">
        <w:rPr>
          <w:sz w:val="23"/>
          <w:szCs w:val="23"/>
        </w:rPr>
        <w:t>(Τσολάκη, 2007).</w:t>
      </w:r>
      <w:r w:rsidR="00A75733">
        <w:rPr>
          <w:sz w:val="23"/>
          <w:szCs w:val="23"/>
        </w:rPr>
        <w:t xml:space="preserve"> Σε μελέτη των </w:t>
      </w:r>
      <w:r w:rsidR="00A75733" w:rsidRPr="00A75733">
        <w:rPr>
          <w:sz w:val="24"/>
          <w:szCs w:val="24"/>
        </w:rPr>
        <w:t>Καϊτελίδου και συν. (</w:t>
      </w:r>
      <w:r w:rsidR="00A75733">
        <w:rPr>
          <w:sz w:val="24"/>
          <w:szCs w:val="24"/>
        </w:rPr>
        <w:t xml:space="preserve">2014) το κόστος </w:t>
      </w:r>
      <w:r w:rsidR="00D2680C">
        <w:rPr>
          <w:sz w:val="24"/>
          <w:szCs w:val="24"/>
        </w:rPr>
        <w:t>της φροντίδας ετησίως ανά ασθενή με άνοια ανέρχεται στα 12.000-22.000</w:t>
      </w:r>
      <w:r w:rsidR="00D2680C">
        <w:rPr>
          <w:rFonts w:cstheme="minorHAnsi"/>
          <w:sz w:val="24"/>
          <w:szCs w:val="24"/>
        </w:rPr>
        <w:t xml:space="preserve">€ για το ελληνικό κράτος, γεγονός που επιτάσσει ενιαία πολιτική </w:t>
      </w:r>
      <w:r w:rsidR="00D2680C" w:rsidRPr="00D2680C">
        <w:rPr>
          <w:rFonts w:cstheme="minorHAnsi"/>
          <w:sz w:val="24"/>
          <w:szCs w:val="24"/>
        </w:rPr>
        <w:t>(Τσολάκη, 2007).</w:t>
      </w:r>
      <w:r w:rsidR="00D2680C">
        <w:rPr>
          <w:rFonts w:cstheme="minorHAnsi"/>
          <w:sz w:val="24"/>
          <w:szCs w:val="24"/>
        </w:rPr>
        <w:t xml:space="preserve"> </w:t>
      </w:r>
      <w:r w:rsidR="001177D1">
        <w:rPr>
          <w:rFonts w:cstheme="minorHAnsi"/>
          <w:sz w:val="24"/>
          <w:szCs w:val="24"/>
        </w:rPr>
        <w:t xml:space="preserve">Στόχος είναι η μείωση του στίγματος, η ευαισθητοποίηση του πληθυσμού, η παροχή υπηρεσιών, η χρήση πόρων </w:t>
      </w:r>
      <w:r w:rsidR="001177D1" w:rsidRPr="001177D1">
        <w:rPr>
          <w:sz w:val="24"/>
          <w:szCs w:val="24"/>
        </w:rPr>
        <w:t>(Κυριόπουλος και συν., 2005).</w:t>
      </w:r>
    </w:p>
    <w:p w:rsidR="009733FC" w:rsidRPr="005D18FB" w:rsidRDefault="009733FC" w:rsidP="00297119">
      <w:pPr>
        <w:rPr>
          <w:sz w:val="24"/>
          <w:szCs w:val="24"/>
        </w:rPr>
      </w:pPr>
    </w:p>
    <w:p w:rsidR="00241904" w:rsidRDefault="00095B25" w:rsidP="00297119">
      <w:pPr>
        <w:rPr>
          <w:b/>
          <w:sz w:val="28"/>
          <w:szCs w:val="28"/>
        </w:rPr>
      </w:pPr>
      <w:r>
        <w:rPr>
          <w:b/>
          <w:sz w:val="28"/>
          <w:szCs w:val="28"/>
        </w:rPr>
        <w:t>3.1.</w:t>
      </w:r>
      <w:r w:rsidRPr="00095B25">
        <w:rPr>
          <w:b/>
          <w:sz w:val="28"/>
          <w:szCs w:val="28"/>
        </w:rPr>
        <w:t>3</w:t>
      </w:r>
      <w:r w:rsidR="00241904">
        <w:rPr>
          <w:b/>
          <w:sz w:val="28"/>
          <w:szCs w:val="28"/>
        </w:rPr>
        <w:t xml:space="preserve"> Παράγοντες κινδύνου για την εμφάνιση άνοιας και ήπιας νευρογνωστικής διαταραχής</w:t>
      </w:r>
    </w:p>
    <w:p w:rsidR="00241904" w:rsidRDefault="001C7426" w:rsidP="00297119">
      <w:pPr>
        <w:rPr>
          <w:sz w:val="24"/>
          <w:szCs w:val="24"/>
        </w:rPr>
      </w:pPr>
      <w:r>
        <w:rPr>
          <w:sz w:val="24"/>
          <w:szCs w:val="24"/>
        </w:rPr>
        <w:t>Οι παράγοντες κινδύνου για την εμφάνιση άνοιας είναι ποικίλοι  και ορισμένοι τροποποιήσιμοι</w:t>
      </w:r>
      <w:r w:rsidR="00AC7BDD">
        <w:rPr>
          <w:sz w:val="24"/>
          <w:szCs w:val="24"/>
        </w:rPr>
        <w:t xml:space="preserve"> (</w:t>
      </w:r>
      <w:r w:rsidR="00AC7BDD">
        <w:rPr>
          <w:sz w:val="24"/>
          <w:szCs w:val="24"/>
          <w:lang w:val="en-US"/>
        </w:rPr>
        <w:t>WHO</w:t>
      </w:r>
      <w:r w:rsidR="00AC7BDD" w:rsidRPr="00AC7BDD">
        <w:rPr>
          <w:sz w:val="24"/>
          <w:szCs w:val="24"/>
        </w:rPr>
        <w:t>, 2021</w:t>
      </w:r>
      <w:r w:rsidR="00AC7BDD">
        <w:rPr>
          <w:sz w:val="24"/>
          <w:szCs w:val="24"/>
        </w:rPr>
        <w:t>)</w:t>
      </w:r>
      <w:r>
        <w:rPr>
          <w:sz w:val="24"/>
          <w:szCs w:val="24"/>
        </w:rPr>
        <w:t xml:space="preserve">. Η ύπαρξη ΗΝΔ αποτελεί παράγοντα κινδύνου για την εμφάνιση άνοιας αν και δεν αναπτύσσουν άνοια όλοι αλλά σίγουρα σε μεγαλύτερο ποσοστό από τον γενικό πληθυσμό </w:t>
      </w:r>
      <w:r w:rsidRPr="001C7426">
        <w:rPr>
          <w:sz w:val="24"/>
          <w:szCs w:val="24"/>
        </w:rPr>
        <w:t>(Chen et al., 2009)</w:t>
      </w:r>
      <w:r>
        <w:rPr>
          <w:sz w:val="24"/>
          <w:szCs w:val="24"/>
        </w:rPr>
        <w:t xml:space="preserve">.  </w:t>
      </w:r>
    </w:p>
    <w:p w:rsidR="00B66C25" w:rsidRPr="00D102A9" w:rsidRDefault="003D7111" w:rsidP="00297119">
      <w:pPr>
        <w:rPr>
          <w:sz w:val="24"/>
          <w:szCs w:val="24"/>
        </w:rPr>
      </w:pPr>
      <w:r>
        <w:rPr>
          <w:sz w:val="24"/>
          <w:szCs w:val="24"/>
        </w:rPr>
        <w:t>Η ηλικία αποτελεί βασικό παράγοντα εμφάνισης ΗΝΔ και άνοιας καθώς οι πιθανότητες να νοσήσει κάποιος αυξάνονται με την ηλικία. Σύμφωνα με τους Siokas και συν.( 2020 )και Conlon και συν.</w:t>
      </w:r>
      <w:r w:rsidRPr="003D7111">
        <w:rPr>
          <w:sz w:val="24"/>
          <w:szCs w:val="24"/>
        </w:rPr>
        <w:t xml:space="preserve"> </w:t>
      </w:r>
      <w:r>
        <w:rPr>
          <w:sz w:val="24"/>
          <w:szCs w:val="24"/>
        </w:rPr>
        <w:t xml:space="preserve">(2018) υπάρχει μεγάλη ποικιλία γονιδίων που αυξάνουν την πιθανότητα νόσησης όπως η </w:t>
      </w:r>
      <w:r>
        <w:rPr>
          <w:sz w:val="24"/>
          <w:szCs w:val="24"/>
          <w:lang w:val="en-US"/>
        </w:rPr>
        <w:t>FTD</w:t>
      </w:r>
      <w:r w:rsidRPr="003D7111">
        <w:rPr>
          <w:sz w:val="24"/>
          <w:szCs w:val="24"/>
        </w:rPr>
        <w:t xml:space="preserve">, </w:t>
      </w:r>
      <w:r>
        <w:rPr>
          <w:sz w:val="24"/>
          <w:szCs w:val="24"/>
        </w:rPr>
        <w:t xml:space="preserve">η νόσος του </w:t>
      </w:r>
      <w:r>
        <w:rPr>
          <w:sz w:val="24"/>
          <w:szCs w:val="24"/>
          <w:lang w:val="en-US"/>
        </w:rPr>
        <w:t>Huntington</w:t>
      </w:r>
      <w:r w:rsidR="003C1FEB">
        <w:rPr>
          <w:sz w:val="24"/>
          <w:szCs w:val="24"/>
        </w:rPr>
        <w:t xml:space="preserve"> και το σύνδρομο </w:t>
      </w:r>
      <w:r w:rsidR="003C1FEB">
        <w:rPr>
          <w:sz w:val="24"/>
          <w:szCs w:val="24"/>
          <w:lang w:val="en-US"/>
        </w:rPr>
        <w:t>Down</w:t>
      </w:r>
      <w:r>
        <w:rPr>
          <w:sz w:val="24"/>
          <w:szCs w:val="24"/>
        </w:rPr>
        <w:t xml:space="preserve">. Σε μεγάλο βαθμό φαίνεται να είναι κληρονομική αλλά αυτό από μόνο του δεν μπορεί να είναι παράγοντας πρόβλεψης. </w:t>
      </w:r>
    </w:p>
    <w:p w:rsidR="00BC72FE" w:rsidRPr="00BC72FE" w:rsidRDefault="00BC72FE" w:rsidP="00297119">
      <w:pPr>
        <w:rPr>
          <w:sz w:val="24"/>
          <w:szCs w:val="24"/>
        </w:rPr>
      </w:pPr>
      <w:r>
        <w:rPr>
          <w:sz w:val="24"/>
          <w:szCs w:val="24"/>
        </w:rPr>
        <w:lastRenderedPageBreak/>
        <w:t xml:space="preserve">Οι γυναίκες νοσούν συχνότερα από </w:t>
      </w:r>
      <w:r>
        <w:rPr>
          <w:sz w:val="24"/>
          <w:szCs w:val="24"/>
          <w:lang w:val="en-US"/>
        </w:rPr>
        <w:t>AD</w:t>
      </w:r>
      <w:r w:rsidRPr="00BC72FE">
        <w:rPr>
          <w:sz w:val="24"/>
          <w:szCs w:val="24"/>
        </w:rPr>
        <w:t xml:space="preserve"> </w:t>
      </w:r>
      <w:r>
        <w:rPr>
          <w:sz w:val="24"/>
          <w:szCs w:val="24"/>
        </w:rPr>
        <w:t xml:space="preserve">καθώς φαίνεται τα 2/3 των ασθενών να είναι γυναίκες </w:t>
      </w:r>
      <w:r w:rsidRPr="00BC72FE">
        <w:rPr>
          <w:sz w:val="24"/>
          <w:szCs w:val="24"/>
        </w:rPr>
        <w:t>(Seshadri</w:t>
      </w:r>
      <w:r w:rsidR="000B7C83">
        <w:rPr>
          <w:sz w:val="24"/>
          <w:szCs w:val="24"/>
        </w:rPr>
        <w:t xml:space="preserve"> </w:t>
      </w:r>
      <w:r w:rsidRPr="00BC72FE">
        <w:rPr>
          <w:sz w:val="24"/>
          <w:szCs w:val="24"/>
        </w:rPr>
        <w:t>et</w:t>
      </w:r>
      <w:r w:rsidR="000B7C83">
        <w:rPr>
          <w:sz w:val="24"/>
          <w:szCs w:val="24"/>
        </w:rPr>
        <w:t xml:space="preserve"> </w:t>
      </w:r>
      <w:r w:rsidRPr="00BC72FE">
        <w:rPr>
          <w:sz w:val="24"/>
          <w:szCs w:val="24"/>
        </w:rPr>
        <w:t>al., 1997)</w:t>
      </w:r>
      <w:r>
        <w:rPr>
          <w:sz w:val="24"/>
          <w:szCs w:val="24"/>
        </w:rPr>
        <w:t xml:space="preserve"> καθώς έχουν μεγαλύτερο προσδόκιμο ζωής αλλά και μειωμένα επίπεδα οιστρογόνων μεγαλώνοντας που επηρεάζουν την νευροπροστασία</w:t>
      </w:r>
      <w:r w:rsidRPr="00BC72FE">
        <w:rPr>
          <w:sz w:val="24"/>
          <w:szCs w:val="24"/>
        </w:rPr>
        <w:t xml:space="preserve"> (Rahman</w:t>
      </w:r>
      <w:r w:rsidR="000B7C83">
        <w:rPr>
          <w:sz w:val="24"/>
          <w:szCs w:val="24"/>
        </w:rPr>
        <w:t xml:space="preserve"> </w:t>
      </w:r>
      <w:r w:rsidRPr="00BC72FE">
        <w:rPr>
          <w:sz w:val="24"/>
          <w:szCs w:val="24"/>
        </w:rPr>
        <w:t>et</w:t>
      </w:r>
      <w:r w:rsidR="000B7C83">
        <w:rPr>
          <w:sz w:val="24"/>
          <w:szCs w:val="24"/>
        </w:rPr>
        <w:t xml:space="preserve"> </w:t>
      </w:r>
      <w:r w:rsidRPr="00BC72FE">
        <w:rPr>
          <w:sz w:val="24"/>
          <w:szCs w:val="24"/>
        </w:rPr>
        <w:t>al., 2019)</w:t>
      </w:r>
      <w:r>
        <w:rPr>
          <w:sz w:val="24"/>
          <w:szCs w:val="24"/>
        </w:rPr>
        <w:t xml:space="preserve">. Οι γυναίκες με το αλληλόμορφο </w:t>
      </w:r>
      <w:r>
        <w:rPr>
          <w:sz w:val="24"/>
          <w:szCs w:val="24"/>
          <w:lang w:val="en-US"/>
        </w:rPr>
        <w:t>ApoE</w:t>
      </w:r>
      <w:r w:rsidRPr="00BC72FE">
        <w:rPr>
          <w:sz w:val="24"/>
          <w:szCs w:val="24"/>
        </w:rPr>
        <w:t xml:space="preserve">4 </w:t>
      </w:r>
      <w:r>
        <w:rPr>
          <w:sz w:val="24"/>
          <w:szCs w:val="24"/>
        </w:rPr>
        <w:t xml:space="preserve">έχουν περισσότερο κίνδυνο εμφάνισης της νόσου </w:t>
      </w:r>
      <w:r w:rsidR="000B7C83">
        <w:rPr>
          <w:sz w:val="24"/>
          <w:szCs w:val="24"/>
        </w:rPr>
        <w:t xml:space="preserve">(Altman </w:t>
      </w:r>
      <w:r w:rsidRPr="00BC72FE">
        <w:rPr>
          <w:sz w:val="24"/>
          <w:szCs w:val="24"/>
        </w:rPr>
        <w:t>et</w:t>
      </w:r>
      <w:r w:rsidR="000B7C83">
        <w:rPr>
          <w:sz w:val="24"/>
          <w:szCs w:val="24"/>
        </w:rPr>
        <w:t xml:space="preserve"> </w:t>
      </w:r>
      <w:r w:rsidRPr="00BC72FE">
        <w:rPr>
          <w:sz w:val="24"/>
          <w:szCs w:val="24"/>
        </w:rPr>
        <w:t>al., 2014)</w:t>
      </w:r>
      <w:r>
        <w:rPr>
          <w:sz w:val="24"/>
          <w:szCs w:val="24"/>
        </w:rPr>
        <w:t xml:space="preserve">. </w:t>
      </w:r>
    </w:p>
    <w:p w:rsidR="003C1FEB" w:rsidRDefault="003C1FEB" w:rsidP="00297119">
      <w:pPr>
        <w:rPr>
          <w:sz w:val="24"/>
          <w:szCs w:val="24"/>
        </w:rPr>
      </w:pPr>
      <w:r>
        <w:rPr>
          <w:sz w:val="24"/>
          <w:szCs w:val="24"/>
        </w:rPr>
        <w:t xml:space="preserve">Το κάπνισμα έχει συσχετισθεί με αυξημένη πιθανότητα άνοιας καθώς οι καπνιστές αναπτύσσουν συχνότερα αθηροσκλήρωση και αγγειακές παθήσεις. Υψηλό κίνδυνο διατρέχουν και τα άτομα που καταναλώνουν μεγάλες ποσότητες αλκοόλ. </w:t>
      </w:r>
    </w:p>
    <w:p w:rsidR="003C1FEB" w:rsidRDefault="003C1FEB" w:rsidP="00297119">
      <w:pPr>
        <w:rPr>
          <w:sz w:val="24"/>
          <w:szCs w:val="24"/>
        </w:rPr>
      </w:pPr>
      <w:r>
        <w:rPr>
          <w:sz w:val="24"/>
          <w:szCs w:val="24"/>
        </w:rPr>
        <w:t xml:space="preserve">Η συσσώρευση αθηρωματικής πλάκας, οι εναποθέσεις λίπους και χοληστερίνης γνωστές ως αθηροσκλήρωση δημιουργούν εγκαφαλικά επεισόδια και αυξάνουν το </w:t>
      </w:r>
      <w:r w:rsidR="002C7234">
        <w:rPr>
          <w:sz w:val="24"/>
          <w:szCs w:val="24"/>
        </w:rPr>
        <w:t>κίνδυνο</w:t>
      </w:r>
      <w:r>
        <w:rPr>
          <w:sz w:val="24"/>
          <w:szCs w:val="24"/>
        </w:rPr>
        <w:t xml:space="preserve"> για αγγειακή άνοια. </w:t>
      </w:r>
      <w:r w:rsidR="002C7234">
        <w:rPr>
          <w:sz w:val="24"/>
          <w:szCs w:val="24"/>
        </w:rPr>
        <w:t>Και η υψηλή λιποπρωτείνη χαμηλής πυκνότητας (</w:t>
      </w:r>
      <w:r w:rsidR="002C7234">
        <w:rPr>
          <w:sz w:val="24"/>
          <w:szCs w:val="24"/>
          <w:lang w:val="en-US"/>
        </w:rPr>
        <w:t>LDL</w:t>
      </w:r>
      <w:r w:rsidR="002C7234">
        <w:rPr>
          <w:sz w:val="24"/>
          <w:szCs w:val="24"/>
        </w:rPr>
        <w:t>)</w:t>
      </w:r>
      <w:r w:rsidR="002C7234" w:rsidRPr="002C7234">
        <w:rPr>
          <w:sz w:val="24"/>
          <w:szCs w:val="24"/>
        </w:rPr>
        <w:t xml:space="preserve">, </w:t>
      </w:r>
      <w:r w:rsidR="002C7234">
        <w:rPr>
          <w:sz w:val="24"/>
          <w:szCs w:val="24"/>
        </w:rPr>
        <w:t>ο σακχαρώδης διαβήτης, η ομοκυστείνη πλάσματος</w:t>
      </w:r>
      <w:r w:rsidR="002C7234" w:rsidRPr="002C7234">
        <w:rPr>
          <w:sz w:val="24"/>
          <w:szCs w:val="24"/>
        </w:rPr>
        <w:t xml:space="preserve"> </w:t>
      </w:r>
      <w:r w:rsidR="002C7234">
        <w:rPr>
          <w:sz w:val="24"/>
          <w:szCs w:val="24"/>
        </w:rPr>
        <w:t xml:space="preserve">αυξάνουν το κίνδυνο για </w:t>
      </w:r>
      <w:r w:rsidR="002C7234">
        <w:rPr>
          <w:sz w:val="24"/>
          <w:szCs w:val="24"/>
          <w:lang w:val="en-US"/>
        </w:rPr>
        <w:t>AD</w:t>
      </w:r>
      <w:r w:rsidR="002C7234">
        <w:rPr>
          <w:sz w:val="24"/>
          <w:szCs w:val="24"/>
        </w:rPr>
        <w:t xml:space="preserve"> και </w:t>
      </w:r>
      <w:r w:rsidR="002C7234">
        <w:rPr>
          <w:sz w:val="24"/>
          <w:szCs w:val="24"/>
          <w:lang w:val="en-US"/>
        </w:rPr>
        <w:t>VD</w:t>
      </w:r>
      <w:r w:rsidR="002C7234">
        <w:rPr>
          <w:sz w:val="24"/>
          <w:szCs w:val="24"/>
        </w:rPr>
        <w:t xml:space="preserve">. </w:t>
      </w:r>
    </w:p>
    <w:p w:rsidR="00F16138" w:rsidRPr="002C7234" w:rsidRDefault="00F16138" w:rsidP="00297119">
      <w:pPr>
        <w:rPr>
          <w:sz w:val="24"/>
          <w:szCs w:val="24"/>
        </w:rPr>
      </w:pPr>
    </w:p>
    <w:p w:rsidR="009733FC" w:rsidRDefault="00C17BCD" w:rsidP="00297119">
      <w:pPr>
        <w:rPr>
          <w:b/>
          <w:sz w:val="28"/>
          <w:szCs w:val="28"/>
        </w:rPr>
      </w:pPr>
      <w:r>
        <w:rPr>
          <w:b/>
          <w:sz w:val="28"/>
          <w:szCs w:val="28"/>
        </w:rPr>
        <w:t>3.1.4</w:t>
      </w:r>
      <w:r w:rsidRPr="00C17BCD">
        <w:rPr>
          <w:b/>
          <w:sz w:val="28"/>
          <w:szCs w:val="28"/>
        </w:rPr>
        <w:t xml:space="preserve"> </w:t>
      </w:r>
      <w:r>
        <w:rPr>
          <w:b/>
          <w:sz w:val="28"/>
          <w:szCs w:val="28"/>
        </w:rPr>
        <w:t>Διάγνωση και θεραπεία άνοιας</w:t>
      </w:r>
    </w:p>
    <w:p w:rsidR="009733FC" w:rsidRDefault="00533E69" w:rsidP="00297119">
      <w:pPr>
        <w:rPr>
          <w:sz w:val="24"/>
          <w:szCs w:val="24"/>
        </w:rPr>
      </w:pPr>
      <w:r>
        <w:rPr>
          <w:sz w:val="24"/>
          <w:szCs w:val="24"/>
        </w:rPr>
        <w:t>Αν και η άνοια είναι νόσος μη αναστρέψιμη</w:t>
      </w:r>
      <w:r w:rsidR="0024404C">
        <w:rPr>
          <w:sz w:val="24"/>
          <w:szCs w:val="24"/>
        </w:rPr>
        <w:t xml:space="preserve">, είναι σημαντικό να προσδιοριστεί ο τύπος και τα αίτια που την προκαλούν. Αυτό βοηθάει στην φαρμακευτική αντιμετώπιση και στην πρόταση θεραπειών με σκοπό την μείωση ακατάλληλων συμπεριφορών και στην επιβάρυνση της οικογένειας. </w:t>
      </w:r>
    </w:p>
    <w:p w:rsidR="001671BB" w:rsidRPr="00DF1C0A" w:rsidRDefault="00DD50A4" w:rsidP="00297119">
      <w:pPr>
        <w:rPr>
          <w:sz w:val="24"/>
          <w:szCs w:val="24"/>
        </w:rPr>
      </w:pPr>
      <w:r>
        <w:rPr>
          <w:sz w:val="24"/>
          <w:szCs w:val="24"/>
        </w:rPr>
        <w:t xml:space="preserve">Για την διάγνωση γίνεται λήψη του ιατρικού ιστορικού, καταγραφή συμπτωμάτων και εμπειριών που συχνά βοηθούν στην διάγνωση </w:t>
      </w:r>
      <w:r w:rsidR="005F05DB">
        <w:rPr>
          <w:sz w:val="24"/>
          <w:szCs w:val="24"/>
        </w:rPr>
        <w:t xml:space="preserve">(Feldman et al, 2008) και ακολουθεί η </w:t>
      </w:r>
      <w:r>
        <w:rPr>
          <w:sz w:val="24"/>
          <w:szCs w:val="24"/>
        </w:rPr>
        <w:t xml:space="preserve">αξιολόγηση </w:t>
      </w:r>
      <w:r w:rsidR="00B43EDE">
        <w:rPr>
          <w:sz w:val="24"/>
          <w:szCs w:val="24"/>
        </w:rPr>
        <w:t xml:space="preserve">της λειτουργικότητας, </w:t>
      </w:r>
      <w:r>
        <w:rPr>
          <w:sz w:val="24"/>
          <w:szCs w:val="24"/>
        </w:rPr>
        <w:t>των νοητικών λειτουργιών</w:t>
      </w:r>
      <w:r w:rsidR="00DF1C0A" w:rsidRPr="00DF1C0A">
        <w:rPr>
          <w:sz w:val="24"/>
          <w:szCs w:val="24"/>
        </w:rPr>
        <w:t xml:space="preserve"> </w:t>
      </w:r>
      <w:r w:rsidR="00DF1C0A">
        <w:rPr>
          <w:sz w:val="24"/>
          <w:szCs w:val="24"/>
        </w:rPr>
        <w:t>και της διάθεσης</w:t>
      </w:r>
      <w:r w:rsidR="005F05DB">
        <w:rPr>
          <w:sz w:val="24"/>
          <w:szCs w:val="24"/>
        </w:rPr>
        <w:t xml:space="preserve">. </w:t>
      </w:r>
      <w:r w:rsidR="001671BB">
        <w:rPr>
          <w:sz w:val="24"/>
          <w:szCs w:val="24"/>
        </w:rPr>
        <w:t xml:space="preserve">Η αξιολόγηση των νοητικών λειτουργιών γίνεται μέσω σταθμισμένων εργαλείων στην ελληνική γλώσσα όπως το </w:t>
      </w:r>
      <w:r w:rsidR="001671BB">
        <w:rPr>
          <w:sz w:val="24"/>
          <w:szCs w:val="24"/>
          <w:lang w:val="en-US"/>
        </w:rPr>
        <w:t>MMSE</w:t>
      </w:r>
      <w:r w:rsidR="001671BB" w:rsidRPr="001671BB">
        <w:rPr>
          <w:sz w:val="24"/>
          <w:szCs w:val="24"/>
        </w:rPr>
        <w:t xml:space="preserve">, </w:t>
      </w:r>
      <w:r w:rsidR="001671BB">
        <w:rPr>
          <w:sz w:val="24"/>
          <w:szCs w:val="24"/>
          <w:lang w:val="en-US"/>
        </w:rPr>
        <w:t>Clock</w:t>
      </w:r>
      <w:r w:rsidR="001671BB" w:rsidRPr="001671BB">
        <w:rPr>
          <w:sz w:val="24"/>
          <w:szCs w:val="24"/>
        </w:rPr>
        <w:t xml:space="preserve"> </w:t>
      </w:r>
      <w:r w:rsidR="001671BB">
        <w:rPr>
          <w:sz w:val="24"/>
          <w:szCs w:val="24"/>
          <w:lang w:val="en-US"/>
        </w:rPr>
        <w:t>Test</w:t>
      </w:r>
      <w:r w:rsidR="001671BB" w:rsidRPr="001671BB">
        <w:rPr>
          <w:sz w:val="24"/>
          <w:szCs w:val="24"/>
        </w:rPr>
        <w:t xml:space="preserve">, </w:t>
      </w:r>
      <w:r w:rsidR="001671BB">
        <w:rPr>
          <w:sz w:val="24"/>
          <w:szCs w:val="24"/>
          <w:lang w:val="en-US"/>
        </w:rPr>
        <w:t>Rey</w:t>
      </w:r>
      <w:r w:rsidR="001671BB" w:rsidRPr="001671BB">
        <w:rPr>
          <w:sz w:val="24"/>
          <w:szCs w:val="24"/>
        </w:rPr>
        <w:t xml:space="preserve"> </w:t>
      </w:r>
      <w:r w:rsidR="00DF1C0A">
        <w:rPr>
          <w:sz w:val="24"/>
          <w:szCs w:val="24"/>
          <w:lang w:val="en-US"/>
        </w:rPr>
        <w:t>A</w:t>
      </w:r>
      <w:r w:rsidR="001671BB">
        <w:rPr>
          <w:sz w:val="24"/>
          <w:szCs w:val="24"/>
          <w:lang w:val="en-US"/>
        </w:rPr>
        <w:t>udirory</w:t>
      </w:r>
      <w:r w:rsidR="00DF1C0A" w:rsidRPr="00DF1C0A">
        <w:rPr>
          <w:sz w:val="24"/>
          <w:szCs w:val="24"/>
        </w:rPr>
        <w:t xml:space="preserve"> </w:t>
      </w:r>
      <w:r w:rsidR="00DF1C0A">
        <w:rPr>
          <w:sz w:val="24"/>
          <w:szCs w:val="24"/>
          <w:lang w:val="en-US"/>
        </w:rPr>
        <w:t>Verbal</w:t>
      </w:r>
      <w:r w:rsidR="00DF1C0A" w:rsidRPr="00DF1C0A">
        <w:rPr>
          <w:sz w:val="24"/>
          <w:szCs w:val="24"/>
        </w:rPr>
        <w:t xml:space="preserve"> </w:t>
      </w:r>
      <w:r w:rsidR="00DF1C0A">
        <w:rPr>
          <w:sz w:val="24"/>
          <w:szCs w:val="24"/>
          <w:lang w:val="en-US"/>
        </w:rPr>
        <w:t>Learning</w:t>
      </w:r>
      <w:r w:rsidR="00DF1C0A" w:rsidRPr="00DF1C0A">
        <w:rPr>
          <w:sz w:val="24"/>
          <w:szCs w:val="24"/>
        </w:rPr>
        <w:t xml:space="preserve"> </w:t>
      </w:r>
      <w:r w:rsidR="00DF1C0A">
        <w:rPr>
          <w:sz w:val="24"/>
          <w:szCs w:val="24"/>
          <w:lang w:val="en-US"/>
        </w:rPr>
        <w:t>Test</w:t>
      </w:r>
      <w:r w:rsidR="00DF1C0A" w:rsidRPr="00DF1C0A">
        <w:rPr>
          <w:sz w:val="24"/>
          <w:szCs w:val="24"/>
        </w:rPr>
        <w:t xml:space="preserve">, </w:t>
      </w:r>
      <w:r w:rsidR="00DF1C0A">
        <w:rPr>
          <w:sz w:val="24"/>
          <w:szCs w:val="24"/>
          <w:lang w:val="en-US"/>
        </w:rPr>
        <w:t>Trails</w:t>
      </w:r>
      <w:r w:rsidR="00DF1C0A" w:rsidRPr="00DF1C0A">
        <w:rPr>
          <w:sz w:val="24"/>
          <w:szCs w:val="24"/>
        </w:rPr>
        <w:t xml:space="preserve"> </w:t>
      </w:r>
      <w:r w:rsidR="00DF1C0A">
        <w:rPr>
          <w:sz w:val="24"/>
          <w:szCs w:val="24"/>
          <w:lang w:val="en-US"/>
        </w:rPr>
        <w:t>A</w:t>
      </w:r>
      <w:r w:rsidR="00DF1C0A" w:rsidRPr="00DF1C0A">
        <w:rPr>
          <w:sz w:val="24"/>
          <w:szCs w:val="24"/>
        </w:rPr>
        <w:t xml:space="preserve"> &amp;</w:t>
      </w:r>
      <w:r w:rsidR="00DF1C0A">
        <w:rPr>
          <w:sz w:val="24"/>
          <w:szCs w:val="24"/>
          <w:lang w:val="en-US"/>
        </w:rPr>
        <w:t>B</w:t>
      </w:r>
      <w:r w:rsidR="00DF1C0A" w:rsidRPr="00DF1C0A">
        <w:rPr>
          <w:sz w:val="24"/>
          <w:szCs w:val="24"/>
        </w:rPr>
        <w:t xml:space="preserve">, </w:t>
      </w:r>
      <w:r w:rsidR="00DF1C0A">
        <w:rPr>
          <w:sz w:val="24"/>
          <w:szCs w:val="24"/>
          <w:lang w:val="en-US"/>
        </w:rPr>
        <w:t>verbal</w:t>
      </w:r>
      <w:r w:rsidR="00DF1C0A" w:rsidRPr="00DF1C0A">
        <w:rPr>
          <w:sz w:val="24"/>
          <w:szCs w:val="24"/>
        </w:rPr>
        <w:t xml:space="preserve"> </w:t>
      </w:r>
      <w:r w:rsidR="00DF1C0A">
        <w:rPr>
          <w:sz w:val="24"/>
          <w:szCs w:val="24"/>
          <w:lang w:val="en-US"/>
        </w:rPr>
        <w:t>fluency</w:t>
      </w:r>
      <w:r w:rsidR="00DF1C0A" w:rsidRPr="00DF1C0A">
        <w:rPr>
          <w:sz w:val="24"/>
          <w:szCs w:val="24"/>
        </w:rPr>
        <w:t xml:space="preserve"> </w:t>
      </w:r>
      <w:r w:rsidR="00DF1C0A">
        <w:rPr>
          <w:sz w:val="24"/>
          <w:szCs w:val="24"/>
          <w:lang w:val="en-US"/>
        </w:rPr>
        <w:t>tests</w:t>
      </w:r>
      <w:r w:rsidR="00DF1C0A">
        <w:rPr>
          <w:sz w:val="24"/>
          <w:szCs w:val="24"/>
        </w:rPr>
        <w:t xml:space="preserve"> κ.ά.</w:t>
      </w:r>
    </w:p>
    <w:p w:rsidR="00062715" w:rsidRDefault="005F05DB" w:rsidP="00297119">
      <w:pPr>
        <w:rPr>
          <w:sz w:val="24"/>
          <w:szCs w:val="24"/>
        </w:rPr>
      </w:pPr>
      <w:r>
        <w:rPr>
          <w:sz w:val="24"/>
          <w:szCs w:val="24"/>
        </w:rPr>
        <w:t xml:space="preserve">Συχνά ζητούνται εργαστηρικές εξετάσεις όπως ο έλεγχος θυρεοειδικών ορμονών, βιταμίνης Β12, </w:t>
      </w:r>
      <w:r>
        <w:rPr>
          <w:sz w:val="24"/>
          <w:szCs w:val="24"/>
          <w:lang w:val="en-US"/>
        </w:rPr>
        <w:t>CBC</w:t>
      </w:r>
      <w:r w:rsidRPr="005F05DB">
        <w:rPr>
          <w:sz w:val="24"/>
          <w:szCs w:val="24"/>
        </w:rPr>
        <w:t xml:space="preserve">, </w:t>
      </w:r>
      <w:r>
        <w:rPr>
          <w:sz w:val="24"/>
          <w:szCs w:val="24"/>
          <w:lang w:val="en-US"/>
        </w:rPr>
        <w:t>AIDS</w:t>
      </w:r>
      <w:r w:rsidRPr="005F05DB">
        <w:rPr>
          <w:sz w:val="24"/>
          <w:szCs w:val="24"/>
        </w:rPr>
        <w:t xml:space="preserve"> </w:t>
      </w:r>
      <w:r>
        <w:rPr>
          <w:sz w:val="24"/>
          <w:szCs w:val="24"/>
        </w:rPr>
        <w:t xml:space="preserve">κ.ά. Συχνά, προς αποκλεισμό λοιπών ασθενειών ζητάτε οσφυϊκή παρακέντηση </w:t>
      </w:r>
      <w:r w:rsidRPr="005F05DB">
        <w:rPr>
          <w:sz w:val="24"/>
          <w:szCs w:val="24"/>
        </w:rPr>
        <w:t>(Feldman et al., 2008).</w:t>
      </w:r>
      <w:r>
        <w:rPr>
          <w:sz w:val="24"/>
          <w:szCs w:val="24"/>
        </w:rPr>
        <w:t xml:space="preserve"> Σε απεικονιστικό επίπεδο ζητούνται αξονική ή μαγνητική τομογραφία εγκεφάλου, </w:t>
      </w:r>
      <w:r>
        <w:rPr>
          <w:sz w:val="24"/>
          <w:szCs w:val="24"/>
          <w:lang w:val="en-US"/>
        </w:rPr>
        <w:t>PET</w:t>
      </w:r>
      <w:r w:rsidRPr="005F05DB">
        <w:rPr>
          <w:sz w:val="24"/>
          <w:szCs w:val="24"/>
        </w:rPr>
        <w:t xml:space="preserve">, </w:t>
      </w:r>
      <w:r>
        <w:rPr>
          <w:sz w:val="24"/>
          <w:szCs w:val="24"/>
          <w:lang w:val="en-US"/>
        </w:rPr>
        <w:t>SPECT</w:t>
      </w:r>
      <w:r>
        <w:rPr>
          <w:sz w:val="24"/>
          <w:szCs w:val="24"/>
        </w:rPr>
        <w:t xml:space="preserve"> για την καλύτερη διάγνωση του τύπου της άνοιας. Στη διαφοροδιάγνωση συχνά χρήσιμο είναι και το ηλεκτροεγκεφαλογράφημα (</w:t>
      </w:r>
      <w:r>
        <w:rPr>
          <w:sz w:val="24"/>
          <w:szCs w:val="24"/>
          <w:lang w:val="en-US"/>
        </w:rPr>
        <w:t>EEG</w:t>
      </w:r>
      <w:r>
        <w:rPr>
          <w:sz w:val="24"/>
          <w:szCs w:val="24"/>
        </w:rPr>
        <w:t xml:space="preserve">) αλλά χρησιμοποιείται σπάνια. </w:t>
      </w:r>
    </w:p>
    <w:p w:rsidR="00C17BCD" w:rsidRDefault="004A1B56" w:rsidP="00297119">
      <w:pPr>
        <w:rPr>
          <w:sz w:val="24"/>
          <w:szCs w:val="24"/>
        </w:rPr>
      </w:pPr>
      <w:r>
        <w:rPr>
          <w:sz w:val="24"/>
          <w:szCs w:val="24"/>
        </w:rPr>
        <w:t xml:space="preserve">Τα φάρμακα </w:t>
      </w:r>
      <w:r w:rsidR="00707634">
        <w:rPr>
          <w:sz w:val="24"/>
          <w:szCs w:val="24"/>
        </w:rPr>
        <w:t xml:space="preserve">στην άνοια δεν έχουν σκοπό ίασης αλλά ανακούφισης των συμπτωμάτων, στη συμπεριφορά και στη διάθεση </w:t>
      </w:r>
      <w:r w:rsidR="00707634" w:rsidRPr="00707634">
        <w:rPr>
          <w:sz w:val="24"/>
          <w:szCs w:val="24"/>
        </w:rPr>
        <w:t>(Aloizou et al., 2021).</w:t>
      </w:r>
      <w:r w:rsidR="00215283">
        <w:rPr>
          <w:sz w:val="24"/>
          <w:szCs w:val="24"/>
        </w:rPr>
        <w:t xml:space="preserve"> Η παρηγορητική φροντίδα βοηθά στην βελτίωση της ποιότητας ζωής του ασθενή με σκοπό την διατήρηση της ανεξαρτησίας του</w:t>
      </w:r>
      <w:r w:rsidR="00936D94">
        <w:rPr>
          <w:sz w:val="24"/>
          <w:szCs w:val="24"/>
        </w:rPr>
        <w:t xml:space="preserve"> και την υποστήριξη του. Ο ασθενής </w:t>
      </w:r>
      <w:r w:rsidR="00936D94">
        <w:rPr>
          <w:sz w:val="24"/>
          <w:szCs w:val="24"/>
        </w:rPr>
        <w:lastRenderedPageBreak/>
        <w:t xml:space="preserve">χρήζει τακτικής παρακολούθησης και η οικογένεια του υποστήριξης σε κάθε στάδιο της νόσου </w:t>
      </w:r>
      <w:r w:rsidR="00936D94" w:rsidRPr="00936D94">
        <w:rPr>
          <w:sz w:val="24"/>
          <w:szCs w:val="24"/>
        </w:rPr>
        <w:t>(Overshott &amp; Burns, 2005)</w:t>
      </w:r>
    </w:p>
    <w:p w:rsidR="00114116" w:rsidRPr="00D102A9" w:rsidRDefault="00F51637" w:rsidP="00297119">
      <w:pPr>
        <w:rPr>
          <w:sz w:val="24"/>
          <w:szCs w:val="24"/>
        </w:rPr>
      </w:pPr>
      <w:r>
        <w:rPr>
          <w:sz w:val="24"/>
          <w:szCs w:val="24"/>
        </w:rPr>
        <w:t xml:space="preserve">Το άτομο με άνοια είναι σημαντικό να αντιμετωπίζεται σύμφωνα μ την δική του υπόσταση και προσωπικότητα </w:t>
      </w:r>
      <w:r w:rsidRPr="00F51637">
        <w:rPr>
          <w:sz w:val="24"/>
          <w:szCs w:val="24"/>
        </w:rPr>
        <w:t>(Μούγιας, 2003,Τζανακάκη-Μελισσάρη και συν., 2005).</w:t>
      </w:r>
      <w:r>
        <w:rPr>
          <w:sz w:val="24"/>
          <w:szCs w:val="24"/>
        </w:rPr>
        <w:t xml:space="preserve"> </w:t>
      </w:r>
      <w:r w:rsidR="00114116">
        <w:rPr>
          <w:sz w:val="24"/>
          <w:szCs w:val="24"/>
        </w:rPr>
        <w:t>Για τον ασθενή είναι σημνατικές και οι μη φαρμακευτικές θεραπείες, όπως</w:t>
      </w:r>
      <w:r w:rsidR="00114116" w:rsidRPr="00114116">
        <w:rPr>
          <w:sz w:val="24"/>
          <w:szCs w:val="24"/>
        </w:rPr>
        <w:t>:</w:t>
      </w:r>
    </w:p>
    <w:p w:rsidR="00114116" w:rsidRPr="00114116" w:rsidRDefault="00114116" w:rsidP="00114116">
      <w:pPr>
        <w:pStyle w:val="ListParagraph"/>
        <w:numPr>
          <w:ilvl w:val="0"/>
          <w:numId w:val="10"/>
        </w:numPr>
        <w:rPr>
          <w:rFonts w:asciiTheme="minorHAnsi" w:hAnsiTheme="minorHAnsi" w:cstheme="minorHAnsi"/>
          <w:sz w:val="24"/>
          <w:szCs w:val="24"/>
        </w:rPr>
      </w:pPr>
      <w:r w:rsidRPr="00114116">
        <w:rPr>
          <w:rFonts w:asciiTheme="minorHAnsi" w:hAnsiTheme="minorHAnsi" w:cstheme="minorHAnsi"/>
          <w:sz w:val="24"/>
          <w:szCs w:val="24"/>
        </w:rPr>
        <w:t xml:space="preserve">Η εργοθεραπεία </w:t>
      </w:r>
      <w:r>
        <w:rPr>
          <w:rFonts w:asciiTheme="minorHAnsi" w:hAnsiTheme="minorHAnsi" w:cstheme="minorHAnsi"/>
          <w:sz w:val="24"/>
          <w:szCs w:val="24"/>
        </w:rPr>
        <w:t>που βοηθά στην βελτίωση της λειτουργικότητας, της επικοινωνίας και της συμπεριφοράς των ασθενών (</w:t>
      </w:r>
      <w:r w:rsidRPr="00114116">
        <w:rPr>
          <w:rFonts w:asciiTheme="minorHAnsi" w:hAnsiTheme="minorHAnsi" w:cstheme="minorHAnsi"/>
          <w:sz w:val="24"/>
          <w:szCs w:val="24"/>
        </w:rPr>
        <w:t>Steyltjens et al., 2004).</w:t>
      </w:r>
    </w:p>
    <w:p w:rsidR="00114116" w:rsidRDefault="00114116" w:rsidP="00114116">
      <w:pPr>
        <w:pStyle w:val="ListParagraph"/>
        <w:numPr>
          <w:ilvl w:val="0"/>
          <w:numId w:val="10"/>
        </w:numPr>
        <w:rPr>
          <w:rFonts w:asciiTheme="minorHAnsi" w:hAnsiTheme="minorHAnsi" w:cstheme="minorHAnsi"/>
          <w:sz w:val="24"/>
          <w:szCs w:val="24"/>
        </w:rPr>
      </w:pPr>
      <w:r w:rsidRPr="00114116">
        <w:rPr>
          <w:rFonts w:asciiTheme="minorHAnsi" w:hAnsiTheme="minorHAnsi" w:cstheme="minorHAnsi"/>
          <w:sz w:val="24"/>
          <w:szCs w:val="24"/>
        </w:rPr>
        <w:t>Γνωστικές παρεμβάσεις</w:t>
      </w:r>
      <w:r>
        <w:rPr>
          <w:rFonts w:asciiTheme="minorHAnsi" w:hAnsiTheme="minorHAnsi" w:cstheme="minorHAnsi"/>
          <w:sz w:val="24"/>
          <w:szCs w:val="24"/>
        </w:rPr>
        <w:t xml:space="preserve"> όπως οι ασκήσεις χαλάρωσης, παιχνίδια ρόλων</w:t>
      </w:r>
    </w:p>
    <w:p w:rsidR="00114116" w:rsidRPr="00114116" w:rsidRDefault="00114116" w:rsidP="00114116">
      <w:pPr>
        <w:pStyle w:val="ListParagraph"/>
        <w:numPr>
          <w:ilvl w:val="0"/>
          <w:numId w:val="10"/>
        </w:numPr>
        <w:rPr>
          <w:rFonts w:asciiTheme="minorHAnsi" w:hAnsiTheme="minorHAnsi" w:cstheme="minorHAnsi"/>
          <w:sz w:val="24"/>
          <w:szCs w:val="24"/>
          <w:lang w:val="en-US"/>
        </w:rPr>
      </w:pPr>
      <w:r>
        <w:rPr>
          <w:rFonts w:asciiTheme="minorHAnsi" w:hAnsiTheme="minorHAnsi" w:cstheme="minorHAnsi"/>
          <w:sz w:val="24"/>
          <w:szCs w:val="24"/>
        </w:rPr>
        <w:t>Οι</w:t>
      </w:r>
      <w:r w:rsidRPr="00114116">
        <w:rPr>
          <w:rFonts w:asciiTheme="minorHAnsi" w:hAnsiTheme="minorHAnsi" w:cstheme="minorHAnsi"/>
          <w:sz w:val="24"/>
          <w:szCs w:val="24"/>
          <w:lang w:val="en-US"/>
        </w:rPr>
        <w:t xml:space="preserve"> </w:t>
      </w:r>
      <w:r>
        <w:rPr>
          <w:rFonts w:asciiTheme="minorHAnsi" w:hAnsiTheme="minorHAnsi" w:cstheme="minorHAnsi"/>
          <w:sz w:val="24"/>
          <w:szCs w:val="24"/>
        </w:rPr>
        <w:t>μέθοδοι</w:t>
      </w:r>
      <w:r w:rsidRPr="00114116">
        <w:rPr>
          <w:rFonts w:asciiTheme="minorHAnsi" w:hAnsiTheme="minorHAnsi" w:cstheme="minorHAnsi"/>
          <w:sz w:val="24"/>
          <w:szCs w:val="24"/>
          <w:lang w:val="en-US"/>
        </w:rPr>
        <w:t xml:space="preserve"> </w:t>
      </w:r>
      <w:r>
        <w:rPr>
          <w:rFonts w:asciiTheme="minorHAnsi" w:hAnsiTheme="minorHAnsi" w:cstheme="minorHAnsi"/>
          <w:sz w:val="24"/>
          <w:szCs w:val="24"/>
        </w:rPr>
        <w:t>αναμνήσεων</w:t>
      </w:r>
      <w:r w:rsidRPr="00114116">
        <w:rPr>
          <w:rFonts w:asciiTheme="minorHAnsi" w:hAnsiTheme="minorHAnsi" w:cstheme="minorHAnsi"/>
          <w:sz w:val="24"/>
          <w:szCs w:val="24"/>
          <w:lang w:val="en-US"/>
        </w:rPr>
        <w:t xml:space="preserve"> (reminiscence therapy) (Woods et al., 2005).</w:t>
      </w:r>
    </w:p>
    <w:p w:rsidR="00114116" w:rsidRPr="00114116" w:rsidRDefault="00114116" w:rsidP="00114116">
      <w:pPr>
        <w:pStyle w:val="ListParagraph"/>
        <w:numPr>
          <w:ilvl w:val="0"/>
          <w:numId w:val="10"/>
        </w:numPr>
        <w:rPr>
          <w:rFonts w:asciiTheme="minorHAnsi" w:hAnsiTheme="minorHAnsi" w:cstheme="minorHAnsi"/>
          <w:sz w:val="24"/>
          <w:szCs w:val="24"/>
          <w:lang w:val="en-US"/>
        </w:rPr>
      </w:pPr>
      <w:r>
        <w:rPr>
          <w:rFonts w:asciiTheme="minorHAnsi" w:hAnsiTheme="minorHAnsi" w:cstheme="minorHAnsi"/>
          <w:sz w:val="24"/>
          <w:szCs w:val="24"/>
        </w:rPr>
        <w:t xml:space="preserve">Μουσικοθεραπεία </w:t>
      </w:r>
      <w:r w:rsidRPr="00114116">
        <w:rPr>
          <w:rFonts w:asciiTheme="minorHAnsi" w:hAnsiTheme="minorHAnsi" w:cstheme="minorHAnsi"/>
          <w:sz w:val="24"/>
          <w:szCs w:val="24"/>
        </w:rPr>
        <w:t>(Raglio et al.,2008)</w:t>
      </w:r>
    </w:p>
    <w:p w:rsidR="00114116" w:rsidRPr="00114116" w:rsidRDefault="00114116" w:rsidP="00114116">
      <w:pPr>
        <w:pStyle w:val="ListParagraph"/>
        <w:numPr>
          <w:ilvl w:val="0"/>
          <w:numId w:val="10"/>
        </w:numPr>
        <w:rPr>
          <w:rFonts w:asciiTheme="minorHAnsi" w:hAnsiTheme="minorHAnsi" w:cstheme="minorHAnsi"/>
          <w:sz w:val="24"/>
          <w:szCs w:val="24"/>
        </w:rPr>
      </w:pPr>
      <w:r>
        <w:rPr>
          <w:rFonts w:asciiTheme="minorHAnsi" w:hAnsiTheme="minorHAnsi" w:cstheme="minorHAnsi"/>
          <w:sz w:val="24"/>
          <w:szCs w:val="24"/>
        </w:rPr>
        <w:t xml:space="preserve">Προγράμματα άσκησης και φυσικοθεραπείας (Holmberk 1997, </w:t>
      </w:r>
      <w:r w:rsidRPr="00114116">
        <w:rPr>
          <w:rFonts w:asciiTheme="minorHAnsi" w:hAnsiTheme="minorHAnsi" w:cstheme="minorHAnsi"/>
          <w:sz w:val="24"/>
          <w:szCs w:val="24"/>
        </w:rPr>
        <w:t>Netz et al.,2007)</w:t>
      </w:r>
    </w:p>
    <w:p w:rsidR="00114116" w:rsidRPr="00114116" w:rsidRDefault="00114116" w:rsidP="00114116">
      <w:pPr>
        <w:rPr>
          <w:sz w:val="24"/>
          <w:szCs w:val="24"/>
        </w:rPr>
      </w:pPr>
    </w:p>
    <w:p w:rsidR="00241904" w:rsidRDefault="00095B25" w:rsidP="00297119">
      <w:pPr>
        <w:rPr>
          <w:b/>
          <w:sz w:val="28"/>
          <w:szCs w:val="28"/>
        </w:rPr>
      </w:pPr>
      <w:r>
        <w:rPr>
          <w:b/>
          <w:sz w:val="28"/>
          <w:szCs w:val="28"/>
        </w:rPr>
        <w:t>3.1.</w:t>
      </w:r>
      <w:r w:rsidR="00C17BCD">
        <w:rPr>
          <w:b/>
          <w:sz w:val="28"/>
          <w:szCs w:val="28"/>
        </w:rPr>
        <w:t>5</w:t>
      </w:r>
      <w:r w:rsidR="00241904">
        <w:rPr>
          <w:b/>
          <w:sz w:val="28"/>
          <w:szCs w:val="28"/>
        </w:rPr>
        <w:t xml:space="preserve"> Πρόληψη άνοιας και ήπιας νευρογνωστικής διαταραχής</w:t>
      </w:r>
    </w:p>
    <w:p w:rsidR="00241904" w:rsidRPr="0093222D" w:rsidRDefault="008F7914" w:rsidP="00297119">
      <w:pPr>
        <w:rPr>
          <w:sz w:val="24"/>
          <w:szCs w:val="24"/>
        </w:rPr>
      </w:pPr>
      <w:r>
        <w:rPr>
          <w:sz w:val="24"/>
          <w:szCs w:val="24"/>
        </w:rPr>
        <w:t xml:space="preserve">Η </w:t>
      </w:r>
      <w:r w:rsidR="00221932">
        <w:rPr>
          <w:sz w:val="24"/>
          <w:szCs w:val="24"/>
        </w:rPr>
        <w:t xml:space="preserve">ΗΝΔ και η </w:t>
      </w:r>
      <w:r>
        <w:rPr>
          <w:sz w:val="24"/>
          <w:szCs w:val="24"/>
        </w:rPr>
        <w:t>άνοια δεν είναι αναπόφευκτ</w:t>
      </w:r>
      <w:r w:rsidR="00221932">
        <w:rPr>
          <w:sz w:val="24"/>
          <w:szCs w:val="24"/>
        </w:rPr>
        <w:t>ες</w:t>
      </w:r>
      <w:r>
        <w:rPr>
          <w:sz w:val="24"/>
          <w:szCs w:val="24"/>
        </w:rPr>
        <w:t xml:space="preserve"> συνέπει</w:t>
      </w:r>
      <w:r w:rsidR="00221932">
        <w:rPr>
          <w:sz w:val="24"/>
          <w:szCs w:val="24"/>
        </w:rPr>
        <w:t>ες</w:t>
      </w:r>
      <w:r>
        <w:rPr>
          <w:sz w:val="24"/>
          <w:szCs w:val="24"/>
        </w:rPr>
        <w:t xml:space="preserve"> της γήρανσης. </w:t>
      </w:r>
      <w:r w:rsidR="00D102A9">
        <w:rPr>
          <w:sz w:val="24"/>
          <w:szCs w:val="24"/>
        </w:rPr>
        <w:t>Πολλοί</w:t>
      </w:r>
      <w:r w:rsidR="00221932">
        <w:rPr>
          <w:sz w:val="24"/>
          <w:szCs w:val="24"/>
        </w:rPr>
        <w:t xml:space="preserve"> παράγοντες επηρεάζουν την εμφάνιση τους όπως, η καρδιαγγειακές παθήσεις, ο </w:t>
      </w:r>
      <w:r w:rsidR="00221932" w:rsidRPr="0093222D">
        <w:rPr>
          <w:sz w:val="24"/>
          <w:szCs w:val="24"/>
        </w:rPr>
        <w:t xml:space="preserve">τρόπος ζωής, η νοητική δραστηριότητα και η κοινωνική κατάσταση του ατόμου. </w:t>
      </w:r>
    </w:p>
    <w:p w:rsidR="003E3968" w:rsidRPr="0093222D" w:rsidRDefault="00D102A9" w:rsidP="00297119">
      <w:pPr>
        <w:rPr>
          <w:sz w:val="24"/>
          <w:szCs w:val="24"/>
        </w:rPr>
      </w:pPr>
      <w:r w:rsidRPr="0093222D">
        <w:rPr>
          <w:sz w:val="24"/>
          <w:szCs w:val="24"/>
        </w:rPr>
        <w:t xml:space="preserve">Η γνωστική εξασθένηση συνδέεται με </w:t>
      </w:r>
      <w:r w:rsidR="003E3968" w:rsidRPr="0093222D">
        <w:rPr>
          <w:sz w:val="24"/>
          <w:szCs w:val="24"/>
        </w:rPr>
        <w:t xml:space="preserve">τον καρδιαγγειακό παράγοντα. Σύμφωνα με τον </w:t>
      </w:r>
      <w:r w:rsidR="003E3968" w:rsidRPr="0093222D">
        <w:rPr>
          <w:sz w:val="24"/>
          <w:szCs w:val="24"/>
          <w:lang w:val="en-US"/>
        </w:rPr>
        <w:t>Launer</w:t>
      </w:r>
      <w:r w:rsidR="003E3968" w:rsidRPr="0093222D">
        <w:rPr>
          <w:sz w:val="24"/>
          <w:szCs w:val="24"/>
        </w:rPr>
        <w:t xml:space="preserve"> και συν. (2010) η υπέρταση που ξεκινά από τη μέση ηλικία αυξάνει τον κίνδυνο για ΗΝΔ και </w:t>
      </w:r>
      <w:r w:rsidR="003E3968" w:rsidRPr="0093222D">
        <w:rPr>
          <w:sz w:val="24"/>
          <w:szCs w:val="24"/>
          <w:lang w:val="en-US"/>
        </w:rPr>
        <w:t>AD</w:t>
      </w:r>
      <w:r w:rsidR="003E3968" w:rsidRPr="0093222D">
        <w:rPr>
          <w:sz w:val="24"/>
          <w:szCs w:val="24"/>
        </w:rPr>
        <w:t xml:space="preserve"> καθώς προκαλεί μικροισχαιμικές βλάβες και μειώνει τη ροή του αίματος στον εγκέφαλο. Ομοίως, ο σακχαρώδης διαβήτης καθώς αυξάνει την συσσώρευση των νευροτοξικών πρωτεϊνών (Biessels et al., 2006).  Παράγοντες κινδύνου αποτελούν επίσης το κοιλιακό λίπος (Whitmer et al., 2005)και η υπερλιπιδαιμία (Solomon et al., 2009). Η διατήρηση σε ανωτέρω σε φυσιολογικά επίπεδα ήδη από τη μέση ηλικία μέσω της σωστής διατροφής, της άσκησης και της λήψης φαρμακευτικής αγωγής μπορεί να προστατέψει την λειτουργία του εγκεφάλου. </w:t>
      </w:r>
    </w:p>
    <w:p w:rsidR="003E3968" w:rsidRDefault="0093222D" w:rsidP="00297119">
      <w:pPr>
        <w:rPr>
          <w:sz w:val="23"/>
          <w:szCs w:val="23"/>
        </w:rPr>
      </w:pPr>
      <w:r>
        <w:rPr>
          <w:sz w:val="24"/>
          <w:szCs w:val="24"/>
        </w:rPr>
        <w:t xml:space="preserve">Η σωματική άσκηση βελτιώνει την πλαστικότητα και μειώνει την φλεγμονή στον εγκέφαλο και ιδιαίτερα η αερόβια άσκηση </w:t>
      </w:r>
      <w:r w:rsidRPr="0093222D">
        <w:rPr>
          <w:sz w:val="24"/>
          <w:szCs w:val="24"/>
        </w:rPr>
        <w:t>(Erickson</w:t>
      </w:r>
      <w:r>
        <w:rPr>
          <w:sz w:val="24"/>
          <w:szCs w:val="24"/>
        </w:rPr>
        <w:t xml:space="preserve"> </w:t>
      </w:r>
      <w:r w:rsidRPr="0093222D">
        <w:rPr>
          <w:sz w:val="24"/>
          <w:szCs w:val="24"/>
        </w:rPr>
        <w:t>et</w:t>
      </w:r>
      <w:r>
        <w:rPr>
          <w:sz w:val="24"/>
          <w:szCs w:val="24"/>
        </w:rPr>
        <w:t xml:space="preserve"> </w:t>
      </w:r>
      <w:r w:rsidRPr="0093222D">
        <w:rPr>
          <w:sz w:val="24"/>
          <w:szCs w:val="24"/>
        </w:rPr>
        <w:t>al., 2011).</w:t>
      </w:r>
      <w:r>
        <w:rPr>
          <w:sz w:val="24"/>
          <w:szCs w:val="24"/>
        </w:rPr>
        <w:t xml:space="preserve"> Η μεσογειακή διατροφή μειώνει τον κίνδυνο για εμφάνισης ΗΝΔ και </w:t>
      </w:r>
      <w:r>
        <w:rPr>
          <w:sz w:val="24"/>
          <w:szCs w:val="24"/>
          <w:lang w:val="en-US"/>
        </w:rPr>
        <w:t>AD</w:t>
      </w:r>
      <w:r w:rsidRPr="0093222D">
        <w:rPr>
          <w:sz w:val="24"/>
          <w:szCs w:val="24"/>
        </w:rPr>
        <w:t xml:space="preserve"> </w:t>
      </w:r>
      <w:r>
        <w:rPr>
          <w:sz w:val="23"/>
          <w:szCs w:val="23"/>
        </w:rPr>
        <w:t>(Scarmea</w:t>
      </w:r>
      <w:r>
        <w:rPr>
          <w:sz w:val="23"/>
          <w:szCs w:val="23"/>
          <w:lang w:val="en-US"/>
        </w:rPr>
        <w:t>s</w:t>
      </w:r>
      <w:r w:rsidRPr="0093222D">
        <w:rPr>
          <w:sz w:val="23"/>
          <w:szCs w:val="23"/>
        </w:rPr>
        <w:t xml:space="preserve"> </w:t>
      </w:r>
      <w:r>
        <w:rPr>
          <w:sz w:val="23"/>
          <w:szCs w:val="23"/>
        </w:rPr>
        <w:t>et</w:t>
      </w:r>
      <w:r w:rsidRPr="0093222D">
        <w:rPr>
          <w:sz w:val="23"/>
          <w:szCs w:val="23"/>
        </w:rPr>
        <w:t xml:space="preserve"> </w:t>
      </w:r>
      <w:r>
        <w:rPr>
          <w:sz w:val="23"/>
          <w:szCs w:val="23"/>
        </w:rPr>
        <w:t>al., 2006).</w:t>
      </w:r>
      <w:r w:rsidRPr="0093222D">
        <w:rPr>
          <w:sz w:val="23"/>
          <w:szCs w:val="23"/>
        </w:rPr>
        <w:t xml:space="preserve"> </w:t>
      </w:r>
      <w:r>
        <w:rPr>
          <w:sz w:val="23"/>
          <w:szCs w:val="23"/>
        </w:rPr>
        <w:t xml:space="preserve">Οι </w:t>
      </w:r>
      <w:r w:rsidRPr="0093222D">
        <w:rPr>
          <w:sz w:val="23"/>
          <w:szCs w:val="23"/>
        </w:rPr>
        <w:t>Ott</w:t>
      </w:r>
      <w:r>
        <w:rPr>
          <w:sz w:val="23"/>
          <w:szCs w:val="23"/>
        </w:rPr>
        <w:t xml:space="preserve"> και συν.</w:t>
      </w:r>
      <w:r w:rsidRPr="0093222D">
        <w:rPr>
          <w:sz w:val="23"/>
          <w:szCs w:val="23"/>
        </w:rPr>
        <w:t xml:space="preserve"> </w:t>
      </w:r>
      <w:r>
        <w:rPr>
          <w:sz w:val="23"/>
          <w:szCs w:val="23"/>
        </w:rPr>
        <w:t>(</w:t>
      </w:r>
      <w:r w:rsidRPr="0093222D">
        <w:rPr>
          <w:sz w:val="23"/>
          <w:szCs w:val="23"/>
        </w:rPr>
        <w:t>1998)</w:t>
      </w:r>
      <w:r>
        <w:rPr>
          <w:sz w:val="23"/>
          <w:szCs w:val="23"/>
        </w:rPr>
        <w:t xml:space="preserve"> υποστηρίζουν ότι το κάπνισμα προκαλεί σημαντικές βλάβες αλλά και η υπερβολική κατανάλωση αλκοόλ (Mukamal et al., 2003).</w:t>
      </w:r>
    </w:p>
    <w:p w:rsidR="00533E69" w:rsidRDefault="00D4730C" w:rsidP="00297119">
      <w:pPr>
        <w:rPr>
          <w:sz w:val="24"/>
          <w:szCs w:val="24"/>
        </w:rPr>
      </w:pPr>
      <w:r>
        <w:rPr>
          <w:sz w:val="24"/>
          <w:szCs w:val="24"/>
        </w:rPr>
        <w:t xml:space="preserve">Σε νοητικό επίπεδο η συνεχής εκπαίδευση, η ανάγνωση, η εκμάθηση νέων δεξιοτήτων φαίνεται να μειώνουν την γνωστική έκπτωση καθώς ενισχύουν τις γνωστικές εφεδρείες των ατόμων </w:t>
      </w:r>
      <w:r w:rsidRPr="00D4730C">
        <w:rPr>
          <w:sz w:val="24"/>
          <w:szCs w:val="24"/>
        </w:rPr>
        <w:t>(Wilson</w:t>
      </w:r>
      <w:r>
        <w:rPr>
          <w:sz w:val="24"/>
          <w:szCs w:val="24"/>
        </w:rPr>
        <w:t xml:space="preserve"> </w:t>
      </w:r>
      <w:r w:rsidRPr="00D4730C">
        <w:rPr>
          <w:sz w:val="24"/>
          <w:szCs w:val="24"/>
        </w:rPr>
        <w:t>et</w:t>
      </w:r>
      <w:r>
        <w:rPr>
          <w:sz w:val="24"/>
          <w:szCs w:val="24"/>
        </w:rPr>
        <w:t xml:space="preserve"> </w:t>
      </w:r>
      <w:r w:rsidRPr="00D4730C">
        <w:rPr>
          <w:sz w:val="24"/>
          <w:szCs w:val="24"/>
        </w:rPr>
        <w:t>al., 2002).</w:t>
      </w:r>
      <w:r>
        <w:rPr>
          <w:sz w:val="24"/>
          <w:szCs w:val="24"/>
        </w:rPr>
        <w:t xml:space="preserve"> Σύμφωνα με τους Kuiper και συν. (2015) η απομόνωση και η ελλιπής κοινωνική αλληλεπίδραση  αυξάνει την γνωστική επιδείνωση. </w:t>
      </w:r>
    </w:p>
    <w:p w:rsidR="00D4730C" w:rsidRDefault="00D4730C" w:rsidP="00297119">
      <w:pPr>
        <w:rPr>
          <w:sz w:val="24"/>
          <w:szCs w:val="24"/>
        </w:rPr>
      </w:pPr>
      <w:r>
        <w:rPr>
          <w:sz w:val="24"/>
          <w:szCs w:val="24"/>
        </w:rPr>
        <w:lastRenderedPageBreak/>
        <w:t xml:space="preserve">Η έγκαιρη διάγνωση της ΗΝΔ και της άνοιας διευκολύνουν την παρέμβαση. Η χρήση βιοδεικτών και οι απεικονιστικές μέθοδοι συμβάλλουν ως προς αυτή την κατεύθυνση </w:t>
      </w:r>
      <w:r>
        <w:rPr>
          <w:sz w:val="23"/>
          <w:szCs w:val="23"/>
        </w:rPr>
        <w:t>(</w:t>
      </w:r>
      <w:r w:rsidRPr="00D4730C">
        <w:rPr>
          <w:sz w:val="24"/>
          <w:szCs w:val="24"/>
        </w:rPr>
        <w:t>Jack et al., 2018).</w:t>
      </w:r>
    </w:p>
    <w:p w:rsidR="00D4730C" w:rsidRDefault="00D4730C" w:rsidP="00297119">
      <w:pPr>
        <w:rPr>
          <w:sz w:val="24"/>
          <w:szCs w:val="24"/>
        </w:rPr>
      </w:pPr>
      <w:r>
        <w:rPr>
          <w:sz w:val="24"/>
          <w:szCs w:val="24"/>
        </w:rPr>
        <w:t xml:space="preserve">Οι παραπάνω τροποποιήσιμοι παράγοντες έχουν μελετηθεί εκτενώς και φαίνεται να παίζουν σημαντικό ρόλο </w:t>
      </w:r>
      <w:r w:rsidR="002A1A6E">
        <w:rPr>
          <w:sz w:val="24"/>
          <w:szCs w:val="24"/>
        </w:rPr>
        <w:t>στην ανάπτυξη αλλά και στην εξέλιξη της γνωστικής έκπτωσης στα άτομα</w:t>
      </w:r>
      <w:r w:rsidR="006F3A1E">
        <w:rPr>
          <w:sz w:val="24"/>
          <w:szCs w:val="24"/>
        </w:rPr>
        <w:t xml:space="preserve"> όπως φαίνεται και στο </w:t>
      </w:r>
      <w:r w:rsidR="006F3A1E" w:rsidRPr="008A4149">
        <w:rPr>
          <w:i/>
          <w:sz w:val="24"/>
          <w:szCs w:val="24"/>
        </w:rPr>
        <w:t>σχήμα 9</w:t>
      </w:r>
      <w:r w:rsidR="002A1A6E">
        <w:rPr>
          <w:sz w:val="24"/>
          <w:szCs w:val="24"/>
        </w:rPr>
        <w:t xml:space="preserve">. </w:t>
      </w:r>
    </w:p>
    <w:p w:rsidR="00F44ADD" w:rsidRDefault="006F3A1E" w:rsidP="00297119">
      <w:pPr>
        <w:rPr>
          <w:b/>
          <w:sz w:val="28"/>
          <w:szCs w:val="28"/>
        </w:rPr>
      </w:pPr>
      <w:r>
        <w:rPr>
          <w:b/>
          <w:noProof/>
          <w:sz w:val="28"/>
          <w:szCs w:val="28"/>
          <w:lang w:eastAsia="el-GR"/>
        </w:rPr>
        <w:drawing>
          <wp:inline distT="0" distB="0" distL="0" distR="0">
            <wp:extent cx="5608320" cy="3154680"/>
            <wp:effectExtent l="0" t="0" r="0" b="762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lum bright="-20000" contrast="20000"/>
                      <a:extLst>
                        <a:ext uri="{28A0092B-C50C-407E-A947-70E740481C1C}">
                          <a14:useLocalDpi xmlns:a14="http://schemas.microsoft.com/office/drawing/2010/main" val="0"/>
                        </a:ext>
                      </a:extLst>
                    </a:blip>
                    <a:srcRect/>
                    <a:stretch>
                      <a:fillRect/>
                    </a:stretch>
                  </pic:blipFill>
                  <pic:spPr bwMode="auto">
                    <a:xfrm>
                      <a:off x="0" y="0"/>
                      <a:ext cx="5615426" cy="3158677"/>
                    </a:xfrm>
                    <a:prstGeom prst="rect">
                      <a:avLst/>
                    </a:prstGeom>
                    <a:noFill/>
                    <a:ln>
                      <a:noFill/>
                    </a:ln>
                  </pic:spPr>
                </pic:pic>
              </a:graphicData>
            </a:graphic>
          </wp:inline>
        </w:drawing>
      </w:r>
    </w:p>
    <w:p w:rsidR="008A4149" w:rsidRDefault="008A4149" w:rsidP="00297119">
      <w:pPr>
        <w:rPr>
          <w:b/>
          <w:sz w:val="28"/>
          <w:szCs w:val="28"/>
        </w:rPr>
      </w:pPr>
    </w:p>
    <w:p w:rsidR="008A4149" w:rsidRPr="008A4149" w:rsidRDefault="008A4149" w:rsidP="008A4149">
      <w:pPr>
        <w:jc w:val="center"/>
        <w:rPr>
          <w:sz w:val="20"/>
          <w:szCs w:val="20"/>
        </w:rPr>
      </w:pPr>
      <w:r w:rsidRPr="008A4149">
        <w:rPr>
          <w:i/>
          <w:sz w:val="20"/>
          <w:szCs w:val="20"/>
        </w:rPr>
        <w:t>Σχήμα 9</w:t>
      </w:r>
      <w:r w:rsidRPr="008A4149">
        <w:rPr>
          <w:sz w:val="20"/>
          <w:szCs w:val="20"/>
        </w:rPr>
        <w:t xml:space="preserve">: </w:t>
      </w:r>
      <w:r>
        <w:rPr>
          <w:sz w:val="20"/>
          <w:szCs w:val="20"/>
        </w:rPr>
        <w:t>Παράγοντες που συμβάλλουν στην γνωστική έκπτωση.</w:t>
      </w:r>
    </w:p>
    <w:p w:rsidR="008A4149" w:rsidRPr="008A4149" w:rsidRDefault="008A4149" w:rsidP="008A4149">
      <w:pPr>
        <w:jc w:val="center"/>
        <w:rPr>
          <w:b/>
          <w:sz w:val="20"/>
          <w:szCs w:val="20"/>
          <w:lang w:val="en-US"/>
        </w:rPr>
      </w:pPr>
      <w:r w:rsidRPr="008A4149">
        <w:rPr>
          <w:b/>
          <w:sz w:val="20"/>
          <w:szCs w:val="20"/>
        </w:rPr>
        <w:t>Πηγή</w:t>
      </w:r>
      <w:r w:rsidRPr="008A4149">
        <w:rPr>
          <w:b/>
          <w:sz w:val="20"/>
          <w:szCs w:val="20"/>
          <w:lang w:val="en-US"/>
        </w:rPr>
        <w:t>: Nader et al., Nat Aging 2023</w:t>
      </w:r>
    </w:p>
    <w:p w:rsidR="00241904" w:rsidRDefault="00F135E5" w:rsidP="00297119">
      <w:pPr>
        <w:rPr>
          <w:b/>
          <w:sz w:val="28"/>
          <w:szCs w:val="28"/>
        </w:rPr>
      </w:pPr>
      <w:r>
        <w:rPr>
          <w:b/>
          <w:sz w:val="28"/>
          <w:szCs w:val="28"/>
        </w:rPr>
        <w:t>3.2 Άνοια και Ε</w:t>
      </w:r>
      <w:r w:rsidR="00241904">
        <w:rPr>
          <w:b/>
          <w:sz w:val="28"/>
          <w:szCs w:val="28"/>
        </w:rPr>
        <w:t>υπάθεια</w:t>
      </w:r>
    </w:p>
    <w:p w:rsidR="00241904" w:rsidRDefault="0088112A" w:rsidP="00297119">
      <w:pPr>
        <w:rPr>
          <w:sz w:val="24"/>
          <w:szCs w:val="24"/>
        </w:rPr>
      </w:pPr>
      <w:r>
        <w:rPr>
          <w:sz w:val="24"/>
          <w:szCs w:val="24"/>
        </w:rPr>
        <w:t xml:space="preserve">Το σύνδρομο της ευπάθειας είναι πολυδιάστατο και επηρεάζει πολλαπλά συστήματα όπως το σωματικό, το γνωστικό και το ψυχοκοινωνικό. Ο φαινότυπος αυτός φαίνεται να επηρεάζει την εμφάνιση της </w:t>
      </w:r>
      <w:r>
        <w:rPr>
          <w:sz w:val="24"/>
          <w:szCs w:val="24"/>
          <w:lang w:val="en-US"/>
        </w:rPr>
        <w:t>AD</w:t>
      </w:r>
      <w:r w:rsidRPr="0088112A">
        <w:rPr>
          <w:sz w:val="24"/>
          <w:szCs w:val="24"/>
        </w:rPr>
        <w:t xml:space="preserve"> </w:t>
      </w:r>
      <w:r>
        <w:rPr>
          <w:sz w:val="24"/>
          <w:szCs w:val="24"/>
        </w:rPr>
        <w:t xml:space="preserve">και άλλων τύπων ανοιών </w:t>
      </w:r>
      <w:r w:rsidRPr="0088112A">
        <w:rPr>
          <w:sz w:val="24"/>
          <w:szCs w:val="24"/>
        </w:rPr>
        <w:t>(</w:t>
      </w:r>
      <w:r>
        <w:rPr>
          <w:sz w:val="24"/>
          <w:szCs w:val="24"/>
          <w:lang w:val="en-US"/>
        </w:rPr>
        <w:t>Panza</w:t>
      </w:r>
      <w:r w:rsidRPr="0088112A">
        <w:rPr>
          <w:sz w:val="24"/>
          <w:szCs w:val="24"/>
        </w:rPr>
        <w:t xml:space="preserve"> </w:t>
      </w:r>
      <w:r>
        <w:rPr>
          <w:sz w:val="24"/>
          <w:szCs w:val="24"/>
          <w:lang w:val="en-US"/>
        </w:rPr>
        <w:t>et</w:t>
      </w:r>
      <w:r w:rsidRPr="0088112A">
        <w:rPr>
          <w:sz w:val="24"/>
          <w:szCs w:val="24"/>
        </w:rPr>
        <w:t xml:space="preserve"> </w:t>
      </w:r>
      <w:r>
        <w:rPr>
          <w:sz w:val="24"/>
          <w:szCs w:val="24"/>
          <w:lang w:val="en-US"/>
        </w:rPr>
        <w:t>al</w:t>
      </w:r>
      <w:r w:rsidRPr="0088112A">
        <w:rPr>
          <w:sz w:val="24"/>
          <w:szCs w:val="24"/>
        </w:rPr>
        <w:t>., 2018)</w:t>
      </w:r>
      <w:r>
        <w:rPr>
          <w:sz w:val="24"/>
          <w:szCs w:val="24"/>
        </w:rPr>
        <w:t xml:space="preserve">. </w:t>
      </w:r>
      <w:r w:rsidR="00385580">
        <w:rPr>
          <w:sz w:val="24"/>
          <w:szCs w:val="24"/>
        </w:rPr>
        <w:t xml:space="preserve">Η τροποποίηση του φαινοτύπου αυτού ης ευπάθειας  ίσως αποτελεί σημαντικό παράγοντα πρόληψης της άνοιας σε επίπεδο είτε ήπιας γνωστικής έκπτωσης είτε σε πρώιμα στάδια της νόσου. </w:t>
      </w:r>
    </w:p>
    <w:p w:rsidR="00254C2F" w:rsidRDefault="00254C2F" w:rsidP="00297119">
      <w:pPr>
        <w:rPr>
          <w:sz w:val="24"/>
          <w:szCs w:val="24"/>
        </w:rPr>
      </w:pPr>
      <w:r>
        <w:rPr>
          <w:sz w:val="24"/>
          <w:szCs w:val="24"/>
        </w:rPr>
        <w:t xml:space="preserve">Η </w:t>
      </w:r>
      <w:r>
        <w:rPr>
          <w:sz w:val="24"/>
          <w:szCs w:val="24"/>
          <w:lang w:val="en-US"/>
        </w:rPr>
        <w:t>Wallace</w:t>
      </w:r>
      <w:r w:rsidRPr="00254C2F">
        <w:rPr>
          <w:sz w:val="24"/>
          <w:szCs w:val="24"/>
        </w:rPr>
        <w:t xml:space="preserve"> </w:t>
      </w:r>
      <w:r>
        <w:rPr>
          <w:sz w:val="24"/>
          <w:szCs w:val="24"/>
        </w:rPr>
        <w:t xml:space="preserve">και συν. (2018) βρήκαν σημαντική αλληλεπίδραση μεταξύ ευπάθειας και άνοιας </w:t>
      </w:r>
      <w:r w:rsidRPr="00254C2F">
        <w:rPr>
          <w:sz w:val="24"/>
          <w:szCs w:val="24"/>
        </w:rPr>
        <w:t>(odds ratio 0∙</w:t>
      </w:r>
      <w:r>
        <w:rPr>
          <w:sz w:val="24"/>
          <w:szCs w:val="24"/>
        </w:rPr>
        <w:t xml:space="preserve">73, 95% CI 0∙57–0∙94; p=0∙015) σε δείγμα 456 ατόμων σε συγχρονική μελέτη ακόμη κι όταν </w:t>
      </w:r>
      <w:r w:rsidR="00D45531">
        <w:rPr>
          <w:sz w:val="24"/>
          <w:szCs w:val="24"/>
        </w:rPr>
        <w:t>δεν υπολογίστηκαν παράμετροι όπως η λειτουργικότητα των συμμετεχόντων και οι παθολογικοί παράγοντες (π.χ. ΑΕΕ, υπέρταση, κατάθλιψη)</w:t>
      </w:r>
      <w:r>
        <w:rPr>
          <w:sz w:val="24"/>
          <w:szCs w:val="24"/>
        </w:rPr>
        <w:t xml:space="preserve">. </w:t>
      </w:r>
    </w:p>
    <w:p w:rsidR="00241904" w:rsidRPr="003368F1" w:rsidRDefault="006C551B" w:rsidP="00297119">
      <w:pPr>
        <w:rPr>
          <w:b/>
          <w:sz w:val="28"/>
          <w:szCs w:val="28"/>
        </w:rPr>
      </w:pPr>
      <w:r>
        <w:rPr>
          <w:sz w:val="24"/>
          <w:szCs w:val="24"/>
        </w:rPr>
        <w:lastRenderedPageBreak/>
        <w:t>Η ευπάθεια θεωρείται πρωτοπαθής</w:t>
      </w:r>
      <w:r w:rsidR="008B68B7">
        <w:rPr>
          <w:sz w:val="24"/>
          <w:szCs w:val="24"/>
        </w:rPr>
        <w:t>(</w:t>
      </w:r>
      <w:r w:rsidR="008B68B7">
        <w:rPr>
          <w:sz w:val="24"/>
          <w:szCs w:val="24"/>
          <w:lang w:val="en-US"/>
        </w:rPr>
        <w:t>primary</w:t>
      </w:r>
      <w:r w:rsidR="008B68B7">
        <w:rPr>
          <w:sz w:val="24"/>
          <w:szCs w:val="24"/>
        </w:rPr>
        <w:t>)</w:t>
      </w:r>
      <w:r>
        <w:rPr>
          <w:sz w:val="24"/>
          <w:szCs w:val="24"/>
        </w:rPr>
        <w:t xml:space="preserve"> όταν δεν συνδέεται άμεσα με κάποια ασθένεια ή αναπηρία και δευτεροπαθής</w:t>
      </w:r>
      <w:r w:rsidR="008B68B7" w:rsidRPr="008B68B7">
        <w:rPr>
          <w:sz w:val="24"/>
          <w:szCs w:val="24"/>
        </w:rPr>
        <w:t>(</w:t>
      </w:r>
      <w:r w:rsidR="008B68B7">
        <w:rPr>
          <w:sz w:val="24"/>
          <w:szCs w:val="24"/>
          <w:lang w:val="en-US"/>
        </w:rPr>
        <w:t>secondary</w:t>
      </w:r>
      <w:r w:rsidR="008B68B7" w:rsidRPr="008B68B7">
        <w:rPr>
          <w:sz w:val="24"/>
          <w:szCs w:val="24"/>
        </w:rPr>
        <w:t>/</w:t>
      </w:r>
      <w:r w:rsidR="008B68B7">
        <w:rPr>
          <w:sz w:val="24"/>
          <w:szCs w:val="24"/>
          <w:lang w:val="en-US"/>
        </w:rPr>
        <w:t>clinical</w:t>
      </w:r>
      <w:r w:rsidR="008B68B7" w:rsidRPr="008B68B7">
        <w:rPr>
          <w:sz w:val="24"/>
          <w:szCs w:val="24"/>
        </w:rPr>
        <w:t>)</w:t>
      </w:r>
      <w:r w:rsidR="008B68B7">
        <w:rPr>
          <w:sz w:val="24"/>
          <w:szCs w:val="24"/>
        </w:rPr>
        <w:t xml:space="preserve">όταν προκύπτει από καταστάσεις όπως καρδιαγγειακές παθήσεις, κατάθλιψη, αναπηρία κ.ά. </w:t>
      </w:r>
      <w:r w:rsidR="00AE21DE">
        <w:rPr>
          <w:sz w:val="24"/>
          <w:szCs w:val="24"/>
        </w:rPr>
        <w:t>(</w:t>
      </w:r>
      <w:r w:rsidR="00AE21DE">
        <w:rPr>
          <w:sz w:val="24"/>
          <w:szCs w:val="24"/>
          <w:lang w:val="en-US"/>
        </w:rPr>
        <w:t>Lazupone</w:t>
      </w:r>
      <w:r w:rsidR="00AE21DE" w:rsidRPr="00AE21DE">
        <w:rPr>
          <w:sz w:val="24"/>
          <w:szCs w:val="24"/>
        </w:rPr>
        <w:t xml:space="preserve"> </w:t>
      </w:r>
      <w:r w:rsidR="00AE21DE">
        <w:rPr>
          <w:sz w:val="24"/>
          <w:szCs w:val="24"/>
          <w:lang w:val="en-US"/>
        </w:rPr>
        <w:t>et</w:t>
      </w:r>
      <w:r w:rsidR="00AE21DE" w:rsidRPr="00AE21DE">
        <w:rPr>
          <w:sz w:val="24"/>
          <w:szCs w:val="24"/>
        </w:rPr>
        <w:t xml:space="preserve"> </w:t>
      </w:r>
      <w:r w:rsidR="00AE21DE">
        <w:rPr>
          <w:sz w:val="24"/>
          <w:szCs w:val="24"/>
          <w:lang w:val="en-US"/>
        </w:rPr>
        <w:t>al</w:t>
      </w:r>
      <w:r w:rsidR="00AE21DE" w:rsidRPr="00AE21DE">
        <w:rPr>
          <w:sz w:val="24"/>
          <w:szCs w:val="24"/>
        </w:rPr>
        <w:t>., 2018)</w:t>
      </w:r>
      <w:r w:rsidR="003368F1" w:rsidRPr="003368F1">
        <w:rPr>
          <w:sz w:val="24"/>
          <w:szCs w:val="24"/>
        </w:rPr>
        <w:t xml:space="preserve">. </w:t>
      </w:r>
      <w:r w:rsidR="003368F1">
        <w:rPr>
          <w:sz w:val="24"/>
          <w:szCs w:val="24"/>
        </w:rPr>
        <w:t xml:space="preserve">Ο διαχωρισμός αυτός είναι σημαντικός καθώς η ανίχνευση της ευπάθειας και η τροποποίηση των παραγόντων που την προκαλούν </w:t>
      </w:r>
      <w:r w:rsidR="00F30452">
        <w:rPr>
          <w:sz w:val="24"/>
          <w:szCs w:val="24"/>
        </w:rPr>
        <w:t xml:space="preserve">μπορεί να μειώσει την εμφάνιση και της εξέλιξη της ΗΝΔ και των ανοιών. </w:t>
      </w:r>
    </w:p>
    <w:p w:rsidR="00677715" w:rsidRPr="004128EC" w:rsidRDefault="00677715" w:rsidP="00677715">
      <w:pPr>
        <w:tabs>
          <w:tab w:val="left" w:pos="1596"/>
        </w:tabs>
        <w:rPr>
          <w:sz w:val="24"/>
          <w:szCs w:val="24"/>
        </w:rPr>
      </w:pPr>
      <w:r>
        <w:rPr>
          <w:sz w:val="24"/>
          <w:szCs w:val="24"/>
        </w:rPr>
        <w:t>Σε αναφορές του 2020, η σωματική ευπάθεια αναφέρεται ως ένας από τους 12 τροποποιήσιμους παράγοντες για την εμφάνιση ή την καθυστέρηση της άνοιας</w:t>
      </w:r>
      <w:r w:rsidR="003E1B14">
        <w:rPr>
          <w:sz w:val="24"/>
          <w:szCs w:val="24"/>
        </w:rPr>
        <w:t xml:space="preserve"> (Livingston G</w:t>
      </w:r>
      <w:r w:rsidR="003E1B14" w:rsidRPr="003E1B14">
        <w:rPr>
          <w:sz w:val="24"/>
          <w:szCs w:val="24"/>
        </w:rPr>
        <w:t xml:space="preserve">. </w:t>
      </w:r>
      <w:proofErr w:type="gramStart"/>
      <w:r w:rsidR="003E1B14">
        <w:rPr>
          <w:sz w:val="24"/>
          <w:szCs w:val="24"/>
          <w:lang w:val="en-US"/>
        </w:rPr>
        <w:t>et</w:t>
      </w:r>
      <w:proofErr w:type="gramEnd"/>
      <w:r w:rsidR="003E1B14" w:rsidRPr="003E1B14">
        <w:rPr>
          <w:sz w:val="24"/>
          <w:szCs w:val="24"/>
        </w:rPr>
        <w:t xml:space="preserve"> </w:t>
      </w:r>
      <w:r w:rsidR="003E1B14">
        <w:rPr>
          <w:sz w:val="24"/>
          <w:szCs w:val="24"/>
          <w:lang w:val="en-US"/>
        </w:rPr>
        <w:t>al</w:t>
      </w:r>
      <w:r w:rsidR="003E1B14" w:rsidRPr="003E1B14">
        <w:rPr>
          <w:sz w:val="24"/>
          <w:szCs w:val="24"/>
        </w:rPr>
        <w:t>., 2020)</w:t>
      </w:r>
      <w:r>
        <w:rPr>
          <w:sz w:val="24"/>
          <w:szCs w:val="24"/>
        </w:rPr>
        <w:t>. Η σωματική ευπάθεια (</w:t>
      </w:r>
      <w:r>
        <w:rPr>
          <w:sz w:val="24"/>
          <w:szCs w:val="24"/>
          <w:lang w:val="en-US"/>
        </w:rPr>
        <w:t>physical</w:t>
      </w:r>
      <w:r w:rsidRPr="00677715">
        <w:rPr>
          <w:sz w:val="24"/>
          <w:szCs w:val="24"/>
        </w:rPr>
        <w:t xml:space="preserve"> </w:t>
      </w:r>
      <w:r>
        <w:rPr>
          <w:sz w:val="24"/>
          <w:szCs w:val="24"/>
          <w:lang w:val="en-US"/>
        </w:rPr>
        <w:t>frailty</w:t>
      </w:r>
      <w:r>
        <w:rPr>
          <w:sz w:val="24"/>
          <w:szCs w:val="24"/>
        </w:rPr>
        <w:t>)αποτελεί παράγοντα κινδύνου για την εμφάνιση ΗΝΔ και άνοιας</w:t>
      </w:r>
      <w:r w:rsidR="003E1B14" w:rsidRPr="003E1B14">
        <w:rPr>
          <w:sz w:val="24"/>
          <w:szCs w:val="24"/>
        </w:rPr>
        <w:t xml:space="preserve"> (Buchman AS </w:t>
      </w:r>
      <w:r w:rsidR="003E1B14">
        <w:rPr>
          <w:sz w:val="24"/>
          <w:szCs w:val="24"/>
          <w:lang w:val="en-US"/>
        </w:rPr>
        <w:t>et</w:t>
      </w:r>
      <w:r w:rsidR="003E1B14" w:rsidRPr="003E1B14">
        <w:rPr>
          <w:sz w:val="24"/>
          <w:szCs w:val="24"/>
        </w:rPr>
        <w:t xml:space="preserve"> </w:t>
      </w:r>
      <w:r w:rsidR="003E1B14">
        <w:rPr>
          <w:sz w:val="24"/>
          <w:szCs w:val="24"/>
          <w:lang w:val="en-US"/>
        </w:rPr>
        <w:t>al</w:t>
      </w:r>
      <w:r w:rsidR="003E1B14" w:rsidRPr="003E1B14">
        <w:rPr>
          <w:sz w:val="24"/>
          <w:szCs w:val="24"/>
        </w:rPr>
        <w:t>., 2008)</w:t>
      </w:r>
      <w:r w:rsidR="004128EC" w:rsidRPr="004128EC">
        <w:rPr>
          <w:sz w:val="24"/>
          <w:szCs w:val="24"/>
        </w:rPr>
        <w:t xml:space="preserve"> </w:t>
      </w:r>
      <w:r w:rsidR="004128EC">
        <w:rPr>
          <w:sz w:val="24"/>
          <w:szCs w:val="24"/>
        </w:rPr>
        <w:t>καθώς οι καταστάσεις αυτές μοιράζονται κοινούς παράγοντες κινδύνου και κοινά κλινικά χαρακτηριστικά όπως η ηλικία, η χρόνια φλεγμονή, η έκπτωση της λειτουργικότητας και οι συννοσηρότητες</w:t>
      </w:r>
      <w:r w:rsidR="004128EC" w:rsidRPr="004128EC">
        <w:rPr>
          <w:sz w:val="24"/>
          <w:szCs w:val="24"/>
        </w:rPr>
        <w:t xml:space="preserve">. </w:t>
      </w:r>
    </w:p>
    <w:p w:rsidR="00241904" w:rsidRPr="007B4A4C" w:rsidRDefault="006B59E4" w:rsidP="00297119">
      <w:pPr>
        <w:rPr>
          <w:sz w:val="24"/>
          <w:szCs w:val="24"/>
        </w:rPr>
      </w:pPr>
      <w:r>
        <w:rPr>
          <w:sz w:val="24"/>
          <w:szCs w:val="24"/>
        </w:rPr>
        <w:t>Η γνωστική ευπάθεια</w:t>
      </w:r>
      <w:r w:rsidR="007B4A4C" w:rsidRPr="007B4A4C">
        <w:rPr>
          <w:sz w:val="24"/>
          <w:szCs w:val="24"/>
        </w:rPr>
        <w:t xml:space="preserve"> </w:t>
      </w:r>
      <w:r>
        <w:rPr>
          <w:sz w:val="24"/>
          <w:szCs w:val="24"/>
        </w:rPr>
        <w:t>(</w:t>
      </w:r>
      <w:r>
        <w:rPr>
          <w:sz w:val="24"/>
          <w:szCs w:val="24"/>
          <w:lang w:val="en-US"/>
        </w:rPr>
        <w:t>cognitive</w:t>
      </w:r>
      <w:r w:rsidRPr="006B59E4">
        <w:rPr>
          <w:sz w:val="24"/>
          <w:szCs w:val="24"/>
        </w:rPr>
        <w:t xml:space="preserve"> </w:t>
      </w:r>
      <w:r>
        <w:rPr>
          <w:sz w:val="24"/>
          <w:szCs w:val="24"/>
          <w:lang w:val="en-US"/>
        </w:rPr>
        <w:t>frailty</w:t>
      </w:r>
      <w:r>
        <w:rPr>
          <w:sz w:val="24"/>
          <w:szCs w:val="24"/>
        </w:rPr>
        <w:t>)</w:t>
      </w:r>
      <w:r w:rsidRPr="006B59E4">
        <w:rPr>
          <w:sz w:val="24"/>
          <w:szCs w:val="24"/>
        </w:rPr>
        <w:t xml:space="preserve"> </w:t>
      </w:r>
      <w:r w:rsidR="007B4A4C">
        <w:rPr>
          <w:sz w:val="24"/>
          <w:szCs w:val="24"/>
        </w:rPr>
        <w:t>αναφέρεται στην ύπαρξη ταυτόχρονα σωματικής ευπάθειας και ΗΝΔ (</w:t>
      </w:r>
      <w:r w:rsidR="007B4A4C">
        <w:rPr>
          <w:sz w:val="24"/>
          <w:szCs w:val="24"/>
          <w:lang w:val="en-US"/>
        </w:rPr>
        <w:t>Panza</w:t>
      </w:r>
      <w:r w:rsidR="007B4A4C" w:rsidRPr="0088112A">
        <w:rPr>
          <w:sz w:val="24"/>
          <w:szCs w:val="24"/>
        </w:rPr>
        <w:t xml:space="preserve"> </w:t>
      </w:r>
      <w:r w:rsidR="007B4A4C">
        <w:rPr>
          <w:sz w:val="24"/>
          <w:szCs w:val="24"/>
          <w:lang w:val="en-US"/>
        </w:rPr>
        <w:t>et</w:t>
      </w:r>
      <w:r w:rsidR="007B4A4C" w:rsidRPr="0088112A">
        <w:rPr>
          <w:sz w:val="24"/>
          <w:szCs w:val="24"/>
        </w:rPr>
        <w:t xml:space="preserve"> </w:t>
      </w:r>
      <w:r w:rsidR="007B4A4C">
        <w:rPr>
          <w:sz w:val="24"/>
          <w:szCs w:val="24"/>
          <w:lang w:val="en-US"/>
        </w:rPr>
        <w:t>al</w:t>
      </w:r>
      <w:r w:rsidR="007B4A4C">
        <w:rPr>
          <w:sz w:val="24"/>
          <w:szCs w:val="24"/>
        </w:rPr>
        <w:t xml:space="preserve">., 2018). Σε μελέτη των </w:t>
      </w:r>
      <w:r w:rsidR="007B4A4C">
        <w:rPr>
          <w:sz w:val="24"/>
          <w:szCs w:val="24"/>
          <w:lang w:val="en-US"/>
        </w:rPr>
        <w:t>Solfrizzi</w:t>
      </w:r>
      <w:r w:rsidR="007B4A4C" w:rsidRPr="007B4A4C">
        <w:rPr>
          <w:sz w:val="24"/>
          <w:szCs w:val="24"/>
        </w:rPr>
        <w:t xml:space="preserve"> </w:t>
      </w:r>
      <w:r w:rsidR="007B4A4C">
        <w:rPr>
          <w:sz w:val="24"/>
          <w:szCs w:val="24"/>
        </w:rPr>
        <w:t>και συν. (2017)φάνηκε ότι τα άτομα που είχαν γνωστική ευπάθεια και συγχρόνως καρδιαγγειακούς παράγοντες και καταθλιπτικά συμπτώματα είχαν αυξημένο κίνδυνο εμφάνισης άνοιας και αυξημένη θνησιμότητα</w:t>
      </w:r>
      <w:r w:rsidR="00F461C8" w:rsidRPr="00F461C8">
        <w:rPr>
          <w:sz w:val="24"/>
          <w:szCs w:val="24"/>
        </w:rPr>
        <w:t xml:space="preserve"> (</w:t>
      </w:r>
      <w:r w:rsidR="00F461C8" w:rsidRPr="00F461C8">
        <w:rPr>
          <w:i/>
          <w:sz w:val="24"/>
          <w:szCs w:val="24"/>
        </w:rPr>
        <w:t xml:space="preserve">Σχήμα </w:t>
      </w:r>
      <w:r w:rsidR="006F3A1E">
        <w:rPr>
          <w:i/>
          <w:sz w:val="24"/>
          <w:szCs w:val="24"/>
        </w:rPr>
        <w:t>10</w:t>
      </w:r>
      <w:r w:rsidR="00F461C8" w:rsidRPr="00F461C8">
        <w:rPr>
          <w:sz w:val="24"/>
          <w:szCs w:val="24"/>
        </w:rPr>
        <w:t>)</w:t>
      </w:r>
      <w:r w:rsidR="007B4A4C">
        <w:rPr>
          <w:sz w:val="24"/>
          <w:szCs w:val="24"/>
        </w:rPr>
        <w:t xml:space="preserve">. </w:t>
      </w:r>
    </w:p>
    <w:p w:rsidR="00B27885" w:rsidRPr="00695E13" w:rsidRDefault="003346A1" w:rsidP="00297119">
      <w:pPr>
        <w:rPr>
          <w:sz w:val="24"/>
          <w:szCs w:val="24"/>
        </w:rPr>
      </w:pPr>
      <w:r>
        <w:rPr>
          <w:sz w:val="24"/>
          <w:szCs w:val="24"/>
        </w:rPr>
        <w:t xml:space="preserve">Οι παρεμβάσεις που αφορούν την ευπάθεια φαίνεται να είναι πιο </w:t>
      </w:r>
      <w:r w:rsidR="00D317B9">
        <w:rPr>
          <w:sz w:val="24"/>
          <w:szCs w:val="24"/>
        </w:rPr>
        <w:t xml:space="preserve">αποτελεσματικές όταν στοχεύουν </w:t>
      </w:r>
      <w:r w:rsidR="009C540A">
        <w:rPr>
          <w:sz w:val="24"/>
          <w:szCs w:val="24"/>
        </w:rPr>
        <w:t xml:space="preserve">σε </w:t>
      </w:r>
      <w:r w:rsidR="00D317B9">
        <w:rPr>
          <w:sz w:val="24"/>
          <w:szCs w:val="24"/>
        </w:rPr>
        <w:t xml:space="preserve">περισσότερους από έναν τομείς. Κομβικό ρόλο στις παρεμβάσεις αυτές φαίνεται να παίζει η σωματική άσκηση. </w:t>
      </w:r>
      <w:r w:rsidR="009C540A">
        <w:rPr>
          <w:sz w:val="24"/>
          <w:szCs w:val="24"/>
        </w:rPr>
        <w:t xml:space="preserve">Σε μελέτη των </w:t>
      </w:r>
      <w:r w:rsidR="009C540A">
        <w:rPr>
          <w:sz w:val="24"/>
          <w:szCs w:val="24"/>
          <w:lang w:val="en-US"/>
        </w:rPr>
        <w:t>Andrieu</w:t>
      </w:r>
      <w:r w:rsidR="009C540A" w:rsidRPr="009C540A">
        <w:rPr>
          <w:sz w:val="24"/>
          <w:szCs w:val="24"/>
        </w:rPr>
        <w:t xml:space="preserve"> </w:t>
      </w:r>
      <w:r w:rsidR="009C540A">
        <w:rPr>
          <w:sz w:val="24"/>
          <w:szCs w:val="24"/>
        </w:rPr>
        <w:t xml:space="preserve">και συν. (2017) φάνηκε ότι η αλλαγή του τρόπου ζωής σε πολλαπλούς τομείς σε ευπαθή άτομα άνω των 70 ετών με ΗΝΔ επιβραδύνει την γνωστική έκπτωση. Οι </w:t>
      </w:r>
      <w:r w:rsidR="002703AF">
        <w:rPr>
          <w:sz w:val="24"/>
          <w:szCs w:val="24"/>
          <w:lang w:val="en-US"/>
        </w:rPr>
        <w:t>Liu</w:t>
      </w:r>
      <w:r w:rsidR="002703AF" w:rsidRPr="002703AF">
        <w:rPr>
          <w:sz w:val="24"/>
          <w:szCs w:val="24"/>
        </w:rPr>
        <w:t xml:space="preserve"> </w:t>
      </w:r>
      <w:r w:rsidR="002703AF">
        <w:rPr>
          <w:sz w:val="24"/>
          <w:szCs w:val="24"/>
        </w:rPr>
        <w:t>και συν. (2018) βρήκαν ότι άτομα μεταξύ 70-89 ετών που συμμετείχαν σε πρόγραμμα φυσικής άσκησης διάρκειας 24 μηνών</w:t>
      </w:r>
      <w:r w:rsidR="00D05D6E">
        <w:rPr>
          <w:sz w:val="24"/>
          <w:szCs w:val="24"/>
        </w:rPr>
        <w:t xml:space="preserve"> μείωσαν την γνωστική τους ευπάθεια σε σχέση με άτομα που ακολουθούσαν καθιστική ζωή. Ωστόσο, σε άτομα μεγάλης ηλικίας με αυξημένα επίπεδα φλεγμονής </w:t>
      </w:r>
      <w:r w:rsidR="00D05D6E" w:rsidRPr="00D05D6E">
        <w:rPr>
          <w:sz w:val="24"/>
          <w:szCs w:val="24"/>
        </w:rPr>
        <w:t>(ινωδογόνο &gt;339 mg/dL)</w:t>
      </w:r>
      <w:r w:rsidR="00D05D6E">
        <w:rPr>
          <w:sz w:val="24"/>
          <w:szCs w:val="24"/>
        </w:rPr>
        <w:t>, η γνωστική ευπάθεια αποτέλεσε σημαντικό παράγοντα αναπηρίας σε σύγκριση με την σωματική ευπάθεια ή την ΗΝΔ (</w:t>
      </w:r>
      <w:r w:rsidR="00D05D6E">
        <w:rPr>
          <w:sz w:val="24"/>
          <w:szCs w:val="24"/>
          <w:lang w:val="en-US"/>
        </w:rPr>
        <w:t>Solfrizzi</w:t>
      </w:r>
      <w:r w:rsidR="00D05D6E" w:rsidRPr="00D05D6E">
        <w:rPr>
          <w:sz w:val="24"/>
          <w:szCs w:val="24"/>
        </w:rPr>
        <w:t xml:space="preserve"> </w:t>
      </w:r>
      <w:r w:rsidR="00D05D6E">
        <w:rPr>
          <w:sz w:val="24"/>
          <w:szCs w:val="24"/>
          <w:lang w:val="en-US"/>
        </w:rPr>
        <w:t>et</w:t>
      </w:r>
      <w:r w:rsidR="00D05D6E" w:rsidRPr="00D05D6E">
        <w:rPr>
          <w:sz w:val="24"/>
          <w:szCs w:val="24"/>
        </w:rPr>
        <w:t xml:space="preserve"> </w:t>
      </w:r>
      <w:r w:rsidR="00D05D6E">
        <w:rPr>
          <w:sz w:val="24"/>
          <w:szCs w:val="24"/>
          <w:lang w:val="en-US"/>
        </w:rPr>
        <w:t>al</w:t>
      </w:r>
      <w:r w:rsidR="00D05D6E" w:rsidRPr="00D05D6E">
        <w:rPr>
          <w:sz w:val="24"/>
          <w:szCs w:val="24"/>
        </w:rPr>
        <w:t>., 2017</w:t>
      </w:r>
      <w:r w:rsidR="00D05D6E">
        <w:rPr>
          <w:sz w:val="24"/>
          <w:szCs w:val="24"/>
        </w:rPr>
        <w:t xml:space="preserve">). </w:t>
      </w:r>
    </w:p>
    <w:p w:rsidR="000533A1" w:rsidRPr="000533A1" w:rsidRDefault="000533A1" w:rsidP="00297119">
      <w:pPr>
        <w:rPr>
          <w:sz w:val="24"/>
          <w:szCs w:val="24"/>
        </w:rPr>
      </w:pPr>
      <w:r>
        <w:rPr>
          <w:sz w:val="24"/>
          <w:szCs w:val="24"/>
        </w:rPr>
        <w:t>Είναι σημαντικό η ανάπτυξη ή μη νευρογνωστικών διαταραχών στα άτομα μεγάλης ηλικίας να μελετάται όχι μόνο από την βιολογική πλευρά αλλά με την χρήση βιοψυχοκοινωνικών μοντέλων</w:t>
      </w:r>
      <w:r w:rsidR="00434BD9">
        <w:rPr>
          <w:sz w:val="24"/>
          <w:szCs w:val="24"/>
        </w:rPr>
        <w:t>. Μέσω αυτών γίνεται αξιολόγηση της ευπάθεια των ατόμων και χρησιμοποιούνται οι κατάλληλες παρεμβάσεις.</w:t>
      </w:r>
      <w:r w:rsidR="00554622">
        <w:rPr>
          <w:sz w:val="24"/>
          <w:szCs w:val="24"/>
        </w:rPr>
        <w:t xml:space="preserve"> Οι παρεμβάσεις αυτές στοχεύουν αρχικά σε τομείς όπως ο σωματικός, ο διατροφικός, ο γνωστικός και ο ψυχολογικός με σκοπό την καθυστέρηση ανάπτυξης γνωστικής εξασθένησης και άνοιας και δευτερευόντως στην μείωση δυσμενών επιπτώσεων για την υγεία όπως η αναπηρία, οι νοσηλείες και η θνησιμότητα (</w:t>
      </w:r>
      <w:r w:rsidR="00554622">
        <w:rPr>
          <w:sz w:val="24"/>
          <w:szCs w:val="24"/>
          <w:lang w:val="en-US"/>
        </w:rPr>
        <w:t>Panza</w:t>
      </w:r>
      <w:r w:rsidR="00554622" w:rsidRPr="00554622">
        <w:rPr>
          <w:sz w:val="24"/>
          <w:szCs w:val="24"/>
        </w:rPr>
        <w:t xml:space="preserve"> </w:t>
      </w:r>
      <w:r w:rsidR="00554622">
        <w:rPr>
          <w:sz w:val="24"/>
          <w:szCs w:val="24"/>
          <w:lang w:val="en-US"/>
        </w:rPr>
        <w:t>et</w:t>
      </w:r>
      <w:r w:rsidR="00554622" w:rsidRPr="00554622">
        <w:rPr>
          <w:sz w:val="24"/>
          <w:szCs w:val="24"/>
        </w:rPr>
        <w:t xml:space="preserve"> </w:t>
      </w:r>
      <w:r w:rsidR="00554622">
        <w:rPr>
          <w:sz w:val="24"/>
          <w:szCs w:val="24"/>
          <w:lang w:val="en-US"/>
        </w:rPr>
        <w:t>al</w:t>
      </w:r>
      <w:r w:rsidR="00554622" w:rsidRPr="00554622">
        <w:rPr>
          <w:sz w:val="24"/>
          <w:szCs w:val="24"/>
        </w:rPr>
        <w:t>.,</w:t>
      </w:r>
      <w:r w:rsidR="00554622" w:rsidRPr="00695E13">
        <w:rPr>
          <w:sz w:val="24"/>
          <w:szCs w:val="24"/>
        </w:rPr>
        <w:t xml:space="preserve"> 2019</w:t>
      </w:r>
      <w:r w:rsidR="00554622">
        <w:rPr>
          <w:sz w:val="24"/>
          <w:szCs w:val="24"/>
        </w:rPr>
        <w:t xml:space="preserve">). </w:t>
      </w:r>
    </w:p>
    <w:p w:rsidR="000533A1" w:rsidRDefault="00B7118B" w:rsidP="00297119">
      <w:pPr>
        <w:rPr>
          <w:sz w:val="24"/>
          <w:szCs w:val="24"/>
        </w:rPr>
      </w:pPr>
      <w:r>
        <w:rPr>
          <w:sz w:val="24"/>
          <w:szCs w:val="24"/>
        </w:rPr>
        <w:lastRenderedPageBreak/>
        <w:t>Τα αποτελέσματα πολλών ερευνών για την σύνδεση της ευπάθειας και της άνοιας είναι αντικρουόμενα. Σε κάποιες έρευνες η ευπάθεια φαίνεται να οδηγεί σε άνοια (</w:t>
      </w:r>
      <w:r>
        <w:rPr>
          <w:sz w:val="24"/>
          <w:szCs w:val="24"/>
          <w:lang w:val="en-US"/>
        </w:rPr>
        <w:t>Rogers</w:t>
      </w:r>
      <w:r w:rsidRPr="00B7118B">
        <w:rPr>
          <w:sz w:val="24"/>
          <w:szCs w:val="24"/>
        </w:rPr>
        <w:t xml:space="preserve"> </w:t>
      </w:r>
      <w:r>
        <w:rPr>
          <w:sz w:val="24"/>
          <w:szCs w:val="24"/>
          <w:lang w:val="en-US"/>
        </w:rPr>
        <w:t>NT</w:t>
      </w:r>
      <w:r w:rsidRPr="00B7118B">
        <w:rPr>
          <w:sz w:val="24"/>
          <w:szCs w:val="24"/>
        </w:rPr>
        <w:t xml:space="preserve"> </w:t>
      </w:r>
      <w:r>
        <w:rPr>
          <w:sz w:val="24"/>
          <w:szCs w:val="24"/>
          <w:lang w:val="en-US"/>
        </w:rPr>
        <w:t>et</w:t>
      </w:r>
      <w:r w:rsidRPr="00B7118B">
        <w:rPr>
          <w:sz w:val="24"/>
          <w:szCs w:val="24"/>
        </w:rPr>
        <w:t xml:space="preserve"> </w:t>
      </w:r>
      <w:r>
        <w:rPr>
          <w:sz w:val="24"/>
          <w:szCs w:val="24"/>
          <w:lang w:val="en-US"/>
        </w:rPr>
        <w:t>al</w:t>
      </w:r>
      <w:r w:rsidRPr="00B7118B">
        <w:rPr>
          <w:sz w:val="24"/>
          <w:szCs w:val="24"/>
        </w:rPr>
        <w:t xml:space="preserve">, 2017, </w:t>
      </w:r>
      <w:r>
        <w:rPr>
          <w:sz w:val="24"/>
          <w:szCs w:val="24"/>
          <w:lang w:val="en-US"/>
        </w:rPr>
        <w:t>Gray</w:t>
      </w:r>
      <w:r w:rsidRPr="00B7118B">
        <w:rPr>
          <w:sz w:val="24"/>
          <w:szCs w:val="24"/>
        </w:rPr>
        <w:t xml:space="preserve"> </w:t>
      </w:r>
      <w:r>
        <w:rPr>
          <w:sz w:val="24"/>
          <w:szCs w:val="24"/>
          <w:lang w:val="en-US"/>
        </w:rPr>
        <w:t>SL</w:t>
      </w:r>
      <w:r w:rsidRPr="00B7118B">
        <w:rPr>
          <w:sz w:val="24"/>
          <w:szCs w:val="24"/>
        </w:rPr>
        <w:t xml:space="preserve"> </w:t>
      </w:r>
      <w:r>
        <w:rPr>
          <w:sz w:val="24"/>
          <w:szCs w:val="24"/>
          <w:lang w:val="en-US"/>
        </w:rPr>
        <w:t>et</w:t>
      </w:r>
      <w:r w:rsidRPr="00B7118B">
        <w:rPr>
          <w:sz w:val="24"/>
          <w:szCs w:val="24"/>
        </w:rPr>
        <w:t xml:space="preserve"> </w:t>
      </w:r>
      <w:r>
        <w:rPr>
          <w:sz w:val="24"/>
          <w:szCs w:val="24"/>
          <w:lang w:val="en-US"/>
        </w:rPr>
        <w:t>al</w:t>
      </w:r>
      <w:r w:rsidRPr="00B7118B">
        <w:rPr>
          <w:sz w:val="24"/>
          <w:szCs w:val="24"/>
        </w:rPr>
        <w:t xml:space="preserve">., 2013, </w:t>
      </w:r>
      <w:r>
        <w:rPr>
          <w:sz w:val="24"/>
          <w:szCs w:val="24"/>
          <w:lang w:val="en-US"/>
        </w:rPr>
        <w:t>Avila</w:t>
      </w:r>
      <w:r w:rsidRPr="00B7118B">
        <w:rPr>
          <w:sz w:val="24"/>
          <w:szCs w:val="24"/>
        </w:rPr>
        <w:t xml:space="preserve"> </w:t>
      </w:r>
      <w:r>
        <w:rPr>
          <w:sz w:val="24"/>
          <w:szCs w:val="24"/>
          <w:lang w:val="en-US"/>
        </w:rPr>
        <w:t>JA</w:t>
      </w:r>
      <w:r w:rsidRPr="00B7118B">
        <w:rPr>
          <w:sz w:val="24"/>
          <w:szCs w:val="24"/>
        </w:rPr>
        <w:t xml:space="preserve"> </w:t>
      </w:r>
      <w:r>
        <w:rPr>
          <w:sz w:val="24"/>
          <w:szCs w:val="24"/>
          <w:lang w:val="en-US"/>
        </w:rPr>
        <w:t>et</w:t>
      </w:r>
      <w:r w:rsidRPr="00B7118B">
        <w:rPr>
          <w:sz w:val="24"/>
          <w:szCs w:val="24"/>
        </w:rPr>
        <w:t xml:space="preserve"> </w:t>
      </w:r>
      <w:r>
        <w:rPr>
          <w:sz w:val="24"/>
          <w:szCs w:val="24"/>
          <w:lang w:val="en-US"/>
        </w:rPr>
        <w:t>al</w:t>
      </w:r>
      <w:r w:rsidRPr="00B7118B">
        <w:rPr>
          <w:sz w:val="24"/>
          <w:szCs w:val="24"/>
        </w:rPr>
        <w:t>., 201</w:t>
      </w:r>
      <w:r w:rsidRPr="00E04729">
        <w:rPr>
          <w:sz w:val="24"/>
          <w:szCs w:val="24"/>
        </w:rPr>
        <w:t>2</w:t>
      </w:r>
      <w:r>
        <w:rPr>
          <w:sz w:val="24"/>
          <w:szCs w:val="24"/>
        </w:rPr>
        <w:t>)ενώ σε άλλες η σύνδεση αυτών των δυο καταστάσεων είναι αδύναμη (</w:t>
      </w:r>
      <w:r w:rsidRPr="00B7118B">
        <w:rPr>
          <w:sz w:val="24"/>
          <w:szCs w:val="24"/>
        </w:rPr>
        <w:t xml:space="preserve">Wallace LMK </w:t>
      </w:r>
      <w:r>
        <w:rPr>
          <w:sz w:val="24"/>
          <w:szCs w:val="24"/>
          <w:lang w:val="en-US"/>
        </w:rPr>
        <w:t>et</w:t>
      </w:r>
      <w:r w:rsidRPr="00B7118B">
        <w:rPr>
          <w:sz w:val="24"/>
          <w:szCs w:val="24"/>
        </w:rPr>
        <w:t xml:space="preserve"> </w:t>
      </w:r>
      <w:r>
        <w:rPr>
          <w:sz w:val="24"/>
          <w:szCs w:val="24"/>
          <w:lang w:val="en-US"/>
        </w:rPr>
        <w:t>al</w:t>
      </w:r>
      <w:r w:rsidRPr="00B7118B">
        <w:rPr>
          <w:sz w:val="24"/>
          <w:szCs w:val="24"/>
        </w:rPr>
        <w:t>.,</w:t>
      </w:r>
      <w:r>
        <w:rPr>
          <w:sz w:val="24"/>
          <w:szCs w:val="24"/>
        </w:rPr>
        <w:t xml:space="preserve"> 2019). </w:t>
      </w:r>
      <w:r w:rsidR="00E04729">
        <w:rPr>
          <w:sz w:val="24"/>
          <w:szCs w:val="24"/>
        </w:rPr>
        <w:t xml:space="preserve">Σε μεγάλη μελέτη κοορτής στην Μ. βρετανία  το 2020 με  143.215 συμμετέχοντες φάνηκε ότι τα άτομα με προ-ευπάθεια και ευπάθεια έχουν υψηλότερο κίνδυνο να εμφανίσουν άνοια. Για το λόγο αυτό η έγκαιρη ανίχνευση της ευπάθειας μπορεί </w:t>
      </w:r>
      <w:r w:rsidR="00B77B14">
        <w:rPr>
          <w:sz w:val="24"/>
          <w:szCs w:val="24"/>
        </w:rPr>
        <w:t>να προλάβει ή και να καθυστερήσει</w:t>
      </w:r>
      <w:r w:rsidR="00E04729">
        <w:rPr>
          <w:sz w:val="24"/>
          <w:szCs w:val="24"/>
        </w:rPr>
        <w:t xml:space="preserve"> την εκδήλωση ΗΝΔ και άνοιας </w:t>
      </w:r>
      <w:r w:rsidR="00B77B14">
        <w:rPr>
          <w:sz w:val="24"/>
          <w:szCs w:val="24"/>
        </w:rPr>
        <w:t>(</w:t>
      </w:r>
      <w:r w:rsidR="00B77B14">
        <w:rPr>
          <w:sz w:val="24"/>
          <w:szCs w:val="24"/>
          <w:lang w:val="en-US"/>
        </w:rPr>
        <w:t>Peterman</w:t>
      </w:r>
      <w:r w:rsidR="00B77B14" w:rsidRPr="00B77B14">
        <w:rPr>
          <w:sz w:val="24"/>
          <w:szCs w:val="24"/>
        </w:rPr>
        <w:t>-</w:t>
      </w:r>
      <w:r w:rsidR="00B77B14">
        <w:rPr>
          <w:sz w:val="24"/>
          <w:szCs w:val="24"/>
          <w:lang w:val="en-US"/>
        </w:rPr>
        <w:t>Rocha</w:t>
      </w:r>
      <w:r w:rsidR="00B77B14" w:rsidRPr="00B77B14">
        <w:rPr>
          <w:sz w:val="24"/>
          <w:szCs w:val="24"/>
        </w:rPr>
        <w:t xml:space="preserve"> </w:t>
      </w:r>
      <w:r w:rsidR="00B77B14">
        <w:rPr>
          <w:sz w:val="24"/>
          <w:szCs w:val="24"/>
          <w:lang w:val="en-US"/>
        </w:rPr>
        <w:t>F</w:t>
      </w:r>
      <w:r w:rsidR="00B77B14" w:rsidRPr="00B77B14">
        <w:rPr>
          <w:sz w:val="24"/>
          <w:szCs w:val="24"/>
        </w:rPr>
        <w:t xml:space="preserve">. </w:t>
      </w:r>
      <w:proofErr w:type="gramStart"/>
      <w:r w:rsidR="00B77B14">
        <w:rPr>
          <w:sz w:val="24"/>
          <w:szCs w:val="24"/>
          <w:lang w:val="en-US"/>
        </w:rPr>
        <w:t>et</w:t>
      </w:r>
      <w:proofErr w:type="gramEnd"/>
      <w:r w:rsidR="00B77B14" w:rsidRPr="00B77B14">
        <w:rPr>
          <w:sz w:val="24"/>
          <w:szCs w:val="24"/>
        </w:rPr>
        <w:t xml:space="preserve"> </w:t>
      </w:r>
      <w:r w:rsidR="00B77B14">
        <w:rPr>
          <w:sz w:val="24"/>
          <w:szCs w:val="24"/>
          <w:lang w:val="en-US"/>
        </w:rPr>
        <w:t>al</w:t>
      </w:r>
      <w:r w:rsidR="00B77B14" w:rsidRPr="00B77B14">
        <w:rPr>
          <w:sz w:val="24"/>
          <w:szCs w:val="24"/>
        </w:rPr>
        <w:t>., 2020</w:t>
      </w:r>
      <w:r w:rsidR="00B77B14">
        <w:rPr>
          <w:sz w:val="24"/>
          <w:szCs w:val="24"/>
        </w:rPr>
        <w:t>)</w:t>
      </w:r>
      <w:r w:rsidR="00B77B14" w:rsidRPr="00B77B14">
        <w:rPr>
          <w:sz w:val="24"/>
          <w:szCs w:val="24"/>
        </w:rPr>
        <w:t xml:space="preserve">. </w:t>
      </w:r>
      <w:r w:rsidR="00A17EAC">
        <w:rPr>
          <w:sz w:val="24"/>
          <w:szCs w:val="24"/>
        </w:rPr>
        <w:t>Στην συγκεκριμένη έρευνα φάνηκε ότι η αργή ταχύτητα βάδισης και η χαμηλή δύναμη δραγμού συνδέονται με την εμφάνιση άνοιας.</w:t>
      </w:r>
    </w:p>
    <w:p w:rsidR="00A17EAC" w:rsidRPr="00A17EAC" w:rsidRDefault="00A17EAC" w:rsidP="00297119">
      <w:pPr>
        <w:rPr>
          <w:sz w:val="24"/>
          <w:szCs w:val="24"/>
        </w:rPr>
      </w:pPr>
      <w:r>
        <w:rPr>
          <w:sz w:val="24"/>
          <w:szCs w:val="24"/>
        </w:rPr>
        <w:t xml:space="preserve">Θεωρώντας ότι το σύνδρομο της ευπάθειας είναι ένα τροποποιήσιμο σύνδρομο </w:t>
      </w:r>
      <w:r w:rsidR="001057F2">
        <w:rPr>
          <w:sz w:val="24"/>
          <w:szCs w:val="24"/>
        </w:rPr>
        <w:t>στη μέση ηλικία, η έγκαιρη ανίχνευση του και η θεραπευτική αντιμετώπιση πιθανώς να οδηγεί στην πρόληψη ή και καθυστέρηση της εμφάνισης νευροεκφυλιστικών διαταραχών, συμπεριλαμβανομένου κα της άνοιας</w:t>
      </w:r>
      <w:r w:rsidR="00553478">
        <w:rPr>
          <w:sz w:val="24"/>
          <w:szCs w:val="24"/>
        </w:rPr>
        <w:t xml:space="preserve"> (</w:t>
      </w:r>
      <w:r w:rsidR="00553478">
        <w:rPr>
          <w:sz w:val="24"/>
          <w:szCs w:val="24"/>
          <w:lang w:val="en-US"/>
        </w:rPr>
        <w:t>Bunce</w:t>
      </w:r>
      <w:r w:rsidR="00553478" w:rsidRPr="00553478">
        <w:rPr>
          <w:sz w:val="24"/>
          <w:szCs w:val="24"/>
        </w:rPr>
        <w:t xml:space="preserve"> </w:t>
      </w:r>
      <w:r w:rsidR="00553478">
        <w:rPr>
          <w:sz w:val="24"/>
          <w:szCs w:val="24"/>
          <w:lang w:val="en-US"/>
        </w:rPr>
        <w:t>et</w:t>
      </w:r>
      <w:r w:rsidR="00553478" w:rsidRPr="00553478">
        <w:rPr>
          <w:sz w:val="24"/>
          <w:szCs w:val="24"/>
        </w:rPr>
        <w:t xml:space="preserve"> </w:t>
      </w:r>
      <w:r w:rsidR="00553478">
        <w:rPr>
          <w:sz w:val="24"/>
          <w:szCs w:val="24"/>
          <w:lang w:val="en-US"/>
        </w:rPr>
        <w:t>al</w:t>
      </w:r>
      <w:r w:rsidR="00553478" w:rsidRPr="00553478">
        <w:rPr>
          <w:sz w:val="24"/>
          <w:szCs w:val="24"/>
        </w:rPr>
        <w:t>.,</w:t>
      </w:r>
      <w:r w:rsidR="00553478" w:rsidRPr="002D7C34">
        <w:rPr>
          <w:sz w:val="24"/>
          <w:szCs w:val="24"/>
        </w:rPr>
        <w:t xml:space="preserve"> </w:t>
      </w:r>
      <w:r w:rsidR="002D7C34" w:rsidRPr="002D7C34">
        <w:rPr>
          <w:sz w:val="24"/>
          <w:szCs w:val="24"/>
        </w:rPr>
        <w:t>2019</w:t>
      </w:r>
      <w:r w:rsidR="00553478">
        <w:rPr>
          <w:sz w:val="24"/>
          <w:szCs w:val="24"/>
        </w:rPr>
        <w:t>)</w:t>
      </w:r>
      <w:r w:rsidR="001057F2">
        <w:rPr>
          <w:sz w:val="24"/>
          <w:szCs w:val="24"/>
        </w:rPr>
        <w:t xml:space="preserve">. </w:t>
      </w:r>
    </w:p>
    <w:p w:rsidR="00E04729" w:rsidRPr="009A2372" w:rsidRDefault="00E04729" w:rsidP="00297119">
      <w:pPr>
        <w:rPr>
          <w:sz w:val="24"/>
          <w:szCs w:val="24"/>
        </w:rPr>
      </w:pPr>
    </w:p>
    <w:p w:rsidR="00B17C20" w:rsidRPr="009A2372" w:rsidRDefault="00F702F5" w:rsidP="00F702F5">
      <w:pPr>
        <w:jc w:val="center"/>
        <w:rPr>
          <w:sz w:val="24"/>
          <w:szCs w:val="24"/>
        </w:rPr>
      </w:pPr>
      <w:r>
        <w:rPr>
          <w:noProof/>
          <w:sz w:val="24"/>
          <w:szCs w:val="24"/>
          <w:lang w:eastAsia="el-GR"/>
        </w:rPr>
        <w:drawing>
          <wp:inline distT="0" distB="0" distL="0" distR="0">
            <wp:extent cx="5539740" cy="2720169"/>
            <wp:effectExtent l="0" t="0" r="3810" b="4445"/>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33078" cy="2716898"/>
                    </a:xfrm>
                    <a:prstGeom prst="rect">
                      <a:avLst/>
                    </a:prstGeom>
                    <a:noFill/>
                    <a:ln>
                      <a:noFill/>
                    </a:ln>
                  </pic:spPr>
                </pic:pic>
              </a:graphicData>
            </a:graphic>
          </wp:inline>
        </w:drawing>
      </w:r>
    </w:p>
    <w:p w:rsidR="00B17C20" w:rsidRPr="00FD6F40" w:rsidRDefault="00F702F5" w:rsidP="00F702F5">
      <w:pPr>
        <w:jc w:val="center"/>
        <w:rPr>
          <w:sz w:val="20"/>
          <w:szCs w:val="20"/>
        </w:rPr>
      </w:pPr>
      <w:r w:rsidRPr="00F702F5">
        <w:rPr>
          <w:i/>
          <w:sz w:val="20"/>
          <w:szCs w:val="20"/>
        </w:rPr>
        <w:t xml:space="preserve">Σχήμα </w:t>
      </w:r>
      <w:r w:rsidR="006F3A1E">
        <w:rPr>
          <w:i/>
          <w:sz w:val="20"/>
          <w:szCs w:val="20"/>
        </w:rPr>
        <w:t>10</w:t>
      </w:r>
      <w:r w:rsidRPr="00FD6F40">
        <w:rPr>
          <w:sz w:val="20"/>
          <w:szCs w:val="20"/>
        </w:rPr>
        <w:t xml:space="preserve">: </w:t>
      </w:r>
      <w:r>
        <w:rPr>
          <w:sz w:val="20"/>
          <w:szCs w:val="20"/>
        </w:rPr>
        <w:t>Ευπάθεια και ΗΝΔ</w:t>
      </w:r>
      <w:r w:rsidRPr="00FD6F40">
        <w:rPr>
          <w:sz w:val="20"/>
          <w:szCs w:val="20"/>
        </w:rPr>
        <w:t>.</w:t>
      </w:r>
    </w:p>
    <w:p w:rsidR="00F702F5" w:rsidRPr="009C494C" w:rsidRDefault="00F702F5" w:rsidP="00F702F5">
      <w:pPr>
        <w:jc w:val="center"/>
        <w:rPr>
          <w:b/>
          <w:sz w:val="20"/>
          <w:szCs w:val="20"/>
          <w:lang w:val="en-US"/>
        </w:rPr>
      </w:pPr>
      <w:r w:rsidRPr="00F702F5">
        <w:rPr>
          <w:b/>
          <w:sz w:val="20"/>
          <w:szCs w:val="20"/>
        </w:rPr>
        <w:t>Πηγή</w:t>
      </w:r>
      <w:r w:rsidRPr="009C494C">
        <w:rPr>
          <w:b/>
          <w:sz w:val="20"/>
          <w:szCs w:val="20"/>
          <w:lang w:val="en-US"/>
        </w:rPr>
        <w:t xml:space="preserve">: </w:t>
      </w:r>
      <w:r w:rsidRPr="00F702F5">
        <w:rPr>
          <w:b/>
          <w:sz w:val="20"/>
          <w:szCs w:val="20"/>
          <w:lang w:val="en-US"/>
        </w:rPr>
        <w:t>Sugimoto</w:t>
      </w:r>
      <w:r w:rsidRPr="009C494C">
        <w:rPr>
          <w:b/>
          <w:sz w:val="20"/>
          <w:szCs w:val="20"/>
          <w:lang w:val="en-US"/>
        </w:rPr>
        <w:t xml:space="preserve"> </w:t>
      </w:r>
      <w:r w:rsidRPr="00F702F5">
        <w:rPr>
          <w:b/>
          <w:sz w:val="20"/>
          <w:szCs w:val="20"/>
          <w:lang w:val="en-US"/>
        </w:rPr>
        <w:t>T</w:t>
      </w:r>
      <w:r w:rsidRPr="009C494C">
        <w:rPr>
          <w:b/>
          <w:sz w:val="20"/>
          <w:szCs w:val="20"/>
          <w:lang w:val="en-US"/>
        </w:rPr>
        <w:t xml:space="preserve">. </w:t>
      </w:r>
      <w:proofErr w:type="gramStart"/>
      <w:r w:rsidRPr="00F702F5">
        <w:rPr>
          <w:b/>
          <w:sz w:val="20"/>
          <w:szCs w:val="20"/>
          <w:lang w:val="en-US"/>
        </w:rPr>
        <w:t>et</w:t>
      </w:r>
      <w:proofErr w:type="gramEnd"/>
      <w:r w:rsidRPr="009C494C">
        <w:rPr>
          <w:b/>
          <w:sz w:val="20"/>
          <w:szCs w:val="20"/>
          <w:lang w:val="en-US"/>
        </w:rPr>
        <w:t xml:space="preserve"> </w:t>
      </w:r>
      <w:r w:rsidRPr="00F702F5">
        <w:rPr>
          <w:b/>
          <w:sz w:val="20"/>
          <w:szCs w:val="20"/>
          <w:lang w:val="en-US"/>
        </w:rPr>
        <w:t>al</w:t>
      </w:r>
      <w:r w:rsidRPr="009C494C">
        <w:rPr>
          <w:b/>
          <w:sz w:val="20"/>
          <w:szCs w:val="20"/>
          <w:lang w:val="en-US"/>
        </w:rPr>
        <w:t xml:space="preserve">, </w:t>
      </w:r>
      <w:r w:rsidRPr="00F702F5">
        <w:rPr>
          <w:b/>
          <w:sz w:val="20"/>
          <w:szCs w:val="20"/>
          <w:lang w:val="en-US"/>
        </w:rPr>
        <w:t>Geriatric</w:t>
      </w:r>
      <w:r w:rsidRPr="009C494C">
        <w:rPr>
          <w:b/>
          <w:sz w:val="20"/>
          <w:szCs w:val="20"/>
          <w:lang w:val="en-US"/>
        </w:rPr>
        <w:t xml:space="preserve"> </w:t>
      </w:r>
      <w:r w:rsidRPr="00F702F5">
        <w:rPr>
          <w:b/>
          <w:sz w:val="20"/>
          <w:szCs w:val="20"/>
          <w:lang w:val="en-US"/>
        </w:rPr>
        <w:t>Int</w:t>
      </w:r>
      <w:r w:rsidRPr="009C494C">
        <w:rPr>
          <w:b/>
          <w:sz w:val="20"/>
          <w:szCs w:val="20"/>
          <w:lang w:val="en-US"/>
        </w:rPr>
        <w:t xml:space="preserve"> 2022</w:t>
      </w:r>
    </w:p>
    <w:p w:rsidR="00E04729" w:rsidRPr="009C494C" w:rsidRDefault="00E04729" w:rsidP="00297119">
      <w:pPr>
        <w:rPr>
          <w:sz w:val="24"/>
          <w:szCs w:val="24"/>
          <w:lang w:val="en-US"/>
        </w:rPr>
      </w:pPr>
    </w:p>
    <w:p w:rsidR="00871DD4" w:rsidRPr="009A2372" w:rsidRDefault="00871DD4" w:rsidP="00B17C20">
      <w:pPr>
        <w:rPr>
          <w:sz w:val="20"/>
          <w:szCs w:val="20"/>
        </w:rPr>
      </w:pPr>
      <w:r w:rsidRPr="00536D2B">
        <w:rPr>
          <w:b/>
          <w:sz w:val="28"/>
          <w:szCs w:val="28"/>
        </w:rPr>
        <w:t>Β. Ειδικό μέρος</w:t>
      </w:r>
    </w:p>
    <w:p w:rsidR="00871DD4" w:rsidRPr="00315140" w:rsidRDefault="00871DD4" w:rsidP="00871DD4">
      <w:pPr>
        <w:pStyle w:val="Default"/>
        <w:jc w:val="center"/>
        <w:rPr>
          <w:sz w:val="22"/>
          <w:szCs w:val="22"/>
        </w:rPr>
      </w:pPr>
    </w:p>
    <w:p w:rsidR="00871DD4" w:rsidRPr="00536D2B" w:rsidRDefault="00871DD4" w:rsidP="00536D2B">
      <w:pPr>
        <w:rPr>
          <w:b/>
          <w:sz w:val="28"/>
          <w:szCs w:val="28"/>
        </w:rPr>
      </w:pPr>
      <w:r w:rsidRPr="00536D2B">
        <w:rPr>
          <w:b/>
          <w:sz w:val="28"/>
          <w:szCs w:val="28"/>
        </w:rPr>
        <w:t>Β1. Εισαγωγή και Σκοπός</w:t>
      </w:r>
    </w:p>
    <w:p w:rsidR="00871DD4" w:rsidRPr="00B17C20" w:rsidRDefault="00871DD4" w:rsidP="00536D2B">
      <w:pPr>
        <w:rPr>
          <w:sz w:val="24"/>
          <w:szCs w:val="24"/>
        </w:rPr>
      </w:pPr>
    </w:p>
    <w:p w:rsidR="00871DD4" w:rsidRPr="009C494C" w:rsidRDefault="00952D18" w:rsidP="00536D2B">
      <w:pPr>
        <w:rPr>
          <w:sz w:val="24"/>
          <w:szCs w:val="24"/>
        </w:rPr>
      </w:pPr>
      <w:r>
        <w:rPr>
          <w:sz w:val="24"/>
          <w:szCs w:val="24"/>
        </w:rPr>
        <w:lastRenderedPageBreak/>
        <w:t xml:space="preserve">Η παρούσα μελέτη </w:t>
      </w:r>
      <w:r w:rsidR="009C494C">
        <w:rPr>
          <w:sz w:val="24"/>
          <w:szCs w:val="24"/>
        </w:rPr>
        <w:t>σκοπό είχε</w:t>
      </w:r>
      <w:r w:rsidRPr="00952D18">
        <w:rPr>
          <w:sz w:val="24"/>
          <w:szCs w:val="24"/>
        </w:rPr>
        <w:t xml:space="preserve"> να αξιολογήσει το σύνδρομο της ευπάθειας σε άτομα μεγάλης ηλικίας</w:t>
      </w:r>
      <w:r w:rsidR="009C494C">
        <w:rPr>
          <w:sz w:val="24"/>
          <w:szCs w:val="24"/>
        </w:rPr>
        <w:t>(&gt;70 ετών)</w:t>
      </w:r>
      <w:r w:rsidRPr="00952D18">
        <w:rPr>
          <w:sz w:val="24"/>
          <w:szCs w:val="24"/>
        </w:rPr>
        <w:t xml:space="preserve"> που επισκέπτονται ένα Ιατρείο Μνήμης στην πόλη της Αθήνας. Οι </w:t>
      </w:r>
      <w:r w:rsidR="009C494C">
        <w:rPr>
          <w:sz w:val="24"/>
          <w:szCs w:val="24"/>
        </w:rPr>
        <w:t>συμμετέχοντες αξιολογήθηκαν</w:t>
      </w:r>
      <w:r w:rsidRPr="00952D18">
        <w:rPr>
          <w:sz w:val="24"/>
          <w:szCs w:val="24"/>
        </w:rPr>
        <w:t xml:space="preserve"> σε γνωστικό, σωματικό και ψυχολογικό επίπεδο με τη χρήση κατάλληλων και σταθμισμένων ψυχο</w:t>
      </w:r>
      <w:r w:rsidR="009C494C">
        <w:rPr>
          <w:sz w:val="24"/>
          <w:szCs w:val="24"/>
        </w:rPr>
        <w:t>μετρικών εργαλείων. Στόχος ήταν</w:t>
      </w:r>
      <w:r w:rsidRPr="00952D18">
        <w:rPr>
          <w:sz w:val="24"/>
          <w:szCs w:val="24"/>
        </w:rPr>
        <w:t xml:space="preserve"> να διαπιστωθεί εάν υπάρχει συσχέτιση μεταξύ της γνωστικής κατάστασης των ατόμων και της ευπάθειας που τυχόν παρουσιάζουν για να μπορέσει αυτό να αποτελέσει σημαντικό προβλεπτικό δείκτη για την μελλοντική τους κατάσταση. Η παρούσα έρευνα καλείται να απαντήσει εάν το σύνδρομο της ευπάθειας και λοιποί παράγοντες (π.χ. πολυφαρμακία) συσχετίζονται με την εμφάνιση νευρογνωστικών </w:t>
      </w:r>
      <w:r w:rsidR="009C494C">
        <w:rPr>
          <w:sz w:val="24"/>
          <w:szCs w:val="24"/>
        </w:rPr>
        <w:t xml:space="preserve">διαταραχών. Για το λόγο αυτό, αξιολογήθηκαν </w:t>
      </w:r>
      <w:r w:rsidRPr="00952D18">
        <w:rPr>
          <w:sz w:val="24"/>
          <w:szCs w:val="24"/>
        </w:rPr>
        <w:t>άτομα μεγάλης ηλικίας με φυσιολογική γνωστική λειτουργία, με ήπια νευρογνωστική διαταραχή (MCI) και ήπια άνοια σύμφωνα με τα κριτήρια κατά DSM-5. Στόχος η σύγκριση μεταξύ αυτών των ομάδων και της αξιολόγησης του επιπέδου ευπάθειας που εμφανίζουν ή το αν κινδυνεύουν να εμφανίζ</w:t>
      </w:r>
      <w:r w:rsidR="009C494C">
        <w:rPr>
          <w:sz w:val="24"/>
          <w:szCs w:val="24"/>
        </w:rPr>
        <w:t>ουν στο μέλλον. Από τη μελέτη αποκλείστηκαν</w:t>
      </w:r>
      <w:r w:rsidRPr="00952D18">
        <w:rPr>
          <w:sz w:val="24"/>
          <w:szCs w:val="24"/>
        </w:rPr>
        <w:t xml:space="preserve"> άτομα με μέτρια και σοβαρή άνοια (MMSE&lt;20</w:t>
      </w:r>
      <w:r w:rsidR="009C494C" w:rsidRPr="009C494C">
        <w:rPr>
          <w:sz w:val="24"/>
          <w:szCs w:val="24"/>
        </w:rPr>
        <w:t>/30</w:t>
      </w:r>
      <w:r w:rsidRPr="00952D18">
        <w:rPr>
          <w:sz w:val="24"/>
          <w:szCs w:val="24"/>
        </w:rPr>
        <w:t>) και με γνωστό ψυχιατρικό ιστορικό (ενδεικτικά F20 κτλ</w:t>
      </w:r>
      <w:r w:rsidR="009C494C" w:rsidRPr="009C494C">
        <w:rPr>
          <w:sz w:val="24"/>
          <w:szCs w:val="24"/>
        </w:rPr>
        <w:t>)</w:t>
      </w:r>
      <w:r w:rsidR="009C494C">
        <w:rPr>
          <w:sz w:val="24"/>
          <w:szCs w:val="24"/>
        </w:rPr>
        <w:t xml:space="preserve"> και νευρολογικές παθήσεις. </w:t>
      </w:r>
    </w:p>
    <w:p w:rsidR="00871DD4" w:rsidRPr="005252D5" w:rsidRDefault="009C494C" w:rsidP="00536D2B">
      <w:pPr>
        <w:rPr>
          <w:sz w:val="24"/>
          <w:szCs w:val="24"/>
        </w:rPr>
      </w:pPr>
      <w:r>
        <w:rPr>
          <w:sz w:val="24"/>
          <w:szCs w:val="24"/>
        </w:rPr>
        <w:t>Σκοπός της παρούσας μελέτης είναι</w:t>
      </w:r>
      <w:r w:rsidRPr="009C494C">
        <w:rPr>
          <w:sz w:val="24"/>
          <w:szCs w:val="24"/>
        </w:rPr>
        <w:t>:</w:t>
      </w:r>
    </w:p>
    <w:p w:rsidR="009C494C" w:rsidRDefault="000C333F" w:rsidP="000C333F">
      <w:pPr>
        <w:pStyle w:val="ListParagraph"/>
        <w:numPr>
          <w:ilvl w:val="0"/>
          <w:numId w:val="11"/>
        </w:numPr>
        <w:rPr>
          <w:rFonts w:asciiTheme="minorHAnsi" w:hAnsiTheme="minorHAnsi" w:cstheme="minorHAnsi"/>
          <w:sz w:val="24"/>
          <w:szCs w:val="24"/>
        </w:rPr>
      </w:pPr>
      <w:r w:rsidRPr="000C333F">
        <w:rPr>
          <w:rFonts w:asciiTheme="minorHAnsi" w:hAnsiTheme="minorHAnsi" w:cstheme="minorHAnsi"/>
          <w:sz w:val="24"/>
          <w:szCs w:val="24"/>
        </w:rPr>
        <w:t xml:space="preserve">Να εκτιμηθεί </w:t>
      </w:r>
      <w:r>
        <w:rPr>
          <w:rFonts w:asciiTheme="minorHAnsi" w:hAnsiTheme="minorHAnsi" w:cstheme="minorHAnsi"/>
          <w:sz w:val="24"/>
          <w:szCs w:val="24"/>
        </w:rPr>
        <w:t>ο βαθμός ευπάθειας σε άτομα ηλικίας άνω των 70 ετών που εμφανίζουν φυσιολογική γνωστική ηλικία, ΗΝΔ και ήπια άνοια (</w:t>
      </w:r>
      <w:r>
        <w:rPr>
          <w:rFonts w:asciiTheme="minorHAnsi" w:hAnsiTheme="minorHAnsi" w:cstheme="minorHAnsi"/>
          <w:sz w:val="24"/>
          <w:szCs w:val="24"/>
          <w:lang w:val="en-US"/>
        </w:rPr>
        <w:t>MMSE</w:t>
      </w:r>
      <w:r w:rsidRPr="000C333F">
        <w:rPr>
          <w:rFonts w:asciiTheme="minorHAnsi" w:hAnsiTheme="minorHAnsi" w:cstheme="minorHAnsi"/>
          <w:sz w:val="24"/>
          <w:szCs w:val="24"/>
        </w:rPr>
        <w:t xml:space="preserve"> &gt;20/30</w:t>
      </w:r>
      <w:r>
        <w:rPr>
          <w:rFonts w:asciiTheme="minorHAnsi" w:hAnsiTheme="minorHAnsi" w:cstheme="minorHAnsi"/>
          <w:sz w:val="24"/>
          <w:szCs w:val="24"/>
        </w:rPr>
        <w:t>)</w:t>
      </w:r>
    </w:p>
    <w:p w:rsidR="000C333F" w:rsidRDefault="000C333F" w:rsidP="000C333F">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t>Να επισημανθούν παράγοντες που σχετίζονται με το σύνδρομο της ευπάθειας όπως παθολογικά προβλήματα, συνθήκες διαβίωσης κ.ά.</w:t>
      </w:r>
    </w:p>
    <w:p w:rsidR="000C333F" w:rsidRPr="000C333F" w:rsidRDefault="000C333F" w:rsidP="000C333F">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t>Να εντοπιστεί κατά πόσο και σε ποιο βαθμό το σύνδρομο της ευπάθειας και συγκεκριμένοι τομείς που πλήττονται από αυτό επηρεάζουν την γνωστική λειτουργία των ατόμων</w:t>
      </w:r>
    </w:p>
    <w:p w:rsidR="00871DD4" w:rsidRPr="00536D2B" w:rsidRDefault="00871DD4" w:rsidP="00536D2B">
      <w:pPr>
        <w:rPr>
          <w:b/>
          <w:sz w:val="28"/>
          <w:szCs w:val="28"/>
        </w:rPr>
      </w:pPr>
    </w:p>
    <w:p w:rsidR="00871DD4" w:rsidRPr="00536D2B" w:rsidRDefault="00871DD4" w:rsidP="00536D2B">
      <w:pPr>
        <w:rPr>
          <w:b/>
          <w:sz w:val="28"/>
          <w:szCs w:val="28"/>
        </w:rPr>
      </w:pPr>
      <w:r w:rsidRPr="00536D2B">
        <w:rPr>
          <w:b/>
          <w:sz w:val="28"/>
          <w:szCs w:val="28"/>
        </w:rPr>
        <w:t>Β2. Υλικό και Μέθοδος</w:t>
      </w:r>
    </w:p>
    <w:p w:rsidR="00871DD4" w:rsidRDefault="005254D9" w:rsidP="00536D2B">
      <w:pPr>
        <w:rPr>
          <w:sz w:val="24"/>
          <w:szCs w:val="24"/>
        </w:rPr>
      </w:pPr>
      <w:r>
        <w:rPr>
          <w:sz w:val="24"/>
          <w:szCs w:val="24"/>
        </w:rPr>
        <w:t xml:space="preserve">Η μελέτη διενεργήθηκε στην Ψυχογηριατρική Εταιρεία «Ο Νέστωρ» και συγκεκριμένα στο Κέντρο </w:t>
      </w:r>
      <w:r>
        <w:rPr>
          <w:sz w:val="24"/>
          <w:szCs w:val="24"/>
          <w:lang w:val="en-US"/>
        </w:rPr>
        <w:t>Alzheimer</w:t>
      </w:r>
      <w:r w:rsidRPr="005254D9">
        <w:rPr>
          <w:sz w:val="24"/>
          <w:szCs w:val="24"/>
        </w:rPr>
        <w:t xml:space="preserve"> </w:t>
      </w:r>
      <w:r>
        <w:rPr>
          <w:sz w:val="24"/>
          <w:szCs w:val="24"/>
        </w:rPr>
        <w:t xml:space="preserve">στην Κυψέλη Αττικής. Έλαβε χώρα από τον </w:t>
      </w:r>
      <w:r w:rsidR="00210B4D">
        <w:rPr>
          <w:sz w:val="24"/>
          <w:szCs w:val="24"/>
        </w:rPr>
        <w:t>Νοέμβριο</w:t>
      </w:r>
      <w:r>
        <w:rPr>
          <w:sz w:val="24"/>
          <w:szCs w:val="24"/>
        </w:rPr>
        <w:t xml:space="preserve"> 2025 ως τον </w:t>
      </w:r>
      <w:r w:rsidR="00210B4D">
        <w:rPr>
          <w:sz w:val="24"/>
          <w:szCs w:val="24"/>
        </w:rPr>
        <w:t>Φεβρουάριο</w:t>
      </w:r>
      <w:r>
        <w:rPr>
          <w:sz w:val="24"/>
          <w:szCs w:val="24"/>
        </w:rPr>
        <w:t xml:space="preserve"> 2026, αφού προηγήθηκε έγκριση από την Διοίκηση της Εταιρείας και την Επιτροπή Βιοηθικής και Δεοντολογίας της Ιατρικής Σχολής Αθηνών (</w:t>
      </w:r>
      <w:r w:rsidRPr="005254D9">
        <w:rPr>
          <w:i/>
          <w:sz w:val="24"/>
          <w:szCs w:val="24"/>
        </w:rPr>
        <w:t>Παράρτημα</w:t>
      </w:r>
      <w:r>
        <w:rPr>
          <w:sz w:val="24"/>
          <w:szCs w:val="24"/>
        </w:rPr>
        <w:t xml:space="preserve"> </w:t>
      </w:r>
      <w:r w:rsidRPr="005254D9">
        <w:rPr>
          <w:i/>
          <w:sz w:val="24"/>
          <w:szCs w:val="24"/>
        </w:rPr>
        <w:t>Ι</w:t>
      </w:r>
      <w:r>
        <w:rPr>
          <w:sz w:val="24"/>
          <w:szCs w:val="24"/>
        </w:rPr>
        <w:t xml:space="preserve">). </w:t>
      </w:r>
    </w:p>
    <w:p w:rsidR="00210B4D" w:rsidRDefault="00210B4D" w:rsidP="00536D2B">
      <w:pPr>
        <w:rPr>
          <w:sz w:val="24"/>
          <w:szCs w:val="24"/>
        </w:rPr>
      </w:pPr>
      <w:r>
        <w:rPr>
          <w:sz w:val="24"/>
          <w:szCs w:val="24"/>
        </w:rPr>
        <w:t>Επιπλέον, λήφθηκε συναίνεση, αφού έγινε ενημέρωση, από όλους τους συμμετέχοντες και επισήμανση της τήρησης του απορρήτου για τα προσωπικά δεδομένα (</w:t>
      </w:r>
      <w:r w:rsidRPr="004C6BA7">
        <w:rPr>
          <w:i/>
          <w:sz w:val="24"/>
          <w:szCs w:val="24"/>
        </w:rPr>
        <w:t>Παράρτημα</w:t>
      </w:r>
      <w:r w:rsidR="004C6BA7" w:rsidRPr="004C6BA7">
        <w:rPr>
          <w:i/>
          <w:sz w:val="24"/>
          <w:szCs w:val="24"/>
        </w:rPr>
        <w:t xml:space="preserve"> ΙΙΙ</w:t>
      </w:r>
      <w:r w:rsidRPr="004C6BA7">
        <w:rPr>
          <w:i/>
          <w:sz w:val="24"/>
          <w:szCs w:val="24"/>
        </w:rPr>
        <w:t>)</w:t>
      </w:r>
      <w:r w:rsidR="004C6BA7">
        <w:rPr>
          <w:i/>
          <w:sz w:val="24"/>
          <w:szCs w:val="24"/>
        </w:rPr>
        <w:t xml:space="preserve"> </w:t>
      </w:r>
      <w:r w:rsidR="004C6BA7">
        <w:rPr>
          <w:sz w:val="24"/>
          <w:szCs w:val="24"/>
        </w:rPr>
        <w:t>.</w:t>
      </w:r>
    </w:p>
    <w:p w:rsidR="00CE18C5" w:rsidRDefault="00CE18C5" w:rsidP="00536D2B">
      <w:pPr>
        <w:rPr>
          <w:sz w:val="24"/>
          <w:szCs w:val="24"/>
        </w:rPr>
      </w:pPr>
    </w:p>
    <w:p w:rsidR="00CE18C5" w:rsidRPr="00CE18C5" w:rsidRDefault="00CE18C5" w:rsidP="00536D2B">
      <w:pPr>
        <w:rPr>
          <w:b/>
          <w:sz w:val="28"/>
          <w:szCs w:val="28"/>
        </w:rPr>
      </w:pPr>
      <w:r w:rsidRPr="00CE18C5">
        <w:rPr>
          <w:b/>
          <w:sz w:val="28"/>
          <w:szCs w:val="28"/>
        </w:rPr>
        <w:t>Β.2.1 Χαρακτηριστικά Δείγματος και κριτήρια αποκλεισμού</w:t>
      </w:r>
    </w:p>
    <w:p w:rsidR="007401AD" w:rsidRDefault="007401AD" w:rsidP="00536D2B">
      <w:pPr>
        <w:rPr>
          <w:sz w:val="24"/>
          <w:szCs w:val="24"/>
        </w:rPr>
      </w:pPr>
    </w:p>
    <w:p w:rsidR="00871DD4" w:rsidRPr="007401AD" w:rsidRDefault="00A012D8" w:rsidP="00536D2B">
      <w:pPr>
        <w:rPr>
          <w:sz w:val="24"/>
          <w:szCs w:val="24"/>
        </w:rPr>
      </w:pPr>
      <w:r>
        <w:rPr>
          <w:sz w:val="24"/>
          <w:szCs w:val="24"/>
        </w:rPr>
        <w:t>Στην συγκεκριμένη μελέτη συμπεριλήφθηκαν άτομα με τα εξής χαρακτηριστικά</w:t>
      </w:r>
      <w:r w:rsidRPr="00A012D8">
        <w:rPr>
          <w:sz w:val="24"/>
          <w:szCs w:val="24"/>
        </w:rPr>
        <w:t>:</w:t>
      </w:r>
    </w:p>
    <w:p w:rsidR="00A012D8" w:rsidRPr="009E4696" w:rsidRDefault="009E4696" w:rsidP="00F70AF8">
      <w:pPr>
        <w:pStyle w:val="ListParagraph"/>
        <w:numPr>
          <w:ilvl w:val="0"/>
          <w:numId w:val="12"/>
        </w:numPr>
        <w:jc w:val="center"/>
        <w:rPr>
          <w:rFonts w:asciiTheme="minorHAnsi" w:hAnsiTheme="minorHAnsi" w:cstheme="minorHAnsi"/>
          <w:sz w:val="24"/>
          <w:szCs w:val="24"/>
          <w:lang w:val="en-US"/>
        </w:rPr>
      </w:pPr>
      <w:r w:rsidRPr="009E4696">
        <w:rPr>
          <w:rFonts w:asciiTheme="minorHAnsi" w:hAnsiTheme="minorHAnsi" w:cstheme="minorHAnsi"/>
          <w:sz w:val="24"/>
          <w:szCs w:val="24"/>
        </w:rPr>
        <w:t>Ηλικία ≥ 70 ετών</w:t>
      </w:r>
    </w:p>
    <w:p w:rsidR="009E4696" w:rsidRDefault="009E4696" w:rsidP="00F70AF8">
      <w:pPr>
        <w:pStyle w:val="ListParagraph"/>
        <w:numPr>
          <w:ilvl w:val="0"/>
          <w:numId w:val="12"/>
        </w:numPr>
        <w:jc w:val="center"/>
        <w:rPr>
          <w:rFonts w:asciiTheme="minorHAnsi" w:hAnsiTheme="minorHAnsi" w:cstheme="minorHAnsi"/>
          <w:sz w:val="24"/>
          <w:szCs w:val="24"/>
        </w:rPr>
      </w:pPr>
      <w:r>
        <w:rPr>
          <w:rFonts w:asciiTheme="minorHAnsi" w:hAnsiTheme="minorHAnsi" w:cstheme="minorHAnsi"/>
          <w:sz w:val="24"/>
          <w:szCs w:val="24"/>
        </w:rPr>
        <w:t xml:space="preserve">Πραγματοποίησαν </w:t>
      </w:r>
      <w:r w:rsidR="00587E25">
        <w:rPr>
          <w:rFonts w:asciiTheme="minorHAnsi" w:hAnsiTheme="minorHAnsi" w:cstheme="minorHAnsi"/>
          <w:sz w:val="24"/>
          <w:szCs w:val="24"/>
        </w:rPr>
        <w:t xml:space="preserve">πλήρη </w:t>
      </w:r>
      <w:r>
        <w:rPr>
          <w:rFonts w:asciiTheme="minorHAnsi" w:hAnsiTheme="minorHAnsi" w:cstheme="minorHAnsi"/>
          <w:sz w:val="24"/>
          <w:szCs w:val="24"/>
        </w:rPr>
        <w:t xml:space="preserve">έλεγχο μνήμης στο Κέντρο </w:t>
      </w:r>
      <w:r>
        <w:rPr>
          <w:rFonts w:asciiTheme="minorHAnsi" w:hAnsiTheme="minorHAnsi" w:cstheme="minorHAnsi"/>
          <w:sz w:val="24"/>
          <w:szCs w:val="24"/>
          <w:lang w:val="en-US"/>
        </w:rPr>
        <w:t>Alzheimer</w:t>
      </w:r>
      <w:r w:rsidRPr="009E4696">
        <w:rPr>
          <w:rFonts w:asciiTheme="minorHAnsi" w:hAnsiTheme="minorHAnsi" w:cstheme="minorHAnsi"/>
          <w:sz w:val="24"/>
          <w:szCs w:val="24"/>
        </w:rPr>
        <w:t xml:space="preserve"> </w:t>
      </w:r>
      <w:r>
        <w:rPr>
          <w:rFonts w:asciiTheme="minorHAnsi" w:hAnsiTheme="minorHAnsi" w:cstheme="minorHAnsi"/>
          <w:sz w:val="24"/>
          <w:szCs w:val="24"/>
        </w:rPr>
        <w:t>της Ψυχογηριατρικής Εταιρείας «Ο Νέστωρ» στην Κυψέλη</w:t>
      </w:r>
    </w:p>
    <w:p w:rsidR="002B63CB" w:rsidRDefault="002B63CB" w:rsidP="00F70AF8">
      <w:pPr>
        <w:pStyle w:val="ListParagraph"/>
        <w:numPr>
          <w:ilvl w:val="0"/>
          <w:numId w:val="12"/>
        </w:numPr>
        <w:jc w:val="center"/>
        <w:rPr>
          <w:rFonts w:asciiTheme="minorHAnsi" w:hAnsiTheme="minorHAnsi" w:cstheme="minorHAnsi"/>
          <w:sz w:val="24"/>
          <w:szCs w:val="24"/>
        </w:rPr>
      </w:pPr>
      <w:bookmarkStart w:id="0" w:name="_GoBack"/>
      <w:bookmarkEnd w:id="0"/>
      <w:r>
        <w:rPr>
          <w:rFonts w:asciiTheme="minorHAnsi" w:hAnsiTheme="minorHAnsi" w:cstheme="minorHAnsi"/>
          <w:sz w:val="24"/>
          <w:szCs w:val="24"/>
        </w:rPr>
        <w:t xml:space="preserve">Είχαν σκορ στο </w:t>
      </w:r>
      <w:r>
        <w:rPr>
          <w:rFonts w:asciiTheme="minorHAnsi" w:hAnsiTheme="minorHAnsi" w:cstheme="minorHAnsi"/>
          <w:sz w:val="24"/>
          <w:szCs w:val="24"/>
          <w:lang w:val="en-US"/>
        </w:rPr>
        <w:t>MMSE &gt; 20/30</w:t>
      </w:r>
    </w:p>
    <w:p w:rsidR="00EA3E53" w:rsidRPr="009E4696" w:rsidRDefault="00EA3E53" w:rsidP="00F70AF8">
      <w:pPr>
        <w:pStyle w:val="ListParagraph"/>
        <w:numPr>
          <w:ilvl w:val="0"/>
          <w:numId w:val="12"/>
        </w:numPr>
        <w:jc w:val="center"/>
        <w:rPr>
          <w:rFonts w:asciiTheme="minorHAnsi" w:hAnsiTheme="minorHAnsi" w:cstheme="minorHAnsi"/>
          <w:sz w:val="24"/>
          <w:szCs w:val="24"/>
        </w:rPr>
      </w:pPr>
      <w:r>
        <w:rPr>
          <w:rFonts w:asciiTheme="minorHAnsi" w:hAnsiTheme="minorHAnsi" w:cstheme="minorHAnsi"/>
          <w:sz w:val="24"/>
          <w:szCs w:val="24"/>
        </w:rPr>
        <w:t>Είχαν φυσιολογική γνωστική λειτουργία, ΗΝΔ (αμνησιακή και μη), ήπια άνοια</w:t>
      </w:r>
    </w:p>
    <w:p w:rsidR="009E4696" w:rsidRPr="009E4696" w:rsidRDefault="009E4696" w:rsidP="00F70AF8">
      <w:pPr>
        <w:pStyle w:val="ListParagraph"/>
        <w:numPr>
          <w:ilvl w:val="0"/>
          <w:numId w:val="12"/>
        </w:numPr>
        <w:jc w:val="center"/>
        <w:rPr>
          <w:rFonts w:asciiTheme="minorHAnsi" w:hAnsiTheme="minorHAnsi" w:cstheme="minorHAnsi"/>
          <w:sz w:val="24"/>
          <w:szCs w:val="24"/>
        </w:rPr>
      </w:pPr>
      <w:r w:rsidRPr="009E4696">
        <w:rPr>
          <w:rFonts w:asciiTheme="minorHAnsi" w:hAnsiTheme="minorHAnsi" w:cstheme="minorHAnsi"/>
          <w:sz w:val="24"/>
          <w:szCs w:val="24"/>
        </w:rPr>
        <w:t xml:space="preserve">Έδωσαν γραπτή συναίνεση συμμετοχής στην μελέτη, μετά από </w:t>
      </w:r>
      <w:r w:rsidR="007401AD">
        <w:rPr>
          <w:rFonts w:asciiTheme="minorHAnsi" w:hAnsiTheme="minorHAnsi" w:cstheme="minorHAnsi"/>
          <w:sz w:val="24"/>
          <w:szCs w:val="24"/>
        </w:rPr>
        <w:t xml:space="preserve">αναλυτική </w:t>
      </w:r>
      <w:r w:rsidRPr="009E4696">
        <w:rPr>
          <w:rFonts w:asciiTheme="minorHAnsi" w:hAnsiTheme="minorHAnsi" w:cstheme="minorHAnsi"/>
          <w:sz w:val="24"/>
          <w:szCs w:val="24"/>
        </w:rPr>
        <w:t>προφορική και γραπτή ενημέρωση</w:t>
      </w:r>
    </w:p>
    <w:p w:rsidR="009E4696" w:rsidRDefault="009E4696" w:rsidP="009E4696">
      <w:pPr>
        <w:pStyle w:val="ListParagraph"/>
        <w:rPr>
          <w:sz w:val="24"/>
          <w:szCs w:val="24"/>
        </w:rPr>
      </w:pPr>
    </w:p>
    <w:p w:rsidR="009E4696" w:rsidRPr="005252D5" w:rsidRDefault="00B43EDE" w:rsidP="009E4696">
      <w:pPr>
        <w:rPr>
          <w:sz w:val="24"/>
          <w:szCs w:val="24"/>
        </w:rPr>
      </w:pPr>
      <w:r>
        <w:rPr>
          <w:sz w:val="24"/>
          <w:szCs w:val="24"/>
        </w:rPr>
        <w:t>Από την μελέτη αποκλείστηκαν άτομα</w:t>
      </w:r>
      <w:r w:rsidRPr="00B43EDE">
        <w:rPr>
          <w:sz w:val="24"/>
          <w:szCs w:val="24"/>
        </w:rPr>
        <w:t>:</w:t>
      </w:r>
    </w:p>
    <w:p w:rsidR="00B43EDE" w:rsidRDefault="00B43EDE" w:rsidP="00B43EDE">
      <w:pPr>
        <w:pStyle w:val="ListParagraph"/>
        <w:numPr>
          <w:ilvl w:val="0"/>
          <w:numId w:val="13"/>
        </w:numPr>
        <w:rPr>
          <w:rFonts w:asciiTheme="minorHAnsi" w:hAnsiTheme="minorHAnsi" w:cstheme="minorHAnsi"/>
          <w:sz w:val="24"/>
          <w:szCs w:val="24"/>
          <w:lang w:val="en-US"/>
        </w:rPr>
      </w:pPr>
      <w:r w:rsidRPr="00C8720B">
        <w:rPr>
          <w:rFonts w:asciiTheme="minorHAnsi" w:hAnsiTheme="minorHAnsi" w:cstheme="minorHAnsi"/>
          <w:sz w:val="24"/>
          <w:szCs w:val="24"/>
        </w:rPr>
        <w:t>Ηλικία &lt;70 ετών</w:t>
      </w:r>
    </w:p>
    <w:p w:rsidR="00F11706" w:rsidRPr="00F11706" w:rsidRDefault="00F11706" w:rsidP="00B43EDE">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Με μέτρια και σοβαρή άνοια (</w:t>
      </w:r>
      <w:r>
        <w:rPr>
          <w:rFonts w:asciiTheme="minorHAnsi" w:hAnsiTheme="minorHAnsi" w:cstheme="minorHAnsi"/>
          <w:sz w:val="24"/>
          <w:szCs w:val="24"/>
          <w:lang w:val="en-US"/>
        </w:rPr>
        <w:t>MMSE</w:t>
      </w:r>
      <w:r w:rsidRPr="00F11706">
        <w:rPr>
          <w:rFonts w:asciiTheme="minorHAnsi" w:hAnsiTheme="minorHAnsi" w:cstheme="minorHAnsi"/>
          <w:sz w:val="24"/>
          <w:szCs w:val="24"/>
        </w:rPr>
        <w:t xml:space="preserve"> &lt;20/30</w:t>
      </w:r>
      <w:r>
        <w:rPr>
          <w:rFonts w:asciiTheme="minorHAnsi" w:hAnsiTheme="minorHAnsi" w:cstheme="minorHAnsi"/>
          <w:sz w:val="24"/>
          <w:szCs w:val="24"/>
        </w:rPr>
        <w:t>)</w:t>
      </w:r>
    </w:p>
    <w:p w:rsidR="00B43EDE" w:rsidRPr="00C8720B" w:rsidRDefault="009858DF" w:rsidP="00B43EDE">
      <w:pPr>
        <w:pStyle w:val="ListParagraph"/>
        <w:numPr>
          <w:ilvl w:val="0"/>
          <w:numId w:val="13"/>
        </w:numPr>
        <w:rPr>
          <w:rFonts w:asciiTheme="minorHAnsi" w:hAnsiTheme="minorHAnsi" w:cstheme="minorHAnsi"/>
          <w:sz w:val="24"/>
          <w:szCs w:val="24"/>
        </w:rPr>
      </w:pPr>
      <w:r w:rsidRPr="00C8720B">
        <w:rPr>
          <w:rFonts w:asciiTheme="minorHAnsi" w:hAnsiTheme="minorHAnsi" w:cstheme="minorHAnsi"/>
          <w:sz w:val="24"/>
          <w:szCs w:val="24"/>
        </w:rPr>
        <w:t>Είχαν γνωστή νευρολογική πάθηση ή αναπηρία</w:t>
      </w:r>
    </w:p>
    <w:p w:rsidR="009858DF" w:rsidRDefault="009858DF" w:rsidP="00B43EDE">
      <w:pPr>
        <w:pStyle w:val="ListParagraph"/>
        <w:numPr>
          <w:ilvl w:val="0"/>
          <w:numId w:val="13"/>
        </w:numPr>
        <w:rPr>
          <w:rFonts w:asciiTheme="minorHAnsi" w:hAnsiTheme="minorHAnsi" w:cstheme="minorHAnsi"/>
          <w:sz w:val="24"/>
          <w:szCs w:val="24"/>
        </w:rPr>
      </w:pPr>
      <w:r w:rsidRPr="00C8720B">
        <w:rPr>
          <w:rFonts w:asciiTheme="minorHAnsi" w:hAnsiTheme="minorHAnsi" w:cstheme="minorHAnsi"/>
          <w:sz w:val="24"/>
          <w:szCs w:val="24"/>
        </w:rPr>
        <w:t xml:space="preserve">Είχαν γνωστό ψυχιατρικό ιστορικό </w:t>
      </w:r>
      <w:r w:rsidR="005F73AD" w:rsidRPr="00C8720B">
        <w:rPr>
          <w:rFonts w:asciiTheme="minorHAnsi" w:hAnsiTheme="minorHAnsi" w:cstheme="minorHAnsi"/>
          <w:sz w:val="24"/>
          <w:szCs w:val="24"/>
        </w:rPr>
        <w:t xml:space="preserve">(π.χ. ψύχωση) ή </w:t>
      </w:r>
      <w:r w:rsidR="00587E25">
        <w:rPr>
          <w:rFonts w:asciiTheme="minorHAnsi" w:hAnsiTheme="minorHAnsi" w:cstheme="minorHAnsi"/>
          <w:sz w:val="24"/>
          <w:szCs w:val="24"/>
        </w:rPr>
        <w:t xml:space="preserve">ψυχιατρική </w:t>
      </w:r>
      <w:r w:rsidR="005F73AD" w:rsidRPr="00C8720B">
        <w:rPr>
          <w:rFonts w:asciiTheme="minorHAnsi" w:hAnsiTheme="minorHAnsi" w:cstheme="minorHAnsi"/>
          <w:sz w:val="24"/>
          <w:szCs w:val="24"/>
        </w:rPr>
        <w:t xml:space="preserve">νοσηλεία </w:t>
      </w:r>
    </w:p>
    <w:p w:rsidR="00913136" w:rsidRPr="00C8720B" w:rsidRDefault="00913136" w:rsidP="00B43EDE">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Παρουσίαζαν σοβαρού βαθμού αισθητηριακά ελλείμματα</w:t>
      </w:r>
    </w:p>
    <w:p w:rsidR="00B43EDE" w:rsidRPr="00C8720B" w:rsidRDefault="00B43EDE" w:rsidP="00B43EDE">
      <w:pPr>
        <w:pStyle w:val="ListParagraph"/>
        <w:numPr>
          <w:ilvl w:val="0"/>
          <w:numId w:val="13"/>
        </w:numPr>
        <w:rPr>
          <w:rFonts w:asciiTheme="minorHAnsi" w:hAnsiTheme="minorHAnsi" w:cstheme="minorHAnsi"/>
          <w:sz w:val="24"/>
          <w:szCs w:val="24"/>
        </w:rPr>
      </w:pPr>
      <w:r w:rsidRPr="00C8720B">
        <w:rPr>
          <w:rFonts w:asciiTheme="minorHAnsi" w:hAnsiTheme="minorHAnsi" w:cstheme="minorHAnsi"/>
          <w:sz w:val="24"/>
          <w:szCs w:val="24"/>
        </w:rPr>
        <w:t>Δεν συναίνεσαν στην συμμετοχή τους στην μελέτη</w:t>
      </w:r>
    </w:p>
    <w:p w:rsidR="00B43EDE" w:rsidRPr="00C8720B" w:rsidRDefault="00B43EDE" w:rsidP="00B43EDE">
      <w:pPr>
        <w:pStyle w:val="ListParagraph"/>
        <w:numPr>
          <w:ilvl w:val="0"/>
          <w:numId w:val="13"/>
        </w:numPr>
        <w:rPr>
          <w:rFonts w:asciiTheme="minorHAnsi" w:hAnsiTheme="minorHAnsi" w:cstheme="minorHAnsi"/>
          <w:sz w:val="24"/>
          <w:szCs w:val="24"/>
        </w:rPr>
      </w:pPr>
      <w:r w:rsidRPr="00C8720B">
        <w:rPr>
          <w:rFonts w:asciiTheme="minorHAnsi" w:hAnsiTheme="minorHAnsi" w:cstheme="minorHAnsi"/>
          <w:sz w:val="24"/>
          <w:szCs w:val="24"/>
        </w:rPr>
        <w:t>Υπήρχε δυσκολία επικοινωνίας και δεν υπήρχε φροντιστής να δώσει πληροφορίες</w:t>
      </w:r>
    </w:p>
    <w:p w:rsidR="009858DF" w:rsidRPr="00C8720B" w:rsidRDefault="009858DF" w:rsidP="00B43EDE">
      <w:pPr>
        <w:pStyle w:val="ListParagraph"/>
        <w:numPr>
          <w:ilvl w:val="0"/>
          <w:numId w:val="13"/>
        </w:numPr>
        <w:rPr>
          <w:rFonts w:asciiTheme="minorHAnsi" w:hAnsiTheme="minorHAnsi" w:cstheme="minorHAnsi"/>
          <w:sz w:val="24"/>
          <w:szCs w:val="24"/>
        </w:rPr>
      </w:pPr>
      <w:r w:rsidRPr="00C8720B">
        <w:rPr>
          <w:rFonts w:asciiTheme="minorHAnsi" w:hAnsiTheme="minorHAnsi" w:cstheme="minorHAnsi"/>
          <w:sz w:val="24"/>
          <w:szCs w:val="24"/>
        </w:rPr>
        <w:t>Δεν μιλούσαν ελληνικά</w:t>
      </w:r>
    </w:p>
    <w:p w:rsidR="00280D0E" w:rsidRDefault="00280D0E" w:rsidP="00280D0E">
      <w:pPr>
        <w:rPr>
          <w:sz w:val="24"/>
          <w:szCs w:val="24"/>
        </w:rPr>
      </w:pPr>
    </w:p>
    <w:p w:rsidR="00913136" w:rsidRDefault="00D55E4B" w:rsidP="00280D0E">
      <w:pPr>
        <w:rPr>
          <w:sz w:val="24"/>
          <w:szCs w:val="24"/>
        </w:rPr>
      </w:pPr>
      <w:r>
        <w:rPr>
          <w:sz w:val="24"/>
          <w:szCs w:val="24"/>
        </w:rPr>
        <w:t xml:space="preserve">Αρχικά, υπήρξε ενημέρωση των συμμετεχόντων για τη συγκεκριμένη μελέτη και ζητήθηκε η γραπτή συναίνεση συμμετοχής τους σε αυτή και δόθηκε αντίγραφο αυτής. Στη συνέχεια έγινε λήψη των στοιχείων των συμμετεχόντων και του ιατρικού ιστορικού τους. Ακολούθησε αξιολόγηση της λειτουργικότητας τους, της γνωστικής τους κατάστασης και της διάθεσης τους μέσω σταθμισμένων εργαλείων στην ελληνική γλώσσα. Τέλος, πραγματοποιήθηκε εκτίμηση της ευπάθειας των ατόμων  μέσω εργαλείων σε σωματικό, ψυχολογικό και κοινωνικό επίπεδο. </w:t>
      </w:r>
    </w:p>
    <w:p w:rsidR="00362E48" w:rsidRPr="00280D0E" w:rsidRDefault="00362E48" w:rsidP="00280D0E">
      <w:pPr>
        <w:rPr>
          <w:sz w:val="24"/>
          <w:szCs w:val="24"/>
        </w:rPr>
      </w:pPr>
    </w:p>
    <w:p w:rsidR="00255C42" w:rsidRDefault="003C7F67" w:rsidP="003C7F67">
      <w:pPr>
        <w:rPr>
          <w:b/>
          <w:sz w:val="28"/>
          <w:szCs w:val="28"/>
        </w:rPr>
      </w:pPr>
      <w:r w:rsidRPr="00CE18C5">
        <w:rPr>
          <w:b/>
          <w:sz w:val="28"/>
          <w:szCs w:val="28"/>
        </w:rPr>
        <w:t>Β.2.</w:t>
      </w:r>
      <w:r>
        <w:rPr>
          <w:b/>
          <w:sz w:val="28"/>
          <w:szCs w:val="28"/>
        </w:rPr>
        <w:t>2</w:t>
      </w:r>
      <w:r w:rsidRPr="00CE18C5">
        <w:rPr>
          <w:b/>
          <w:sz w:val="28"/>
          <w:szCs w:val="28"/>
        </w:rPr>
        <w:t xml:space="preserve"> </w:t>
      </w:r>
      <w:r>
        <w:rPr>
          <w:b/>
          <w:sz w:val="28"/>
          <w:szCs w:val="28"/>
        </w:rPr>
        <w:t>Λήψη ιστορικού και εργαλεία έρευνας</w:t>
      </w:r>
    </w:p>
    <w:p w:rsidR="00445C53" w:rsidRDefault="00445C53" w:rsidP="003C7F67">
      <w:pPr>
        <w:rPr>
          <w:sz w:val="24"/>
          <w:szCs w:val="24"/>
        </w:rPr>
      </w:pPr>
      <w:r>
        <w:rPr>
          <w:sz w:val="24"/>
          <w:szCs w:val="24"/>
        </w:rPr>
        <w:t xml:space="preserve">Αρχικά, οι συμμετέχοντες απάντησαν σε ερωτήσεις που αφορούσαν τα δημογραφικά και κοινωνικά τους στοιχεία. Πιο συγκεκριμένα ηλικία, φύλο, μορφωτικό επίπεδο σε έτη, οικογενειακή κατάσταση (έγγαμος, διαζευγμένος, χήρος και άγαμος), αριθμών παιδιών, συνθήκες διαβίωσης (με σύζυγο, μόνος, με παιδί, με άλλο συγγενή, με σύντροφο), εάν υπάρχει φροντιστής οικογενειακός ή επαγγελματίας. </w:t>
      </w:r>
    </w:p>
    <w:p w:rsidR="00445C53" w:rsidRPr="000C5A7F" w:rsidRDefault="00445C53" w:rsidP="003C7F67">
      <w:pPr>
        <w:rPr>
          <w:sz w:val="24"/>
          <w:szCs w:val="24"/>
        </w:rPr>
      </w:pPr>
      <w:r>
        <w:rPr>
          <w:sz w:val="24"/>
          <w:szCs w:val="24"/>
        </w:rPr>
        <w:lastRenderedPageBreak/>
        <w:t>Ακολούθησε αξιολόγηση του ιατρικού ιστορικού. Πιο συγκεκριμένα εάν υπάρχει ιστορικό άνοιας στην οικογένεια, αν συνυπάρχει ψυχιατρικού τύπου διάγνωση (διαταραχές διάθεσης, αγχώδεις διαταραχές), ο αριθμός φαρμάκων που λαμβάνεται, εάν υπάρχει πολυφαρμακία(</w:t>
      </w:r>
      <w:r>
        <w:rPr>
          <w:rFonts w:cstheme="minorHAnsi"/>
          <w:sz w:val="24"/>
          <w:szCs w:val="24"/>
        </w:rPr>
        <w:t>≥</w:t>
      </w:r>
      <w:r>
        <w:rPr>
          <w:sz w:val="24"/>
          <w:szCs w:val="24"/>
        </w:rPr>
        <w:t xml:space="preserve">5 φάρμακα), </w:t>
      </w:r>
      <w:r w:rsidR="0030128B">
        <w:rPr>
          <w:sz w:val="24"/>
          <w:szCs w:val="24"/>
        </w:rPr>
        <w:t>εάν λαμβάνονται αντιανοικά φάρμακα και ποια ουσία συγκεκριμένα (ριβαστιγμίνη, δονεπεζίλη, γαλανταμίνη, μεμαντίνη), εάν λαμβάνονται αντιψυχωτικά, αντικαταθλιπτικά, βενζοδιαζεπίνες. Ως προς τα συ</w:t>
      </w:r>
      <w:r w:rsidR="000C5A7F">
        <w:rPr>
          <w:sz w:val="24"/>
          <w:szCs w:val="24"/>
        </w:rPr>
        <w:t>μπ</w:t>
      </w:r>
      <w:r w:rsidR="0030128B">
        <w:rPr>
          <w:sz w:val="24"/>
          <w:szCs w:val="24"/>
        </w:rPr>
        <w:t>ληρώματα έγινε ερώτηση εάν λαμβάνεται συ</w:t>
      </w:r>
      <w:r w:rsidR="000C5A7F">
        <w:rPr>
          <w:sz w:val="24"/>
          <w:szCs w:val="24"/>
        </w:rPr>
        <w:t>μ</w:t>
      </w:r>
      <w:r w:rsidR="0030128B">
        <w:rPr>
          <w:sz w:val="24"/>
          <w:szCs w:val="24"/>
        </w:rPr>
        <w:t xml:space="preserve">πλήρωμα </w:t>
      </w:r>
      <w:r w:rsidR="0030128B">
        <w:rPr>
          <w:sz w:val="24"/>
          <w:szCs w:val="24"/>
          <w:lang w:val="en-US"/>
        </w:rPr>
        <w:t>B</w:t>
      </w:r>
      <w:r w:rsidR="0030128B" w:rsidRPr="0030128B">
        <w:rPr>
          <w:sz w:val="24"/>
          <w:szCs w:val="24"/>
        </w:rPr>
        <w:t xml:space="preserve">12 </w:t>
      </w:r>
      <w:r w:rsidR="0030128B">
        <w:rPr>
          <w:sz w:val="24"/>
          <w:szCs w:val="24"/>
        </w:rPr>
        <w:t xml:space="preserve">και </w:t>
      </w:r>
      <w:r w:rsidR="0030128B">
        <w:rPr>
          <w:sz w:val="24"/>
          <w:szCs w:val="24"/>
          <w:lang w:val="en-US"/>
        </w:rPr>
        <w:t>D</w:t>
      </w:r>
      <w:r w:rsidR="0030128B" w:rsidRPr="0030128B">
        <w:rPr>
          <w:sz w:val="24"/>
          <w:szCs w:val="24"/>
        </w:rPr>
        <w:t xml:space="preserve">3. </w:t>
      </w:r>
    </w:p>
    <w:p w:rsidR="00FF7F2A" w:rsidRPr="00F70AF8" w:rsidRDefault="000C5A7F" w:rsidP="003C7F67">
      <w:pPr>
        <w:rPr>
          <w:sz w:val="24"/>
          <w:szCs w:val="24"/>
        </w:rPr>
      </w:pPr>
      <w:r>
        <w:rPr>
          <w:sz w:val="24"/>
          <w:szCs w:val="24"/>
        </w:rPr>
        <w:t xml:space="preserve">Όσο αφορά προβλήματα υγείας, έγινε πλήρη λήψη ιατρικού ιστορικού. Τα άτομα ερωτήθηκαν για υπέρταση, σακχαρώδη διαβήτη, υπερχοληστερολαιμία, καρδιαγγειακά συμβάματα όπως το ΑΕΕ και το ΟΕΜ, καρδιαγγειακές παθήσεις, θυρεοειδή, </w:t>
      </w:r>
      <w:r w:rsidR="009D3F6C">
        <w:rPr>
          <w:sz w:val="24"/>
          <w:szCs w:val="24"/>
        </w:rPr>
        <w:t xml:space="preserve">προβλήματα αναπνευστικού (ΧΑΠ, υπνική άπνοια), ιστορικό καρκίνου, ρευματολογικές παθήσεις, εάν βρίσκονται υπό κορτιζόλη, μεθοτρεξάτη ή μονοκλωνικά αντισώματα για αυτές, εάν έχουν οστεοαρθρίτιδα, </w:t>
      </w:r>
      <w:r w:rsidR="00D276E6">
        <w:rPr>
          <w:sz w:val="24"/>
          <w:szCs w:val="24"/>
        </w:rPr>
        <w:t>οστεοπόρωση ή οστεοπενία, ιστορικό κατάγματος, πτώσεων και κρανιοεγκεφαλικής κάκωσης</w:t>
      </w:r>
      <w:r w:rsidR="00D276E6" w:rsidRPr="00D276E6">
        <w:rPr>
          <w:sz w:val="24"/>
          <w:szCs w:val="24"/>
        </w:rPr>
        <w:t xml:space="preserve"> (</w:t>
      </w:r>
      <w:r w:rsidR="00D276E6">
        <w:rPr>
          <w:sz w:val="24"/>
          <w:szCs w:val="24"/>
          <w:lang w:val="en-US"/>
        </w:rPr>
        <w:t>TBI</w:t>
      </w:r>
      <w:r w:rsidR="00D276E6" w:rsidRPr="00D276E6">
        <w:rPr>
          <w:sz w:val="24"/>
          <w:szCs w:val="24"/>
        </w:rPr>
        <w:t>)</w:t>
      </w:r>
      <w:r w:rsidR="00D276E6">
        <w:rPr>
          <w:sz w:val="24"/>
          <w:szCs w:val="24"/>
        </w:rPr>
        <w:t xml:space="preserve">. </w:t>
      </w:r>
    </w:p>
    <w:p w:rsidR="00FF7F2A" w:rsidRPr="00FF7F2A" w:rsidRDefault="00FF7F2A" w:rsidP="003C7F67">
      <w:pPr>
        <w:rPr>
          <w:sz w:val="24"/>
          <w:szCs w:val="24"/>
        </w:rPr>
      </w:pPr>
      <w:r>
        <w:rPr>
          <w:sz w:val="24"/>
          <w:szCs w:val="24"/>
        </w:rPr>
        <w:t>Στην αξιολόγηση μετρήθηκε το βάρος και ύψος των συμμετεχόντων και καθορίστηκε ο Δείκτης Μάζας</w:t>
      </w:r>
      <w:r w:rsidR="002B63CB">
        <w:rPr>
          <w:sz w:val="24"/>
          <w:szCs w:val="24"/>
        </w:rPr>
        <w:t xml:space="preserve"> </w:t>
      </w:r>
      <w:r>
        <w:rPr>
          <w:sz w:val="24"/>
          <w:szCs w:val="24"/>
        </w:rPr>
        <w:t>Σώματος</w:t>
      </w:r>
      <w:r w:rsidR="002B63CB">
        <w:rPr>
          <w:sz w:val="24"/>
          <w:szCs w:val="24"/>
        </w:rPr>
        <w:t xml:space="preserve"> </w:t>
      </w:r>
      <w:r>
        <w:rPr>
          <w:sz w:val="24"/>
          <w:szCs w:val="24"/>
        </w:rPr>
        <w:t>(ΔΜΣ/</w:t>
      </w:r>
      <w:r>
        <w:rPr>
          <w:sz w:val="24"/>
          <w:szCs w:val="24"/>
          <w:lang w:val="en-US"/>
        </w:rPr>
        <w:t>BMI</w:t>
      </w:r>
      <w:r>
        <w:rPr>
          <w:sz w:val="24"/>
          <w:szCs w:val="24"/>
        </w:rPr>
        <w:t>)</w:t>
      </w:r>
      <w:r w:rsidRPr="00FF7F2A">
        <w:rPr>
          <w:sz w:val="24"/>
          <w:szCs w:val="24"/>
        </w:rPr>
        <w:t xml:space="preserve"> </w:t>
      </w:r>
      <w:r>
        <w:rPr>
          <w:sz w:val="24"/>
          <w:szCs w:val="24"/>
        </w:rPr>
        <w:t xml:space="preserve">και η αντίστοιχη κατηγορία </w:t>
      </w:r>
      <w:r w:rsidRPr="00FF7F2A">
        <w:rPr>
          <w:sz w:val="24"/>
          <w:szCs w:val="24"/>
        </w:rPr>
        <w:t xml:space="preserve">: </w:t>
      </w:r>
    </w:p>
    <w:p w:rsidR="00FF7F2A" w:rsidRPr="00FF7F2A" w:rsidRDefault="00FF7F2A" w:rsidP="00FF7F2A">
      <w:pPr>
        <w:pStyle w:val="ListParagraph"/>
        <w:numPr>
          <w:ilvl w:val="0"/>
          <w:numId w:val="14"/>
        </w:numPr>
        <w:rPr>
          <w:sz w:val="24"/>
          <w:szCs w:val="24"/>
        </w:rPr>
      </w:pPr>
      <w:r w:rsidRPr="00FF7F2A">
        <w:rPr>
          <w:sz w:val="24"/>
          <w:szCs w:val="24"/>
        </w:rPr>
        <w:t>Ελλιποβαρής</w:t>
      </w:r>
      <w:r>
        <w:rPr>
          <w:sz w:val="24"/>
          <w:szCs w:val="24"/>
          <w:lang w:val="en-US"/>
        </w:rPr>
        <w:t xml:space="preserve"> (BMI &lt; 18.5)</w:t>
      </w:r>
    </w:p>
    <w:p w:rsidR="00FF7F2A" w:rsidRPr="00FF7F2A" w:rsidRDefault="00FF7F2A" w:rsidP="00FF7F2A">
      <w:pPr>
        <w:pStyle w:val="ListParagraph"/>
        <w:numPr>
          <w:ilvl w:val="0"/>
          <w:numId w:val="14"/>
        </w:numPr>
        <w:rPr>
          <w:sz w:val="24"/>
          <w:szCs w:val="24"/>
          <w:lang w:val="en-US"/>
        </w:rPr>
      </w:pPr>
      <w:r w:rsidRPr="00FF7F2A">
        <w:rPr>
          <w:sz w:val="24"/>
          <w:szCs w:val="24"/>
        </w:rPr>
        <w:t>Φυσιολογικός</w:t>
      </w:r>
      <w:r>
        <w:rPr>
          <w:sz w:val="24"/>
          <w:szCs w:val="24"/>
          <w:lang w:val="en-US"/>
        </w:rPr>
        <w:t xml:space="preserve"> (BMI  19-24.9)</w:t>
      </w:r>
    </w:p>
    <w:p w:rsidR="00FF7F2A" w:rsidRPr="00FF7F2A" w:rsidRDefault="00FF7F2A" w:rsidP="00FF7F2A">
      <w:pPr>
        <w:pStyle w:val="ListParagraph"/>
        <w:numPr>
          <w:ilvl w:val="0"/>
          <w:numId w:val="14"/>
        </w:numPr>
        <w:rPr>
          <w:sz w:val="24"/>
          <w:szCs w:val="24"/>
        </w:rPr>
      </w:pPr>
      <w:r w:rsidRPr="00FF7F2A">
        <w:rPr>
          <w:sz w:val="24"/>
          <w:szCs w:val="24"/>
        </w:rPr>
        <w:t>Υπέρβαρος</w:t>
      </w:r>
      <w:r>
        <w:rPr>
          <w:sz w:val="24"/>
          <w:szCs w:val="24"/>
          <w:lang w:val="en-US"/>
        </w:rPr>
        <w:t xml:space="preserve"> (BMI 25-29.9)</w:t>
      </w:r>
    </w:p>
    <w:p w:rsidR="00214F8C" w:rsidRPr="00724E36" w:rsidRDefault="00FF7F2A" w:rsidP="00FF7F2A">
      <w:pPr>
        <w:pStyle w:val="ListParagraph"/>
        <w:numPr>
          <w:ilvl w:val="0"/>
          <w:numId w:val="14"/>
        </w:numPr>
        <w:rPr>
          <w:sz w:val="24"/>
          <w:szCs w:val="24"/>
        </w:rPr>
      </w:pPr>
      <w:r w:rsidRPr="00FF7F2A">
        <w:rPr>
          <w:sz w:val="24"/>
          <w:szCs w:val="24"/>
        </w:rPr>
        <w:t>Παχύσαρκος</w:t>
      </w:r>
      <w:r>
        <w:rPr>
          <w:sz w:val="24"/>
          <w:szCs w:val="24"/>
          <w:lang w:val="en-US"/>
        </w:rPr>
        <w:t xml:space="preserve"> (BMI &gt; 30)</w:t>
      </w:r>
    </w:p>
    <w:p w:rsidR="00724E36" w:rsidRDefault="00724E36" w:rsidP="00724E36">
      <w:pPr>
        <w:rPr>
          <w:sz w:val="24"/>
          <w:szCs w:val="24"/>
          <w:lang w:val="en-US"/>
        </w:rPr>
      </w:pPr>
    </w:p>
    <w:p w:rsidR="00724E36" w:rsidRPr="00724E36" w:rsidRDefault="00724E36" w:rsidP="00724E36">
      <w:pPr>
        <w:rPr>
          <w:sz w:val="24"/>
          <w:szCs w:val="24"/>
        </w:rPr>
      </w:pPr>
      <w:r>
        <w:rPr>
          <w:sz w:val="24"/>
          <w:szCs w:val="24"/>
        </w:rPr>
        <w:t xml:space="preserve">Επιπρόσθετα, έγινε εκτίμηση των αισθητηριακών ελλειμμάτων των ατόμων. Πιο συγκεκριμένα, εάν είχαν διαταραχές ακοής και όρασης και εάν χρησιμοποιούσαν αντίστοιχο βοήθημα ή όχι. </w:t>
      </w:r>
    </w:p>
    <w:p w:rsidR="00871DD4" w:rsidRDefault="00724E36" w:rsidP="00724E36">
      <w:pPr>
        <w:rPr>
          <w:sz w:val="24"/>
          <w:szCs w:val="24"/>
        </w:rPr>
      </w:pPr>
      <w:r>
        <w:rPr>
          <w:sz w:val="24"/>
          <w:szCs w:val="24"/>
        </w:rPr>
        <w:t xml:space="preserve">Οι συμμετέχοντες ερωτήθηκαν για το εάν καπνίζουν </w:t>
      </w:r>
      <w:r w:rsidR="00B116E2">
        <w:rPr>
          <w:sz w:val="24"/>
          <w:szCs w:val="24"/>
        </w:rPr>
        <w:t xml:space="preserve">τώρα και πόσα τσιγάρα ημερησίως </w:t>
      </w:r>
      <w:r>
        <w:rPr>
          <w:sz w:val="24"/>
          <w:szCs w:val="24"/>
        </w:rPr>
        <w:t xml:space="preserve">ή </w:t>
      </w:r>
      <w:r w:rsidR="00B116E2">
        <w:rPr>
          <w:sz w:val="24"/>
          <w:szCs w:val="24"/>
        </w:rPr>
        <w:t xml:space="preserve">είναι πρώην καπνιστές και πόσα χρόνια κάπνιζαν. Επίσης, ερωτήθηκαν εάν καταναλώνουν αλκοόλ, πόσα έτη και πόσα ποτά την εβδομάδα αλλά και αν κάνουν χρήση ουσιών. </w:t>
      </w:r>
    </w:p>
    <w:p w:rsidR="003F363B" w:rsidRDefault="003A6818" w:rsidP="00724E36">
      <w:pPr>
        <w:rPr>
          <w:sz w:val="24"/>
          <w:szCs w:val="24"/>
        </w:rPr>
      </w:pPr>
      <w:r>
        <w:rPr>
          <w:sz w:val="24"/>
          <w:szCs w:val="24"/>
        </w:rPr>
        <w:t xml:space="preserve">Για την λειτουργικότητα των ατόμων χρησιμοποιήθηκαν οι κλίμακες </w:t>
      </w:r>
      <w:r>
        <w:rPr>
          <w:sz w:val="24"/>
          <w:szCs w:val="24"/>
          <w:lang w:val="en-US"/>
        </w:rPr>
        <w:t>KATZ</w:t>
      </w:r>
      <w:r w:rsidRPr="003A6818">
        <w:rPr>
          <w:sz w:val="24"/>
          <w:szCs w:val="24"/>
        </w:rPr>
        <w:t xml:space="preserve"> </w:t>
      </w:r>
      <w:r>
        <w:rPr>
          <w:sz w:val="24"/>
          <w:szCs w:val="24"/>
        </w:rPr>
        <w:t xml:space="preserve"> και </w:t>
      </w:r>
      <w:r>
        <w:rPr>
          <w:sz w:val="24"/>
          <w:szCs w:val="24"/>
          <w:lang w:val="en-US"/>
        </w:rPr>
        <w:t>IADL</w:t>
      </w:r>
      <w:r w:rsidRPr="003A6818">
        <w:rPr>
          <w:sz w:val="24"/>
          <w:szCs w:val="24"/>
        </w:rPr>
        <w:t xml:space="preserve">. </w:t>
      </w:r>
      <w:r>
        <w:rPr>
          <w:sz w:val="24"/>
          <w:szCs w:val="24"/>
        </w:rPr>
        <w:t xml:space="preserve">Η κλίμακα </w:t>
      </w:r>
      <w:r>
        <w:rPr>
          <w:sz w:val="24"/>
          <w:szCs w:val="24"/>
          <w:lang w:val="en-US"/>
        </w:rPr>
        <w:t>Katz</w:t>
      </w:r>
      <w:r w:rsidRPr="003A6818">
        <w:rPr>
          <w:sz w:val="24"/>
          <w:szCs w:val="24"/>
        </w:rPr>
        <w:t xml:space="preserve"> </w:t>
      </w:r>
      <w:r>
        <w:rPr>
          <w:sz w:val="24"/>
          <w:szCs w:val="24"/>
        </w:rPr>
        <w:t>αφορά 6 βασικές λειτουργίες του ατόμου στην καθημερινότητα όπως το μπάνιο, το ντύσιμο, τις μετακινήσεις, την ανεξαρτησία στην τουαλέτα, την ακράτεια και την σίτιση. Το άτομο κρίνεται ανεξάρτητο ή μη</w:t>
      </w:r>
      <w:r w:rsidR="005B483D">
        <w:rPr>
          <w:sz w:val="24"/>
          <w:szCs w:val="24"/>
        </w:rPr>
        <w:t xml:space="preserve"> και το σκορ είναι στα 6</w:t>
      </w:r>
      <w:r>
        <w:rPr>
          <w:sz w:val="24"/>
          <w:szCs w:val="24"/>
        </w:rPr>
        <w:t xml:space="preserve">. </w:t>
      </w:r>
      <w:r w:rsidR="005B483D">
        <w:rPr>
          <w:sz w:val="24"/>
          <w:szCs w:val="24"/>
        </w:rPr>
        <w:t xml:space="preserve">Για τις σύνθετες λειτουργίες της καθημερινής ζωής χρησιμοποιήθηκε η κλίμακα </w:t>
      </w:r>
      <w:r w:rsidR="005B483D">
        <w:rPr>
          <w:sz w:val="24"/>
          <w:szCs w:val="24"/>
          <w:lang w:val="en-US"/>
        </w:rPr>
        <w:t>IADL</w:t>
      </w:r>
      <w:r w:rsidR="005B483D">
        <w:rPr>
          <w:sz w:val="24"/>
          <w:szCs w:val="24"/>
        </w:rPr>
        <w:t xml:space="preserve">, η οποία βαθμολογήθηκε με συνολικό σκορ στα 8. Η </w:t>
      </w:r>
      <w:r w:rsidR="005B483D">
        <w:rPr>
          <w:sz w:val="24"/>
          <w:szCs w:val="24"/>
          <w:lang w:val="en-US"/>
        </w:rPr>
        <w:t>IADL</w:t>
      </w:r>
      <w:r w:rsidR="005B483D" w:rsidRPr="005B483D">
        <w:rPr>
          <w:sz w:val="24"/>
          <w:szCs w:val="24"/>
        </w:rPr>
        <w:t xml:space="preserve"> </w:t>
      </w:r>
      <w:r w:rsidR="005B483D">
        <w:rPr>
          <w:sz w:val="24"/>
          <w:szCs w:val="24"/>
        </w:rPr>
        <w:t xml:space="preserve">περιλαμβάνει την χρήση τηλεφώνου, την ανεξαρτησία στα ψώνια, το μαγείρεμα, τις δουλειές σπιτιού, το πλύσιμο των ρούχων, </w:t>
      </w:r>
      <w:r w:rsidR="00736B64">
        <w:rPr>
          <w:sz w:val="24"/>
          <w:szCs w:val="24"/>
        </w:rPr>
        <w:t xml:space="preserve">τις μεταφορές-οδήγηση, την λήψη φαρμάκων και την διαχείριση των οικονομικών. </w:t>
      </w:r>
    </w:p>
    <w:p w:rsidR="00255C42" w:rsidRPr="0080436E" w:rsidRDefault="0080436E" w:rsidP="00724E36">
      <w:pPr>
        <w:rPr>
          <w:sz w:val="24"/>
          <w:szCs w:val="24"/>
        </w:rPr>
      </w:pPr>
      <w:r>
        <w:rPr>
          <w:sz w:val="24"/>
          <w:szCs w:val="24"/>
        </w:rPr>
        <w:lastRenderedPageBreak/>
        <w:t xml:space="preserve">Η γνωστική αξιολόγηση των συμμετεχόντων έγινε με σταθμισμένα στην ελληνική γλώσσα εργαλεία. </w:t>
      </w:r>
    </w:p>
    <w:p w:rsidR="00871DD4" w:rsidRPr="00536D2B" w:rsidRDefault="00871DD4" w:rsidP="00536D2B">
      <w:pPr>
        <w:rPr>
          <w:b/>
          <w:sz w:val="28"/>
          <w:szCs w:val="28"/>
        </w:rPr>
      </w:pPr>
    </w:p>
    <w:p w:rsidR="00871DD4" w:rsidRPr="00536D2B" w:rsidRDefault="00871DD4" w:rsidP="00536D2B">
      <w:pPr>
        <w:rPr>
          <w:b/>
          <w:sz w:val="28"/>
          <w:szCs w:val="28"/>
        </w:rPr>
      </w:pPr>
      <w:r w:rsidRPr="00536D2B">
        <w:rPr>
          <w:b/>
          <w:sz w:val="28"/>
          <w:szCs w:val="28"/>
        </w:rPr>
        <w:t>Β3. Αποτελέσματα</w:t>
      </w: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p>
    <w:p w:rsidR="00871DD4" w:rsidRPr="00536D2B" w:rsidRDefault="00871DD4" w:rsidP="00536D2B">
      <w:pPr>
        <w:rPr>
          <w:b/>
          <w:sz w:val="28"/>
          <w:szCs w:val="28"/>
        </w:rPr>
      </w:pPr>
      <w:r w:rsidRPr="00536D2B">
        <w:rPr>
          <w:b/>
          <w:sz w:val="28"/>
          <w:szCs w:val="28"/>
        </w:rPr>
        <w:t>Β4. Συζήτηση</w:t>
      </w:r>
    </w:p>
    <w:p w:rsidR="00871DD4" w:rsidRPr="00536D2B" w:rsidRDefault="00871DD4" w:rsidP="00536D2B">
      <w:pPr>
        <w:rPr>
          <w:b/>
          <w:sz w:val="28"/>
          <w:szCs w:val="28"/>
        </w:rPr>
      </w:pPr>
    </w:p>
    <w:p w:rsidR="00871DD4" w:rsidRPr="00536D2B" w:rsidRDefault="00871DD4" w:rsidP="00536D2B">
      <w:pPr>
        <w:rPr>
          <w:b/>
          <w:sz w:val="28"/>
          <w:szCs w:val="28"/>
        </w:rPr>
      </w:pPr>
      <w:r w:rsidRPr="00536D2B">
        <w:rPr>
          <w:b/>
          <w:sz w:val="28"/>
          <w:szCs w:val="28"/>
        </w:rPr>
        <w:t xml:space="preserve">Σύνοψη βασικών ευρημάτων και σύγκριση με προηγούμενα αποτελέσματα παρόμοιων μελετών </w:t>
      </w:r>
    </w:p>
    <w:p w:rsidR="00B2297E" w:rsidRPr="00536D2B" w:rsidRDefault="00B2297E" w:rsidP="00536D2B">
      <w:pPr>
        <w:rPr>
          <w:b/>
          <w:sz w:val="28"/>
          <w:szCs w:val="28"/>
        </w:rPr>
      </w:pPr>
    </w:p>
    <w:p w:rsidR="00871DD4" w:rsidRPr="00536D2B" w:rsidRDefault="00871DD4" w:rsidP="00536D2B">
      <w:pPr>
        <w:rPr>
          <w:b/>
          <w:sz w:val="28"/>
          <w:szCs w:val="28"/>
        </w:rPr>
      </w:pPr>
      <w:r w:rsidRPr="00536D2B">
        <w:rPr>
          <w:b/>
          <w:sz w:val="28"/>
          <w:szCs w:val="28"/>
        </w:rPr>
        <w:t xml:space="preserve">Ερμηνεία ευρημάτων </w:t>
      </w:r>
    </w:p>
    <w:p w:rsidR="00B2297E" w:rsidRPr="00536D2B" w:rsidRDefault="00B2297E" w:rsidP="00536D2B">
      <w:pPr>
        <w:rPr>
          <w:b/>
          <w:sz w:val="28"/>
          <w:szCs w:val="28"/>
        </w:rPr>
      </w:pPr>
    </w:p>
    <w:p w:rsidR="00871DD4" w:rsidRPr="00536D2B" w:rsidRDefault="00871DD4" w:rsidP="00536D2B">
      <w:pPr>
        <w:rPr>
          <w:b/>
          <w:sz w:val="28"/>
          <w:szCs w:val="28"/>
        </w:rPr>
      </w:pPr>
      <w:r w:rsidRPr="00536D2B">
        <w:rPr>
          <w:b/>
          <w:sz w:val="28"/>
          <w:szCs w:val="28"/>
        </w:rPr>
        <w:t xml:space="preserve">Περιορισμοί και προτερήματα της μελέτης </w:t>
      </w:r>
    </w:p>
    <w:p w:rsidR="00B2297E" w:rsidRPr="00536D2B" w:rsidRDefault="00B2297E" w:rsidP="00536D2B">
      <w:pPr>
        <w:rPr>
          <w:b/>
          <w:sz w:val="28"/>
          <w:szCs w:val="28"/>
        </w:rPr>
      </w:pPr>
    </w:p>
    <w:p w:rsidR="00871DD4" w:rsidRPr="00536D2B" w:rsidRDefault="00871DD4" w:rsidP="00536D2B">
      <w:pPr>
        <w:rPr>
          <w:b/>
          <w:sz w:val="28"/>
          <w:szCs w:val="28"/>
        </w:rPr>
      </w:pPr>
      <w:r w:rsidRPr="00536D2B">
        <w:rPr>
          <w:b/>
          <w:sz w:val="28"/>
          <w:szCs w:val="28"/>
        </w:rPr>
        <w:lastRenderedPageBreak/>
        <w:t>Προτάσεις για περαιτέρω διερεύνηση</w:t>
      </w:r>
      <w:r w:rsidR="00B2297E" w:rsidRPr="00536D2B">
        <w:rPr>
          <w:b/>
          <w:sz w:val="28"/>
          <w:szCs w:val="28"/>
        </w:rPr>
        <w:t xml:space="preserve"> </w:t>
      </w:r>
    </w:p>
    <w:p w:rsidR="00B2297E" w:rsidRPr="00536D2B" w:rsidRDefault="00B2297E" w:rsidP="00536D2B">
      <w:pPr>
        <w:rPr>
          <w:b/>
          <w:sz w:val="28"/>
          <w:szCs w:val="28"/>
        </w:rPr>
      </w:pPr>
    </w:p>
    <w:p w:rsidR="00B2297E" w:rsidRPr="00536D2B" w:rsidRDefault="00B2297E" w:rsidP="00536D2B">
      <w:pPr>
        <w:rPr>
          <w:b/>
          <w:sz w:val="28"/>
          <w:szCs w:val="28"/>
        </w:rPr>
      </w:pPr>
    </w:p>
    <w:p w:rsidR="00871DD4" w:rsidRPr="00536D2B" w:rsidRDefault="00871DD4" w:rsidP="00536D2B">
      <w:pPr>
        <w:rPr>
          <w:b/>
          <w:sz w:val="28"/>
          <w:szCs w:val="28"/>
        </w:rPr>
      </w:pPr>
      <w:r w:rsidRPr="00536D2B">
        <w:rPr>
          <w:b/>
          <w:sz w:val="28"/>
          <w:szCs w:val="28"/>
        </w:rPr>
        <w:t xml:space="preserve">Τελικά συμπεράσματα </w:t>
      </w:r>
    </w:p>
    <w:p w:rsidR="00871DD4" w:rsidRPr="00536D2B" w:rsidRDefault="00871DD4" w:rsidP="00536D2B">
      <w:pPr>
        <w:rPr>
          <w:b/>
          <w:sz w:val="28"/>
          <w:szCs w:val="28"/>
        </w:rPr>
      </w:pPr>
    </w:p>
    <w:p w:rsidR="00871DD4" w:rsidRPr="00315140" w:rsidRDefault="00871DD4" w:rsidP="00871DD4">
      <w:pPr>
        <w:jc w:val="center"/>
        <w:rPr>
          <w:b/>
          <w:bCs/>
        </w:rPr>
      </w:pPr>
    </w:p>
    <w:p w:rsidR="00871DD4" w:rsidRPr="00315140" w:rsidRDefault="00871DD4" w:rsidP="00871DD4">
      <w:pPr>
        <w:jc w:val="center"/>
        <w:rPr>
          <w:b/>
          <w:bCs/>
        </w:rPr>
      </w:pPr>
    </w:p>
    <w:p w:rsidR="00871DD4" w:rsidRPr="00315140" w:rsidRDefault="00871DD4" w:rsidP="00871DD4">
      <w:pPr>
        <w:jc w:val="center"/>
        <w:rPr>
          <w:b/>
          <w:bCs/>
        </w:rPr>
      </w:pPr>
    </w:p>
    <w:p w:rsidR="00871DD4" w:rsidRPr="00315140" w:rsidRDefault="00871DD4" w:rsidP="00871DD4">
      <w:pPr>
        <w:jc w:val="center"/>
        <w:rPr>
          <w:b/>
          <w:bCs/>
        </w:rPr>
      </w:pPr>
    </w:p>
    <w:p w:rsidR="00871DD4" w:rsidRPr="00315140" w:rsidRDefault="00871DD4" w:rsidP="00871DD4">
      <w:pPr>
        <w:jc w:val="center"/>
        <w:rPr>
          <w:b/>
          <w:bCs/>
        </w:rPr>
      </w:pPr>
    </w:p>
    <w:p w:rsidR="00871DD4" w:rsidRPr="00315140" w:rsidRDefault="00871DD4" w:rsidP="00871DD4">
      <w:pPr>
        <w:jc w:val="center"/>
        <w:rPr>
          <w:i/>
        </w:rPr>
      </w:pPr>
    </w:p>
    <w:p w:rsidR="00B2297E" w:rsidRPr="00315140" w:rsidRDefault="00B2297E" w:rsidP="00871DD4">
      <w:pPr>
        <w:jc w:val="center"/>
        <w:rPr>
          <w:i/>
        </w:rPr>
      </w:pPr>
    </w:p>
    <w:p w:rsidR="00B2297E" w:rsidRPr="00315140" w:rsidRDefault="00B2297E" w:rsidP="00871DD4">
      <w:pPr>
        <w:jc w:val="center"/>
        <w:rPr>
          <w:i/>
        </w:rPr>
      </w:pPr>
    </w:p>
    <w:p w:rsidR="00B2297E" w:rsidRPr="00315140" w:rsidRDefault="00B2297E" w:rsidP="00871DD4">
      <w:pPr>
        <w:jc w:val="center"/>
        <w:rPr>
          <w:i/>
        </w:rPr>
      </w:pPr>
    </w:p>
    <w:p w:rsidR="00B2297E" w:rsidRPr="00315140" w:rsidRDefault="00B2297E" w:rsidP="00871DD4">
      <w:pPr>
        <w:jc w:val="center"/>
        <w:rPr>
          <w:i/>
        </w:rPr>
      </w:pPr>
    </w:p>
    <w:p w:rsidR="00B2297E" w:rsidRPr="00315140" w:rsidRDefault="00B2297E" w:rsidP="00871DD4">
      <w:pPr>
        <w:jc w:val="center"/>
        <w:rPr>
          <w:i/>
        </w:rPr>
      </w:pPr>
    </w:p>
    <w:p w:rsidR="00B2297E" w:rsidRPr="00315140" w:rsidRDefault="00B2297E" w:rsidP="00871DD4">
      <w:pPr>
        <w:jc w:val="center"/>
        <w:rPr>
          <w:i/>
        </w:rPr>
      </w:pPr>
    </w:p>
    <w:p w:rsidR="00B2297E" w:rsidRPr="000C7DDA" w:rsidRDefault="00B2297E" w:rsidP="00871DD4">
      <w:pPr>
        <w:jc w:val="center"/>
        <w:rPr>
          <w:i/>
        </w:rPr>
      </w:pPr>
    </w:p>
    <w:p w:rsidR="00B4690A" w:rsidRPr="000C7DDA" w:rsidRDefault="00B4690A" w:rsidP="00871DD4">
      <w:pPr>
        <w:jc w:val="center"/>
        <w:rPr>
          <w:i/>
        </w:rPr>
      </w:pPr>
    </w:p>
    <w:p w:rsidR="00B4690A" w:rsidRPr="000C7DDA" w:rsidRDefault="00B4690A" w:rsidP="00871DD4">
      <w:pPr>
        <w:jc w:val="center"/>
        <w:rPr>
          <w:i/>
        </w:rPr>
      </w:pPr>
    </w:p>
    <w:p w:rsidR="00B4690A" w:rsidRPr="000C7DDA" w:rsidRDefault="00B4690A" w:rsidP="00871DD4">
      <w:pPr>
        <w:jc w:val="center"/>
        <w:rPr>
          <w:i/>
        </w:rPr>
      </w:pPr>
    </w:p>
    <w:p w:rsidR="00B4690A" w:rsidRPr="000C7DDA" w:rsidRDefault="00B4690A" w:rsidP="00871DD4">
      <w:pPr>
        <w:jc w:val="center"/>
        <w:rPr>
          <w:i/>
        </w:rPr>
      </w:pPr>
    </w:p>
    <w:p w:rsidR="00B4690A" w:rsidRPr="000C7DDA" w:rsidRDefault="00B4690A" w:rsidP="00871DD4">
      <w:pPr>
        <w:jc w:val="center"/>
        <w:rPr>
          <w:i/>
        </w:rPr>
      </w:pPr>
    </w:p>
    <w:p w:rsidR="00B4690A" w:rsidRPr="000C7DDA" w:rsidRDefault="00B4690A" w:rsidP="00871DD4">
      <w:pPr>
        <w:jc w:val="center"/>
        <w:rPr>
          <w:i/>
        </w:rPr>
      </w:pPr>
    </w:p>
    <w:p w:rsidR="00B4690A" w:rsidRPr="000C7DDA" w:rsidRDefault="00B4690A" w:rsidP="00871DD4">
      <w:pPr>
        <w:jc w:val="center"/>
        <w:rPr>
          <w:i/>
        </w:rPr>
      </w:pPr>
    </w:p>
    <w:p w:rsidR="00B2297E" w:rsidRPr="00C54A64" w:rsidRDefault="00B2297E" w:rsidP="00F44708">
      <w:pPr>
        <w:pStyle w:val="Default"/>
        <w:rPr>
          <w:b/>
          <w:bCs/>
          <w:sz w:val="28"/>
          <w:szCs w:val="28"/>
        </w:rPr>
      </w:pPr>
      <w:r w:rsidRPr="00F44708">
        <w:rPr>
          <w:b/>
          <w:bCs/>
          <w:sz w:val="28"/>
          <w:szCs w:val="28"/>
        </w:rPr>
        <w:t>Γ</w:t>
      </w:r>
      <w:r w:rsidRPr="00C54A64">
        <w:rPr>
          <w:b/>
          <w:bCs/>
          <w:sz w:val="28"/>
          <w:szCs w:val="28"/>
        </w:rPr>
        <w:t xml:space="preserve">. </w:t>
      </w:r>
      <w:r w:rsidRPr="00F44708">
        <w:rPr>
          <w:b/>
          <w:bCs/>
          <w:sz w:val="28"/>
          <w:szCs w:val="28"/>
        </w:rPr>
        <w:t>Βιβλιογραφία</w:t>
      </w:r>
    </w:p>
    <w:p w:rsidR="006F1AED" w:rsidRDefault="006F1AED" w:rsidP="00F44708">
      <w:pPr>
        <w:pStyle w:val="Default"/>
        <w:rPr>
          <w:b/>
          <w:bCs/>
          <w:sz w:val="28"/>
          <w:szCs w:val="28"/>
        </w:rPr>
      </w:pPr>
    </w:p>
    <w:p w:rsidR="00B47BF3" w:rsidRPr="00B47BF3" w:rsidRDefault="00B47BF3" w:rsidP="00F44708">
      <w:pPr>
        <w:pStyle w:val="Default"/>
        <w:rPr>
          <w:b/>
        </w:rPr>
      </w:pPr>
      <w:r w:rsidRPr="00B47BF3">
        <w:rPr>
          <w:b/>
        </w:rPr>
        <w:lastRenderedPageBreak/>
        <w:t>Ελληνική Βιβλιογρ</w:t>
      </w:r>
      <w:r w:rsidR="008B7871">
        <w:rPr>
          <w:b/>
        </w:rPr>
        <w:t>α</w:t>
      </w:r>
      <w:r w:rsidRPr="00B47BF3">
        <w:rPr>
          <w:b/>
        </w:rPr>
        <w:t>φία</w:t>
      </w:r>
    </w:p>
    <w:p w:rsidR="00B47BF3" w:rsidRDefault="00B47BF3" w:rsidP="00F44708">
      <w:pPr>
        <w:pStyle w:val="Default"/>
        <w:rPr>
          <w:sz w:val="23"/>
          <w:szCs w:val="23"/>
        </w:rPr>
      </w:pPr>
    </w:p>
    <w:p w:rsidR="00FF6099" w:rsidRDefault="00FF6099" w:rsidP="00F44708">
      <w:pPr>
        <w:pStyle w:val="Default"/>
        <w:rPr>
          <w:b/>
          <w:bCs/>
          <w:sz w:val="28"/>
          <w:szCs w:val="28"/>
        </w:rPr>
      </w:pPr>
      <w:r>
        <w:rPr>
          <w:sz w:val="23"/>
          <w:szCs w:val="23"/>
        </w:rPr>
        <w:t xml:space="preserve">Θεοδοσοπούλου Ε., Ραφτόπουλος Β., (2001). «Νοσηρότητα και θνησιμότητα των ηλικιωμένων», </w:t>
      </w:r>
      <w:r>
        <w:rPr>
          <w:i/>
          <w:iCs/>
          <w:sz w:val="23"/>
          <w:szCs w:val="23"/>
        </w:rPr>
        <w:t xml:space="preserve">Νοσηλευτική, </w:t>
      </w:r>
      <w:r>
        <w:rPr>
          <w:sz w:val="23"/>
          <w:szCs w:val="23"/>
        </w:rPr>
        <w:t>40 (2), 31-41.</w:t>
      </w:r>
    </w:p>
    <w:p w:rsidR="00FF6099" w:rsidRPr="00C54A64" w:rsidRDefault="00FF6099" w:rsidP="00F44708">
      <w:pPr>
        <w:pStyle w:val="Default"/>
        <w:rPr>
          <w:b/>
          <w:bCs/>
          <w:sz w:val="28"/>
          <w:szCs w:val="28"/>
        </w:rPr>
      </w:pPr>
      <w:r>
        <w:rPr>
          <w:sz w:val="23"/>
          <w:szCs w:val="23"/>
        </w:rPr>
        <w:t xml:space="preserve">Κυριακίδου Ε., (1992). «Υγιής Υπερήλικος- Υγιή Γηρατειά», </w:t>
      </w:r>
      <w:r>
        <w:rPr>
          <w:i/>
          <w:iCs/>
          <w:sz w:val="23"/>
          <w:szCs w:val="23"/>
        </w:rPr>
        <w:t xml:space="preserve">Νοσηλευτική, </w:t>
      </w:r>
      <w:r>
        <w:rPr>
          <w:sz w:val="23"/>
          <w:szCs w:val="23"/>
        </w:rPr>
        <w:t>31 (142), 279-287.</w:t>
      </w:r>
    </w:p>
    <w:p w:rsidR="001177D1" w:rsidRDefault="001177D1" w:rsidP="006F1AED">
      <w:pPr>
        <w:rPr>
          <w:sz w:val="23"/>
          <w:szCs w:val="23"/>
        </w:rPr>
      </w:pPr>
      <w:r>
        <w:rPr>
          <w:sz w:val="23"/>
          <w:szCs w:val="23"/>
        </w:rPr>
        <w:t xml:space="preserve">Κυριόπουλος Ι., Βανδώρου Χ., Ζάβρας Α., Δανιηλίδου Ν. (2005). «Το κόστος της Άνοιας τύπου Alzheimer στην Ελλάδα» στο Τσολάκη Μ., Κάζης Α., (επιμ..). </w:t>
      </w:r>
      <w:r>
        <w:rPr>
          <w:i/>
          <w:iCs/>
          <w:sz w:val="23"/>
          <w:szCs w:val="23"/>
        </w:rPr>
        <w:t>Άνοια: Ιατρική και Κοινωνική πρόκληση</w:t>
      </w:r>
      <w:r>
        <w:rPr>
          <w:sz w:val="23"/>
          <w:szCs w:val="23"/>
        </w:rPr>
        <w:t xml:space="preserve">. University Studio Press, σ. 29-35. </w:t>
      </w:r>
    </w:p>
    <w:p w:rsidR="001177D1" w:rsidRDefault="001177D1" w:rsidP="006F1AED">
      <w:pPr>
        <w:rPr>
          <w:sz w:val="23"/>
          <w:szCs w:val="23"/>
        </w:rPr>
      </w:pPr>
      <w:r>
        <w:rPr>
          <w:sz w:val="23"/>
          <w:szCs w:val="23"/>
        </w:rPr>
        <w:t>Κωσταρίδου - Ευκλείδη Α., (1999). «Θέματα Γηροψυχολογίας και Γεροντολογίας», Αθήνα, Εκδόσεις Ελληνικά Γράμματα</w:t>
      </w:r>
    </w:p>
    <w:p w:rsidR="00C54A64" w:rsidRDefault="00C54A64" w:rsidP="006F1AED">
      <w:pPr>
        <w:rPr>
          <w:sz w:val="23"/>
          <w:szCs w:val="23"/>
        </w:rPr>
      </w:pPr>
      <w:r>
        <w:rPr>
          <w:sz w:val="23"/>
          <w:szCs w:val="23"/>
        </w:rPr>
        <w:t>Μάνος Ν., (1997). «Βασικά στοιχεία κλινικής ψυχιατρικής», Αθήνα, Εκδόσεις Βήτα.</w:t>
      </w:r>
    </w:p>
    <w:p w:rsidR="00C54A64" w:rsidRDefault="00C54A64" w:rsidP="006F1AED">
      <w:pPr>
        <w:rPr>
          <w:sz w:val="23"/>
          <w:szCs w:val="23"/>
        </w:rPr>
      </w:pPr>
      <w:r>
        <w:rPr>
          <w:sz w:val="23"/>
          <w:szCs w:val="23"/>
        </w:rPr>
        <w:t xml:space="preserve">Μπαμπάτσικου Φ., Νοταρά Β., Κουρή Μ., Καμπά Ε., Ζυγά Σ. και Κουτής Χ., (2016). «Άνοια και Τρίτη Ηλικία: Σύγχρονη μελέτη σε αστικό και ημι-αστικό πληθυσμό», </w:t>
      </w:r>
      <w:r>
        <w:rPr>
          <w:i/>
          <w:iCs/>
          <w:sz w:val="23"/>
          <w:szCs w:val="23"/>
        </w:rPr>
        <w:t xml:space="preserve">Το Βήμα του Ασκληπιού, </w:t>
      </w:r>
      <w:r>
        <w:rPr>
          <w:sz w:val="23"/>
          <w:szCs w:val="23"/>
        </w:rPr>
        <w:t>15 (3), 258-273.</w:t>
      </w:r>
    </w:p>
    <w:p w:rsidR="00ED415F" w:rsidRDefault="00ED415F" w:rsidP="00C54A64">
      <w:pPr>
        <w:rPr>
          <w:sz w:val="23"/>
          <w:szCs w:val="23"/>
        </w:rPr>
      </w:pPr>
      <w:r w:rsidRPr="00ED415F">
        <w:rPr>
          <w:sz w:val="23"/>
          <w:szCs w:val="23"/>
        </w:rPr>
        <w:t>Μουγιάς Α. (2003). «Πρώιμη διάγνωση της νόσου Alzheimer και συναφών ανοιών» στο Μουγιάς Α. (επιμ.). Οδηγός για τη νόσο Alzheimer και τις άλλες μορφές άνοιας. Εκδόσεις Mentor, 67-100.</w:t>
      </w:r>
    </w:p>
    <w:p w:rsidR="00E87DAB" w:rsidRDefault="00E87DAB" w:rsidP="00C54A64">
      <w:pPr>
        <w:rPr>
          <w:sz w:val="23"/>
          <w:szCs w:val="23"/>
        </w:rPr>
      </w:pPr>
      <w:r>
        <w:rPr>
          <w:sz w:val="23"/>
          <w:szCs w:val="23"/>
        </w:rPr>
        <w:t xml:space="preserve">Πανελλήνια Ομοσπονδία Νόσου Alzheimer&amp; Συναφών Διαταραχών. (2014). «Εθνικό Σχέδιο Δράσης για την Άνοια-νόσο Alzheimer 2015-2020». Αθήνα. </w:t>
      </w:r>
    </w:p>
    <w:p w:rsidR="00C54A64" w:rsidRPr="00C54A64" w:rsidRDefault="00C54A64" w:rsidP="00C54A64">
      <w:pPr>
        <w:rPr>
          <w:sz w:val="23"/>
          <w:szCs w:val="23"/>
        </w:rPr>
      </w:pPr>
      <w:r w:rsidRPr="00C54A64">
        <w:rPr>
          <w:sz w:val="23"/>
          <w:szCs w:val="23"/>
        </w:rPr>
        <w:t xml:space="preserve">Τσολάκη Μ. (2002). «Άνοια τύπου Alzheimer: η πρόκληση του 21ου αιώνα», στο </w:t>
      </w:r>
      <w:r w:rsidRPr="00C54A64">
        <w:rPr>
          <w:i/>
          <w:sz w:val="23"/>
          <w:szCs w:val="23"/>
        </w:rPr>
        <w:t>Κοινωνία και υγεία: επίκαιρα προβλήματα υγείας και η αντιμετώπισή τους.</w:t>
      </w:r>
      <w:r w:rsidRPr="00C54A64">
        <w:rPr>
          <w:sz w:val="23"/>
          <w:szCs w:val="23"/>
        </w:rPr>
        <w:t xml:space="preserve"> Εθνικό Ίδρυμα Ερευνών, 105-137.</w:t>
      </w:r>
    </w:p>
    <w:p w:rsidR="00ED415F" w:rsidRDefault="00ED415F" w:rsidP="00C54A64">
      <w:pPr>
        <w:rPr>
          <w:sz w:val="23"/>
          <w:szCs w:val="23"/>
        </w:rPr>
      </w:pPr>
      <w:r w:rsidRPr="00ED415F">
        <w:rPr>
          <w:sz w:val="23"/>
          <w:szCs w:val="23"/>
        </w:rPr>
        <w:t>Τζανακάκη – Μελισσάρη Μ., Καστανάκη Α. και Πέτσιου Μ. (2005). «Μη φαρμακευτικές προσεγγίσεις της ΑΤΑ» στο Τσολάκη Μ., Κάζης Α., (επιμ.). Άνοια, Ιατρική και κοινωνική πρόκληση. Θεσσαλονίκη: University Studio Press. 451-478.</w:t>
      </w:r>
      <w:r>
        <w:rPr>
          <w:sz w:val="23"/>
          <w:szCs w:val="23"/>
        </w:rPr>
        <w:t xml:space="preserve"> </w:t>
      </w:r>
    </w:p>
    <w:p w:rsidR="00C54A64" w:rsidRDefault="00C54A64" w:rsidP="00C54A64">
      <w:pPr>
        <w:rPr>
          <w:sz w:val="23"/>
          <w:szCs w:val="23"/>
        </w:rPr>
      </w:pPr>
      <w:r w:rsidRPr="00C54A64">
        <w:rPr>
          <w:sz w:val="23"/>
          <w:szCs w:val="23"/>
        </w:rPr>
        <w:t>Τσολάκη Μ., Κάζης Α., (2005). «Άνοια, Ιατρική και Κοινωνική Πρόκληση», Θεσσαλονίκη: εκδόσεις: University Studio Press.</w:t>
      </w:r>
    </w:p>
    <w:p w:rsidR="00B47BF3" w:rsidRPr="00B47BF3" w:rsidRDefault="00B47BF3" w:rsidP="006F1AED">
      <w:pPr>
        <w:rPr>
          <w:b/>
          <w:sz w:val="24"/>
          <w:szCs w:val="24"/>
          <w:lang w:val="en-US"/>
        </w:rPr>
      </w:pPr>
      <w:r w:rsidRPr="00B47BF3">
        <w:rPr>
          <w:b/>
          <w:sz w:val="24"/>
          <w:szCs w:val="24"/>
        </w:rPr>
        <w:t>Ξένη</w:t>
      </w:r>
      <w:r w:rsidRPr="00B47BF3">
        <w:rPr>
          <w:b/>
          <w:sz w:val="24"/>
          <w:szCs w:val="24"/>
          <w:lang w:val="en-US"/>
        </w:rPr>
        <w:t xml:space="preserve"> </w:t>
      </w:r>
      <w:r w:rsidRPr="00B47BF3">
        <w:rPr>
          <w:b/>
          <w:sz w:val="24"/>
          <w:szCs w:val="24"/>
        </w:rPr>
        <w:t>Βιβλιογραφία</w:t>
      </w:r>
    </w:p>
    <w:p w:rsidR="00707634" w:rsidRDefault="00707634" w:rsidP="006F1AED">
      <w:r w:rsidRPr="00707634">
        <w:rPr>
          <w:lang w:val="en-US"/>
        </w:rPr>
        <w:t xml:space="preserve">Aloizou AM, Pateraki G, Anargyros K, Siokas V, Bakirtzis C, Sgantzos M, et al. Repetitive Transcranial Magnetic Stimulation in the Treatment of Alzheimer's </w:t>
      </w:r>
      <w:proofErr w:type="gramStart"/>
      <w:r w:rsidRPr="00707634">
        <w:rPr>
          <w:lang w:val="en-US"/>
        </w:rPr>
        <w:t>Disease</w:t>
      </w:r>
      <w:proofErr w:type="gramEnd"/>
      <w:r w:rsidRPr="00707634">
        <w:rPr>
          <w:lang w:val="en-US"/>
        </w:rPr>
        <w:t xml:space="preserve"> and Other Dementias. </w:t>
      </w:r>
      <w:r w:rsidRPr="00707634">
        <w:rPr>
          <w:i/>
        </w:rPr>
        <w:t>Healthcare (Basel). 2021;9</w:t>
      </w:r>
      <w:r w:rsidRPr="00707634">
        <w:t>(8). doi: 10.3390/healthcare9080949</w:t>
      </w:r>
    </w:p>
    <w:p w:rsidR="003F5B15" w:rsidRPr="005F0BF5" w:rsidRDefault="003F5B15" w:rsidP="006F1AED">
      <w:pPr>
        <w:rPr>
          <w:lang w:val="en-US"/>
        </w:rPr>
      </w:pPr>
      <w:proofErr w:type="gramStart"/>
      <w:r w:rsidRPr="003F5B15">
        <w:rPr>
          <w:lang w:val="en-US"/>
        </w:rPr>
        <w:t>Al Saedi, A., Feehan, J., Phu, S., &amp; Duque, G. (2019).</w:t>
      </w:r>
      <w:proofErr w:type="gramEnd"/>
      <w:r w:rsidRPr="003F5B15">
        <w:rPr>
          <w:lang w:val="en-US"/>
        </w:rPr>
        <w:t xml:space="preserve"> </w:t>
      </w:r>
      <w:proofErr w:type="gramStart"/>
      <w:r w:rsidRPr="003F5B15">
        <w:rPr>
          <w:lang w:val="en-US"/>
        </w:rPr>
        <w:t>Current and emerging biomarkers of frailty in the elderly.</w:t>
      </w:r>
      <w:proofErr w:type="gramEnd"/>
      <w:r w:rsidRPr="003F5B15">
        <w:rPr>
          <w:lang w:val="en-US"/>
        </w:rPr>
        <w:t xml:space="preserve"> </w:t>
      </w:r>
      <w:r w:rsidRPr="005F0BF5">
        <w:rPr>
          <w:i/>
          <w:lang w:val="en-US"/>
        </w:rPr>
        <w:t>Clinical Interventions in Aging, 14</w:t>
      </w:r>
      <w:r w:rsidRPr="005F0BF5">
        <w:rPr>
          <w:lang w:val="en-US"/>
        </w:rPr>
        <w:t>, 389–398. https://doi.org/10.2147/CIA.S168687</w:t>
      </w:r>
    </w:p>
    <w:p w:rsidR="005F0BF5" w:rsidRPr="005F0BF5" w:rsidRDefault="005F0BF5" w:rsidP="006F1AED">
      <w:pPr>
        <w:rPr>
          <w:lang w:val="en-US"/>
        </w:rPr>
      </w:pPr>
      <w:proofErr w:type="gramStart"/>
      <w:r w:rsidRPr="005F0BF5">
        <w:rPr>
          <w:lang w:val="en-US"/>
        </w:rPr>
        <w:lastRenderedPageBreak/>
        <w:t>Alvarado, B. E., Zunzunegui, M. V., Béland, F., &amp; Bamvita, J. M. (2008).</w:t>
      </w:r>
      <w:proofErr w:type="gramEnd"/>
      <w:r w:rsidRPr="005F0BF5">
        <w:rPr>
          <w:lang w:val="en-US"/>
        </w:rPr>
        <w:t xml:space="preserve"> Life course social and health conditions linked to frailty in Latin American older men and women. </w:t>
      </w:r>
      <w:proofErr w:type="gramStart"/>
      <w:r w:rsidRPr="005F0BF5">
        <w:rPr>
          <w:i/>
          <w:lang w:val="en-US"/>
        </w:rPr>
        <w:t>The Journals of Gerontology.</w:t>
      </w:r>
      <w:proofErr w:type="gramEnd"/>
      <w:r w:rsidRPr="005F0BF5">
        <w:rPr>
          <w:i/>
          <w:lang w:val="en-US"/>
        </w:rPr>
        <w:t xml:space="preserve"> Series A, Biological Sciences and Medical Sciences, 63</w:t>
      </w:r>
      <w:r w:rsidRPr="005F0BF5">
        <w:rPr>
          <w:lang w:val="en-US"/>
        </w:rPr>
        <w:t>(12), 1399–1406. https://doi.org/10.1093/GERONA/63.12.1399</w:t>
      </w:r>
    </w:p>
    <w:p w:rsidR="000B7C83" w:rsidRPr="000B7C83" w:rsidRDefault="000B7C83" w:rsidP="006F1AED">
      <w:pPr>
        <w:rPr>
          <w:sz w:val="23"/>
          <w:szCs w:val="23"/>
          <w:lang w:val="en-US"/>
        </w:rPr>
      </w:pPr>
      <w:proofErr w:type="gramStart"/>
      <w:r w:rsidRPr="000B7C83">
        <w:rPr>
          <w:sz w:val="23"/>
          <w:szCs w:val="23"/>
          <w:lang w:val="en-US"/>
        </w:rPr>
        <w:t>Altmann, A., Tian, L., Henderson, V. W., &amp;Greicius, M. D. (2014).</w:t>
      </w:r>
      <w:proofErr w:type="gramEnd"/>
      <w:r w:rsidRPr="000B7C83">
        <w:rPr>
          <w:sz w:val="23"/>
          <w:szCs w:val="23"/>
          <w:lang w:val="en-US"/>
        </w:rPr>
        <w:t xml:space="preserve"> Sex modifies the APOE-related risk of developing Alzheimer disease. </w:t>
      </w:r>
      <w:r w:rsidRPr="000B7C83">
        <w:rPr>
          <w:i/>
          <w:sz w:val="23"/>
          <w:szCs w:val="23"/>
          <w:lang w:val="en-US"/>
        </w:rPr>
        <w:t>Annals of Neurology, 75</w:t>
      </w:r>
      <w:r w:rsidRPr="000B7C83">
        <w:rPr>
          <w:sz w:val="23"/>
          <w:szCs w:val="23"/>
          <w:lang w:val="en-US"/>
        </w:rPr>
        <w:t>(4), 563-573. https://doi.org/10.1002/ana.24135</w:t>
      </w:r>
    </w:p>
    <w:p w:rsidR="00E87DAB" w:rsidRPr="00707634" w:rsidRDefault="00E87DAB" w:rsidP="006F1AED">
      <w:pPr>
        <w:rPr>
          <w:sz w:val="23"/>
          <w:szCs w:val="23"/>
          <w:lang w:val="en-US"/>
        </w:rPr>
      </w:pPr>
      <w:proofErr w:type="gramStart"/>
      <w:r w:rsidRPr="00E87DAB">
        <w:rPr>
          <w:sz w:val="23"/>
          <w:szCs w:val="23"/>
          <w:lang w:val="en-US"/>
        </w:rPr>
        <w:t>Alzheimer Disease International.</w:t>
      </w:r>
      <w:proofErr w:type="gramEnd"/>
      <w:r w:rsidRPr="00E87DAB">
        <w:rPr>
          <w:sz w:val="23"/>
          <w:szCs w:val="23"/>
          <w:lang w:val="en-US"/>
        </w:rPr>
        <w:t xml:space="preserve"> </w:t>
      </w:r>
      <w:proofErr w:type="gramStart"/>
      <w:r w:rsidRPr="00E87DAB">
        <w:rPr>
          <w:sz w:val="23"/>
          <w:szCs w:val="23"/>
          <w:lang w:val="en-US"/>
        </w:rPr>
        <w:t>(2015). “The global Impact of Dementia.</w:t>
      </w:r>
      <w:proofErr w:type="gramEnd"/>
      <w:r w:rsidRPr="00E87DAB">
        <w:rPr>
          <w:sz w:val="23"/>
          <w:szCs w:val="23"/>
          <w:lang w:val="en-US"/>
        </w:rPr>
        <w:t xml:space="preserve"> </w:t>
      </w:r>
      <w:proofErr w:type="gramStart"/>
      <w:r w:rsidRPr="00E87DAB">
        <w:rPr>
          <w:sz w:val="23"/>
          <w:szCs w:val="23"/>
          <w:lang w:val="en-US"/>
        </w:rPr>
        <w:t xml:space="preserve">An analysis of prevalence, incidence, cost and trends”, </w:t>
      </w:r>
      <w:r w:rsidRPr="00E87DAB">
        <w:rPr>
          <w:i/>
          <w:iCs/>
          <w:sz w:val="23"/>
          <w:szCs w:val="23"/>
          <w:lang w:val="en-US"/>
        </w:rPr>
        <w:t>World Alzheimer Report 2015.</w:t>
      </w:r>
      <w:proofErr w:type="gramEnd"/>
      <w:r w:rsidRPr="00E87DAB">
        <w:rPr>
          <w:i/>
          <w:iCs/>
          <w:sz w:val="23"/>
          <w:szCs w:val="23"/>
          <w:lang w:val="en-US"/>
        </w:rPr>
        <w:t xml:space="preserve"> </w:t>
      </w:r>
      <w:r w:rsidRPr="00707634">
        <w:rPr>
          <w:sz w:val="23"/>
          <w:szCs w:val="23"/>
          <w:lang w:val="en-US"/>
        </w:rPr>
        <w:t xml:space="preserve">London. </w:t>
      </w:r>
    </w:p>
    <w:p w:rsidR="00707634" w:rsidRPr="00707634" w:rsidRDefault="00707634" w:rsidP="006F1AED">
      <w:pPr>
        <w:rPr>
          <w:lang w:val="en-US"/>
        </w:rPr>
      </w:pPr>
      <w:proofErr w:type="gramStart"/>
      <w:r w:rsidRPr="00707634">
        <w:rPr>
          <w:lang w:val="en-US"/>
        </w:rPr>
        <w:t>Andreasen, J., Aadahl, M., Sørensen, E. E., Eriksen, H. H., Lund, H., &amp; Overvad, K. (2018).</w:t>
      </w:r>
      <w:proofErr w:type="gramEnd"/>
      <w:r w:rsidRPr="00707634">
        <w:rPr>
          <w:lang w:val="en-US"/>
        </w:rPr>
        <w:t xml:space="preserve"> Associations and predictions of readmission or death in acutely admitted older medical patients using self-reported frailty and functional measures. </w:t>
      </w:r>
      <w:proofErr w:type="gramStart"/>
      <w:r w:rsidRPr="00707634">
        <w:rPr>
          <w:lang w:val="en-US"/>
        </w:rPr>
        <w:t>A Danish cohort study.</w:t>
      </w:r>
      <w:proofErr w:type="gramEnd"/>
      <w:r w:rsidRPr="00707634">
        <w:rPr>
          <w:lang w:val="en-US"/>
        </w:rPr>
        <w:t xml:space="preserve"> </w:t>
      </w:r>
      <w:r w:rsidRPr="00707634">
        <w:rPr>
          <w:i/>
          <w:lang w:val="en-US"/>
        </w:rPr>
        <w:t xml:space="preserve">Archives of Gerontology and Geriatrics, 76, </w:t>
      </w:r>
      <w:r w:rsidRPr="00707634">
        <w:rPr>
          <w:lang w:val="en-US"/>
        </w:rPr>
        <w:t>65–72. https://doi.org/10.1016/J.ARCHGER.2018.01.013</w:t>
      </w:r>
    </w:p>
    <w:p w:rsidR="00D86894" w:rsidRPr="00D86894" w:rsidRDefault="00D86894" w:rsidP="006F1AED">
      <w:pPr>
        <w:rPr>
          <w:sz w:val="23"/>
          <w:szCs w:val="23"/>
          <w:lang w:val="en-US"/>
        </w:rPr>
      </w:pPr>
      <w:proofErr w:type="gramStart"/>
      <w:r w:rsidRPr="00D86894">
        <w:rPr>
          <w:sz w:val="23"/>
          <w:szCs w:val="23"/>
          <w:lang w:val="en-US"/>
        </w:rPr>
        <w:t>Angulo, J., El Assar, M., Álvarez-Bustos, A., &amp; Rodríguez-Mañas, L. (2020).</w:t>
      </w:r>
      <w:proofErr w:type="gramEnd"/>
      <w:r w:rsidRPr="00D86894">
        <w:rPr>
          <w:sz w:val="23"/>
          <w:szCs w:val="23"/>
          <w:lang w:val="en-US"/>
        </w:rPr>
        <w:t xml:space="preserve"> Physical activity and exercise: Strategies to manage frailty. </w:t>
      </w:r>
      <w:proofErr w:type="gramStart"/>
      <w:r w:rsidRPr="00D86894">
        <w:rPr>
          <w:i/>
          <w:iCs/>
          <w:sz w:val="23"/>
          <w:szCs w:val="23"/>
          <w:lang w:val="en-US"/>
        </w:rPr>
        <w:t>Redox Biology</w:t>
      </w:r>
      <w:r w:rsidRPr="00D86894">
        <w:rPr>
          <w:sz w:val="23"/>
          <w:szCs w:val="23"/>
          <w:lang w:val="en-US"/>
        </w:rPr>
        <w:t xml:space="preserve">, </w:t>
      </w:r>
      <w:r w:rsidRPr="00D86894">
        <w:rPr>
          <w:i/>
          <w:iCs/>
          <w:sz w:val="23"/>
          <w:szCs w:val="23"/>
          <w:lang w:val="en-US"/>
        </w:rPr>
        <w:t>35</w:t>
      </w:r>
      <w:r w:rsidRPr="00D86894">
        <w:rPr>
          <w:sz w:val="23"/>
          <w:szCs w:val="23"/>
          <w:lang w:val="en-US"/>
        </w:rPr>
        <w:t>.</w:t>
      </w:r>
      <w:proofErr w:type="gramEnd"/>
      <w:r w:rsidRPr="00D86894">
        <w:rPr>
          <w:sz w:val="23"/>
          <w:szCs w:val="23"/>
          <w:lang w:val="en-US"/>
        </w:rPr>
        <w:t xml:space="preserve"> https://doi.org/10.1016/J.REDOX.2020.101513</w:t>
      </w:r>
    </w:p>
    <w:p w:rsidR="00E04729" w:rsidRPr="00E04729" w:rsidRDefault="00E04729" w:rsidP="00E04729">
      <w:pPr>
        <w:rPr>
          <w:sz w:val="23"/>
          <w:szCs w:val="23"/>
          <w:lang w:val="en-US"/>
        </w:rPr>
      </w:pPr>
      <w:r w:rsidRPr="00E04729">
        <w:rPr>
          <w:sz w:val="23"/>
          <w:szCs w:val="23"/>
          <w:lang w:val="en-US"/>
        </w:rPr>
        <w:t>Avila-Funes JA, Carcaillon L, Helmer C</w:t>
      </w:r>
      <w:r>
        <w:rPr>
          <w:sz w:val="23"/>
          <w:szCs w:val="23"/>
          <w:lang w:val="en-US"/>
        </w:rPr>
        <w:t xml:space="preserve">, et al. Is frailty a prodromal </w:t>
      </w:r>
      <w:r w:rsidRPr="00E04729">
        <w:rPr>
          <w:sz w:val="23"/>
          <w:szCs w:val="23"/>
          <w:lang w:val="en-US"/>
        </w:rPr>
        <w:t xml:space="preserve">stage of vascular dementia? </w:t>
      </w:r>
      <w:proofErr w:type="gramStart"/>
      <w:r w:rsidRPr="00E04729">
        <w:rPr>
          <w:sz w:val="23"/>
          <w:szCs w:val="23"/>
          <w:lang w:val="en-US"/>
        </w:rPr>
        <w:t>Res</w:t>
      </w:r>
      <w:r>
        <w:rPr>
          <w:sz w:val="23"/>
          <w:szCs w:val="23"/>
          <w:lang w:val="en-US"/>
        </w:rPr>
        <w:t>ults from the Three-City Study.</w:t>
      </w:r>
      <w:proofErr w:type="gramEnd"/>
      <w:r>
        <w:rPr>
          <w:sz w:val="23"/>
          <w:szCs w:val="23"/>
          <w:lang w:val="en-US"/>
        </w:rPr>
        <w:t xml:space="preserve"> </w:t>
      </w:r>
      <w:r w:rsidRPr="00E04729">
        <w:rPr>
          <w:i/>
          <w:sz w:val="23"/>
          <w:szCs w:val="23"/>
          <w:lang w:val="en-US"/>
        </w:rPr>
        <w:t>J Am Geriatr Soc 2012</w:t>
      </w:r>
      <w:r w:rsidRPr="00E04729">
        <w:rPr>
          <w:sz w:val="23"/>
          <w:szCs w:val="23"/>
          <w:lang w:val="en-US"/>
        </w:rPr>
        <w:t>; 60: 1708–12.</w:t>
      </w:r>
    </w:p>
    <w:p w:rsidR="0066405F" w:rsidRPr="0066405F" w:rsidRDefault="0066405F" w:rsidP="006F1AED">
      <w:pPr>
        <w:rPr>
          <w:sz w:val="23"/>
          <w:szCs w:val="23"/>
          <w:lang w:val="en-US"/>
        </w:rPr>
      </w:pPr>
      <w:r w:rsidRPr="0066405F">
        <w:rPr>
          <w:sz w:val="23"/>
          <w:szCs w:val="23"/>
          <w:lang w:val="en-US"/>
        </w:rPr>
        <w:t xml:space="preserve">Ballard C., Bannister C., (2005). “Criteria for the diagnosis of dementia” in Burns A., O’ Brien J., and Ames D., </w:t>
      </w:r>
      <w:r w:rsidRPr="0066405F">
        <w:rPr>
          <w:i/>
          <w:iCs/>
          <w:sz w:val="23"/>
          <w:szCs w:val="23"/>
          <w:lang w:val="en-US"/>
        </w:rPr>
        <w:t xml:space="preserve">Dementia, </w:t>
      </w:r>
      <w:r w:rsidRPr="0066405F">
        <w:rPr>
          <w:sz w:val="23"/>
          <w:szCs w:val="23"/>
          <w:lang w:val="en-US"/>
        </w:rPr>
        <w:t>Hobber Arnold, London, pp. 24-37</w:t>
      </w:r>
      <w:r w:rsidRPr="0066405F">
        <w:rPr>
          <w:i/>
          <w:iCs/>
          <w:sz w:val="23"/>
          <w:szCs w:val="23"/>
          <w:lang w:val="en-US"/>
        </w:rPr>
        <w:t>.</w:t>
      </w:r>
    </w:p>
    <w:p w:rsidR="00373553" w:rsidRPr="00992000" w:rsidRDefault="00373553" w:rsidP="006F1AED">
      <w:pPr>
        <w:rPr>
          <w:sz w:val="23"/>
          <w:szCs w:val="23"/>
          <w:lang w:val="en-US"/>
        </w:rPr>
      </w:pPr>
      <w:proofErr w:type="gramStart"/>
      <w:r w:rsidRPr="00373553">
        <w:rPr>
          <w:sz w:val="23"/>
          <w:szCs w:val="23"/>
          <w:lang w:val="en-US"/>
        </w:rPr>
        <w:t>Balomenos, V., Ntanasi, E., Anastasiou, C., Charisis, S., Velonakis, G., Karavasilis, E., Tsapanou, A., Yannakoulia, M., Kosmidis, M., Dardiotis, E., Hadjigeorgiou, G., Sakka, P., &amp; Scarmeas, N. (2021).</w:t>
      </w:r>
      <w:proofErr w:type="gramEnd"/>
      <w:r w:rsidRPr="00373553">
        <w:rPr>
          <w:sz w:val="23"/>
          <w:szCs w:val="23"/>
          <w:lang w:val="en-US"/>
        </w:rPr>
        <w:t xml:space="preserve"> Association </w:t>
      </w:r>
      <w:proofErr w:type="gramStart"/>
      <w:r w:rsidRPr="00373553">
        <w:rPr>
          <w:sz w:val="23"/>
          <w:szCs w:val="23"/>
          <w:lang w:val="en-US"/>
        </w:rPr>
        <w:t>Between</w:t>
      </w:r>
      <w:proofErr w:type="gramEnd"/>
      <w:r w:rsidRPr="00373553">
        <w:rPr>
          <w:sz w:val="23"/>
          <w:szCs w:val="23"/>
          <w:lang w:val="en-US"/>
        </w:rPr>
        <w:t xml:space="preserve"> Sleep Disturbances and Frailty: Evidence From a Population-Based Study. </w:t>
      </w:r>
      <w:proofErr w:type="gramStart"/>
      <w:r w:rsidRPr="00992000">
        <w:rPr>
          <w:i/>
          <w:iCs/>
          <w:sz w:val="23"/>
          <w:szCs w:val="23"/>
          <w:lang w:val="en-US"/>
        </w:rPr>
        <w:t>Journal of the American Medical Directors Association</w:t>
      </w:r>
      <w:r w:rsidRPr="00992000">
        <w:rPr>
          <w:sz w:val="23"/>
          <w:szCs w:val="23"/>
          <w:lang w:val="en-US"/>
        </w:rPr>
        <w:t xml:space="preserve">, </w:t>
      </w:r>
      <w:r w:rsidRPr="00992000">
        <w:rPr>
          <w:i/>
          <w:iCs/>
          <w:sz w:val="23"/>
          <w:szCs w:val="23"/>
          <w:lang w:val="en-US"/>
        </w:rPr>
        <w:t>22</w:t>
      </w:r>
      <w:r w:rsidRPr="00992000">
        <w:rPr>
          <w:sz w:val="23"/>
          <w:szCs w:val="23"/>
          <w:lang w:val="en-US"/>
        </w:rPr>
        <w:t>(3), 551-558.e1.</w:t>
      </w:r>
      <w:proofErr w:type="gramEnd"/>
    </w:p>
    <w:p w:rsidR="003E3968" w:rsidRPr="003E3968" w:rsidRDefault="003E3968" w:rsidP="006F1AED">
      <w:pPr>
        <w:rPr>
          <w:sz w:val="23"/>
          <w:szCs w:val="23"/>
          <w:lang w:val="en-US"/>
        </w:rPr>
      </w:pPr>
      <w:r w:rsidRPr="003E3968">
        <w:rPr>
          <w:sz w:val="23"/>
          <w:szCs w:val="23"/>
          <w:lang w:val="en-US"/>
        </w:rPr>
        <w:t xml:space="preserve">Biessels, G. J., Staekenborg, S., Brunner, E., Brayne, C., &amp;Scheltens, P. (2006). Risk of dementia in diabetes mellitus: A systematic review. </w:t>
      </w:r>
      <w:r w:rsidRPr="003E3968">
        <w:rPr>
          <w:i/>
          <w:iCs/>
          <w:sz w:val="23"/>
          <w:szCs w:val="23"/>
          <w:lang w:val="en-US"/>
        </w:rPr>
        <w:t>The Lancet Neurology, 5</w:t>
      </w:r>
      <w:r w:rsidRPr="003E3968">
        <w:rPr>
          <w:sz w:val="23"/>
          <w:szCs w:val="23"/>
          <w:lang w:val="en-US"/>
        </w:rPr>
        <w:t>(1), 64-74. https://doi.org/10.1016/S1474-</w:t>
      </w:r>
      <w:proofErr w:type="gramStart"/>
      <w:r w:rsidRPr="003E3968">
        <w:rPr>
          <w:sz w:val="23"/>
          <w:szCs w:val="23"/>
          <w:lang w:val="en-US"/>
        </w:rPr>
        <w:t>4422(</w:t>
      </w:r>
      <w:proofErr w:type="gramEnd"/>
      <w:r w:rsidRPr="003E3968">
        <w:rPr>
          <w:sz w:val="23"/>
          <w:szCs w:val="23"/>
          <w:lang w:val="en-US"/>
        </w:rPr>
        <w:t>05)70284-2</w:t>
      </w:r>
    </w:p>
    <w:p w:rsidR="003E1B14" w:rsidRPr="003E1B14" w:rsidRDefault="003E1B14" w:rsidP="003E1B14">
      <w:pPr>
        <w:rPr>
          <w:sz w:val="23"/>
          <w:szCs w:val="23"/>
          <w:lang w:val="en-US"/>
        </w:rPr>
      </w:pPr>
      <w:proofErr w:type="gramStart"/>
      <w:r w:rsidRPr="003E1B14">
        <w:rPr>
          <w:sz w:val="23"/>
          <w:szCs w:val="23"/>
          <w:lang w:val="en-US"/>
        </w:rPr>
        <w:t>Buchman AS, Schneider JA, L</w:t>
      </w:r>
      <w:r>
        <w:rPr>
          <w:sz w:val="23"/>
          <w:szCs w:val="23"/>
          <w:lang w:val="en-US"/>
        </w:rPr>
        <w:t>eurgans S, Bennett DA.</w:t>
      </w:r>
      <w:proofErr w:type="gramEnd"/>
      <w:r>
        <w:rPr>
          <w:sz w:val="23"/>
          <w:szCs w:val="23"/>
          <w:lang w:val="en-US"/>
        </w:rPr>
        <w:t xml:space="preserve"> Physical </w:t>
      </w:r>
      <w:r w:rsidRPr="003E1B14">
        <w:rPr>
          <w:sz w:val="23"/>
          <w:szCs w:val="23"/>
          <w:lang w:val="en-US"/>
        </w:rPr>
        <w:t>frailty in older persons is as</w:t>
      </w:r>
      <w:r>
        <w:rPr>
          <w:sz w:val="23"/>
          <w:szCs w:val="23"/>
          <w:lang w:val="en-US"/>
        </w:rPr>
        <w:t xml:space="preserve">sociated with Alzheimer disease </w:t>
      </w:r>
      <w:r w:rsidRPr="003E1B14">
        <w:rPr>
          <w:sz w:val="23"/>
          <w:szCs w:val="23"/>
          <w:lang w:val="en-US"/>
        </w:rPr>
        <w:t xml:space="preserve">pathology. </w:t>
      </w:r>
      <w:r w:rsidRPr="003E1B14">
        <w:rPr>
          <w:i/>
          <w:sz w:val="23"/>
          <w:szCs w:val="23"/>
          <w:lang w:val="en-US"/>
        </w:rPr>
        <w:t>Neurology 2008;</w:t>
      </w:r>
      <w:r w:rsidRPr="003E1B14">
        <w:rPr>
          <w:sz w:val="23"/>
          <w:szCs w:val="23"/>
          <w:lang w:val="en-US"/>
        </w:rPr>
        <w:t xml:space="preserve"> 71: 499–504</w:t>
      </w:r>
    </w:p>
    <w:p w:rsidR="002D7C34" w:rsidRDefault="002D7C34" w:rsidP="002D7C34">
      <w:pPr>
        <w:rPr>
          <w:sz w:val="23"/>
          <w:szCs w:val="23"/>
          <w:lang w:val="en-US"/>
        </w:rPr>
      </w:pPr>
      <w:r w:rsidRPr="002D7C34">
        <w:rPr>
          <w:sz w:val="23"/>
          <w:szCs w:val="23"/>
          <w:lang w:val="en-US"/>
        </w:rPr>
        <w:t>Bunce D, Batterham PJ, Macki</w:t>
      </w:r>
      <w:r>
        <w:rPr>
          <w:sz w:val="23"/>
          <w:szCs w:val="23"/>
          <w:lang w:val="en-US"/>
        </w:rPr>
        <w:t xml:space="preserve">nnon AJ. </w:t>
      </w:r>
      <w:proofErr w:type="gramStart"/>
      <w:r>
        <w:rPr>
          <w:sz w:val="23"/>
          <w:szCs w:val="23"/>
          <w:lang w:val="en-US"/>
        </w:rPr>
        <w:t xml:space="preserve">Long-term associations </w:t>
      </w:r>
      <w:r w:rsidRPr="002D7C34">
        <w:rPr>
          <w:sz w:val="23"/>
          <w:szCs w:val="23"/>
          <w:lang w:val="en-US"/>
        </w:rPr>
        <w:t>between physical frailty and pe</w:t>
      </w:r>
      <w:r>
        <w:rPr>
          <w:sz w:val="23"/>
          <w:szCs w:val="23"/>
          <w:lang w:val="en-US"/>
        </w:rPr>
        <w:t xml:space="preserve">rformance in specific cognitive </w:t>
      </w:r>
      <w:r w:rsidRPr="002D7C34">
        <w:rPr>
          <w:sz w:val="23"/>
          <w:szCs w:val="23"/>
          <w:lang w:val="en-US"/>
        </w:rPr>
        <w:t>domains.</w:t>
      </w:r>
      <w:proofErr w:type="gramEnd"/>
      <w:r w:rsidRPr="002D7C34">
        <w:rPr>
          <w:sz w:val="23"/>
          <w:szCs w:val="23"/>
          <w:lang w:val="en-US"/>
        </w:rPr>
        <w:t xml:space="preserve"> </w:t>
      </w:r>
      <w:r w:rsidRPr="002D7C34">
        <w:rPr>
          <w:i/>
          <w:sz w:val="23"/>
          <w:szCs w:val="23"/>
          <w:lang w:val="en-US"/>
        </w:rPr>
        <w:t>J Gerontol B Psychol Sci Soc Sci 2019;</w:t>
      </w:r>
      <w:r w:rsidRPr="002D7C34">
        <w:rPr>
          <w:sz w:val="23"/>
          <w:szCs w:val="23"/>
          <w:lang w:val="en-US"/>
        </w:rPr>
        <w:t xml:space="preserve"> 74: 919–26.</w:t>
      </w:r>
    </w:p>
    <w:p w:rsidR="00831FC1" w:rsidRPr="00831FC1" w:rsidRDefault="00831FC1" w:rsidP="006F1AED">
      <w:pPr>
        <w:rPr>
          <w:lang w:val="en-US"/>
        </w:rPr>
      </w:pPr>
      <w:r w:rsidRPr="00831FC1">
        <w:rPr>
          <w:sz w:val="23"/>
          <w:szCs w:val="23"/>
          <w:lang w:val="en-US"/>
        </w:rPr>
        <w:t xml:space="preserve">Carneiro, J. A., Cardoso, R. R., Durães, M. S., Guedes, M. C. A., Santos, F. L., Costa, F. M. da, &amp; Caldeira, A. P. (2017). Frailty in the elderly: prevalence and associated factors. </w:t>
      </w:r>
      <w:r w:rsidRPr="00831FC1">
        <w:rPr>
          <w:i/>
          <w:iCs/>
          <w:sz w:val="23"/>
          <w:szCs w:val="23"/>
          <w:lang w:val="en-US"/>
        </w:rPr>
        <w:lastRenderedPageBreak/>
        <w:t>Revista Brasileira de Enfermagem</w:t>
      </w:r>
      <w:r w:rsidRPr="00831FC1">
        <w:rPr>
          <w:sz w:val="23"/>
          <w:szCs w:val="23"/>
          <w:lang w:val="en-US"/>
        </w:rPr>
        <w:t xml:space="preserve">, </w:t>
      </w:r>
      <w:r w:rsidRPr="00831FC1">
        <w:rPr>
          <w:i/>
          <w:iCs/>
          <w:sz w:val="23"/>
          <w:szCs w:val="23"/>
          <w:lang w:val="en-US"/>
        </w:rPr>
        <w:t>70</w:t>
      </w:r>
      <w:r w:rsidRPr="00831FC1">
        <w:rPr>
          <w:sz w:val="23"/>
          <w:szCs w:val="23"/>
          <w:lang w:val="en-US"/>
        </w:rPr>
        <w:t>(4), 747–752. https://doi.org/10.1590/0034-7167-2016-0633</w:t>
      </w:r>
    </w:p>
    <w:p w:rsidR="006F1AED" w:rsidRPr="006F1AED" w:rsidRDefault="00390167" w:rsidP="006F1AED">
      <w:pPr>
        <w:rPr>
          <w:lang w:val="en-US"/>
        </w:rPr>
      </w:pPr>
      <w:proofErr w:type="gramStart"/>
      <w:r>
        <w:rPr>
          <w:lang w:val="en-US"/>
        </w:rPr>
        <w:t>Cesari, M., Calvani, R. &amp; Marzetti, E. (2017).</w:t>
      </w:r>
      <w:proofErr w:type="gramEnd"/>
      <w:r>
        <w:rPr>
          <w:lang w:val="en-US"/>
        </w:rPr>
        <w:t xml:space="preserve"> </w:t>
      </w:r>
      <w:proofErr w:type="gramStart"/>
      <w:r>
        <w:rPr>
          <w:lang w:val="en-US"/>
        </w:rPr>
        <w:t>Frailty in Older Persons.</w:t>
      </w:r>
      <w:proofErr w:type="gramEnd"/>
      <w:r>
        <w:rPr>
          <w:lang w:val="en-US"/>
        </w:rPr>
        <w:t xml:space="preserve"> </w:t>
      </w:r>
      <w:r w:rsidRPr="00390167">
        <w:rPr>
          <w:i/>
          <w:lang w:val="en-US"/>
        </w:rPr>
        <w:t>Clinics in Geriatric Medicine, 33(3)</w:t>
      </w:r>
      <w:r>
        <w:rPr>
          <w:lang w:val="en-US"/>
        </w:rPr>
        <w:t>, 293-303. https://doi.org/10.1016/J.CGER.2017.02.002</w:t>
      </w:r>
    </w:p>
    <w:p w:rsidR="00C348F5" w:rsidRPr="00D102A9" w:rsidRDefault="00C348F5" w:rsidP="006F1AED">
      <w:pPr>
        <w:rPr>
          <w:sz w:val="23"/>
          <w:szCs w:val="23"/>
          <w:lang w:val="en-US"/>
        </w:rPr>
      </w:pPr>
      <w:r w:rsidRPr="00C348F5">
        <w:rPr>
          <w:sz w:val="23"/>
          <w:szCs w:val="23"/>
          <w:lang w:val="en-US"/>
        </w:rPr>
        <w:t xml:space="preserve">Chen, X., Mao, G., &amp; Leng, S. (2014). Frailty syndrome: an overview. </w:t>
      </w:r>
      <w:r w:rsidRPr="00C348F5">
        <w:rPr>
          <w:i/>
          <w:iCs/>
          <w:sz w:val="23"/>
          <w:szCs w:val="23"/>
          <w:lang w:val="en-US"/>
        </w:rPr>
        <w:t>Clinical Interventions in Aging</w:t>
      </w:r>
      <w:r w:rsidRPr="00C348F5">
        <w:rPr>
          <w:sz w:val="23"/>
          <w:szCs w:val="23"/>
          <w:lang w:val="en-US"/>
        </w:rPr>
        <w:t xml:space="preserve">, </w:t>
      </w:r>
      <w:r w:rsidRPr="00C348F5">
        <w:rPr>
          <w:i/>
          <w:iCs/>
          <w:sz w:val="23"/>
          <w:szCs w:val="23"/>
          <w:lang w:val="en-US"/>
        </w:rPr>
        <w:t>9</w:t>
      </w:r>
      <w:r w:rsidRPr="00C348F5">
        <w:rPr>
          <w:sz w:val="23"/>
          <w:szCs w:val="23"/>
          <w:lang w:val="en-US"/>
        </w:rPr>
        <w:t xml:space="preserve">(19), 433–441. </w:t>
      </w:r>
      <w:r w:rsidR="001C7426" w:rsidRPr="001C7426">
        <w:rPr>
          <w:sz w:val="23"/>
          <w:szCs w:val="23"/>
          <w:lang w:val="en-US"/>
        </w:rPr>
        <w:t>https://doi.org/10.2147/CIA.S45300</w:t>
      </w:r>
    </w:p>
    <w:p w:rsidR="001C7426" w:rsidRDefault="001C7426" w:rsidP="001C7426">
      <w:proofErr w:type="gramStart"/>
      <w:r w:rsidRPr="001C7426">
        <w:rPr>
          <w:lang w:val="en-US"/>
        </w:rPr>
        <w:t>Chen, J.-S., et al. (2009) Influence of Capital Structure and Operational Risk on Profitability of Life Insurance Industry in Taiwan.</w:t>
      </w:r>
      <w:proofErr w:type="gramEnd"/>
      <w:r w:rsidRPr="001C7426">
        <w:rPr>
          <w:lang w:val="en-US"/>
        </w:rPr>
        <w:t xml:space="preserve"> </w:t>
      </w:r>
      <w:r>
        <w:t>Journal of Modelling in Management, 4, 7-18.</w:t>
      </w:r>
    </w:p>
    <w:p w:rsidR="001C7426" w:rsidRPr="001C7426" w:rsidRDefault="001C7426" w:rsidP="001C7426">
      <w:r>
        <w:t>https://doi.org/10.1108/17465660910943720</w:t>
      </w:r>
    </w:p>
    <w:p w:rsidR="00B01D56" w:rsidRDefault="0049035D" w:rsidP="006F1AED">
      <w:pPr>
        <w:rPr>
          <w:sz w:val="23"/>
          <w:szCs w:val="23"/>
        </w:rPr>
      </w:pPr>
      <w:proofErr w:type="gramStart"/>
      <w:r w:rsidRPr="0049035D">
        <w:rPr>
          <w:sz w:val="23"/>
          <w:szCs w:val="23"/>
          <w:lang w:val="en-US"/>
        </w:rPr>
        <w:t>Chon, D., Lee, Y., Kim, J., &amp; Lee, K. eun.</w:t>
      </w:r>
      <w:proofErr w:type="gramEnd"/>
      <w:r w:rsidRPr="0049035D">
        <w:rPr>
          <w:sz w:val="23"/>
          <w:szCs w:val="23"/>
          <w:lang w:val="en-US"/>
        </w:rPr>
        <w:t xml:space="preserve"> (2018). </w:t>
      </w:r>
      <w:proofErr w:type="gramStart"/>
      <w:r w:rsidRPr="0049035D">
        <w:rPr>
          <w:sz w:val="23"/>
          <w:szCs w:val="23"/>
          <w:lang w:val="en-US"/>
        </w:rPr>
        <w:t>The</w:t>
      </w:r>
      <w:proofErr w:type="gramEnd"/>
      <w:r w:rsidRPr="0049035D">
        <w:rPr>
          <w:sz w:val="23"/>
          <w:szCs w:val="23"/>
          <w:lang w:val="en-US"/>
        </w:rPr>
        <w:t xml:space="preserve"> Association between Frequency of Social Contact and Frailty in Older People: Korean Frailty and Aging Cohort Study (KFACS). </w:t>
      </w:r>
      <w:r>
        <w:rPr>
          <w:i/>
          <w:iCs/>
          <w:sz w:val="23"/>
          <w:szCs w:val="23"/>
        </w:rPr>
        <w:t>Journal of Korean Medical Science</w:t>
      </w:r>
      <w:r>
        <w:rPr>
          <w:sz w:val="23"/>
          <w:szCs w:val="23"/>
        </w:rPr>
        <w:t xml:space="preserve">, </w:t>
      </w:r>
      <w:r>
        <w:rPr>
          <w:i/>
          <w:iCs/>
          <w:sz w:val="23"/>
          <w:szCs w:val="23"/>
        </w:rPr>
        <w:t>33</w:t>
      </w:r>
      <w:r>
        <w:rPr>
          <w:sz w:val="23"/>
          <w:szCs w:val="23"/>
        </w:rPr>
        <w:t>(51). https://doi.org/10.3346/JKMS.2018.33.E332</w:t>
      </w:r>
    </w:p>
    <w:p w:rsidR="00554EBC" w:rsidRPr="00554EBC" w:rsidRDefault="00554EBC" w:rsidP="006F1AED">
      <w:pPr>
        <w:rPr>
          <w:lang w:val="en-US"/>
        </w:rPr>
      </w:pPr>
      <w:proofErr w:type="gramStart"/>
      <w:r w:rsidRPr="00554EBC">
        <w:rPr>
          <w:sz w:val="23"/>
          <w:szCs w:val="23"/>
          <w:lang w:val="en-US"/>
        </w:rPr>
        <w:t>Chong, E., Ho, E., Baldevarona-Llego, J., Chan, M., Wu, L., &amp; Tay, L. (2017).</w:t>
      </w:r>
      <w:proofErr w:type="gramEnd"/>
      <w:r w:rsidRPr="00554EBC">
        <w:rPr>
          <w:sz w:val="23"/>
          <w:szCs w:val="23"/>
          <w:lang w:val="en-US"/>
        </w:rPr>
        <w:t xml:space="preserve"> Frailty and Risk of Adverse Outcomes in Hospitalized Older Adults: A Comparison of Different Frailty Measures. </w:t>
      </w:r>
      <w:proofErr w:type="gramStart"/>
      <w:r w:rsidRPr="00554EBC">
        <w:rPr>
          <w:i/>
          <w:iCs/>
          <w:sz w:val="23"/>
          <w:szCs w:val="23"/>
          <w:lang w:val="en-US"/>
        </w:rPr>
        <w:t>Journal of the American Medical Directors Association</w:t>
      </w:r>
      <w:r w:rsidRPr="00554EBC">
        <w:rPr>
          <w:sz w:val="23"/>
          <w:szCs w:val="23"/>
          <w:lang w:val="en-US"/>
        </w:rPr>
        <w:t xml:space="preserve">, </w:t>
      </w:r>
      <w:r w:rsidRPr="00554EBC">
        <w:rPr>
          <w:i/>
          <w:iCs/>
          <w:sz w:val="23"/>
          <w:szCs w:val="23"/>
          <w:lang w:val="en-US"/>
        </w:rPr>
        <w:t>18</w:t>
      </w:r>
      <w:r w:rsidRPr="00554EBC">
        <w:rPr>
          <w:sz w:val="23"/>
          <w:szCs w:val="23"/>
          <w:lang w:val="en-US"/>
        </w:rPr>
        <w:t>(7), 638.e7-638.e11.</w:t>
      </w:r>
      <w:proofErr w:type="gramEnd"/>
      <w:r w:rsidRPr="00554EBC">
        <w:rPr>
          <w:sz w:val="23"/>
          <w:szCs w:val="23"/>
          <w:lang w:val="en-US"/>
        </w:rPr>
        <w:t xml:space="preserve"> https://doi.org/10.1016/J.JAMDA.2017.04.011</w:t>
      </w:r>
    </w:p>
    <w:p w:rsidR="00FB2F61" w:rsidRPr="00FB2F61" w:rsidRDefault="00FB2F61" w:rsidP="006F1AED">
      <w:pPr>
        <w:rPr>
          <w:lang w:val="en-US"/>
        </w:rPr>
      </w:pPr>
      <w:r w:rsidRPr="004A5678">
        <w:rPr>
          <w:lang w:val="en-US"/>
        </w:rPr>
        <w:t xml:space="preserve">Choi, J., Ahn, A., Kim, S., &amp; Won, C. (2015). Global Prevalence of Physical Frailty by Fried’s Criteria in Community-Dwelling Elderly With National Population-Based Surveys. </w:t>
      </w:r>
      <w:r w:rsidRPr="004A5678">
        <w:rPr>
          <w:i/>
          <w:lang w:val="en-US"/>
        </w:rPr>
        <w:t>Journal of the American Medical Directors Association, 16(7)</w:t>
      </w:r>
      <w:r w:rsidRPr="004A5678">
        <w:rPr>
          <w:lang w:val="en-US"/>
        </w:rPr>
        <w:t>, 548–550. https://doi.</w:t>
      </w:r>
      <w:r>
        <w:rPr>
          <w:lang w:val="en-US"/>
        </w:rPr>
        <w:t>org/10.1016/J.JAMDA.2015.02.004</w:t>
      </w:r>
    </w:p>
    <w:p w:rsidR="00831FC1" w:rsidRPr="00831FC1" w:rsidRDefault="00831FC1" w:rsidP="006F1AED">
      <w:pPr>
        <w:rPr>
          <w:lang w:val="en-US"/>
        </w:rPr>
      </w:pPr>
      <w:proofErr w:type="gramStart"/>
      <w:r w:rsidRPr="00831FC1">
        <w:rPr>
          <w:sz w:val="23"/>
          <w:szCs w:val="23"/>
          <w:lang w:val="en-US"/>
        </w:rPr>
        <w:t>Chu, W., Chang, S. F., Ho, H. Y., &amp; Lin, H. C. (2019).</w:t>
      </w:r>
      <w:proofErr w:type="gramEnd"/>
      <w:r w:rsidRPr="00831FC1">
        <w:rPr>
          <w:sz w:val="23"/>
          <w:szCs w:val="23"/>
          <w:lang w:val="en-US"/>
        </w:rPr>
        <w:t xml:space="preserve"> The Relationship </w:t>
      </w:r>
      <w:proofErr w:type="gramStart"/>
      <w:r w:rsidRPr="00831FC1">
        <w:rPr>
          <w:sz w:val="23"/>
          <w:szCs w:val="23"/>
          <w:lang w:val="en-US"/>
        </w:rPr>
        <w:t>Between</w:t>
      </w:r>
      <w:proofErr w:type="gramEnd"/>
      <w:r w:rsidRPr="00831FC1">
        <w:rPr>
          <w:sz w:val="23"/>
          <w:szCs w:val="23"/>
          <w:lang w:val="en-US"/>
        </w:rPr>
        <w:t xml:space="preserve"> Depression and Frailty in Community-Dwelling Older People: A Systematic Review and Meta-Analysis of 84,351 Older Adults. </w:t>
      </w:r>
      <w:r w:rsidRPr="00831FC1">
        <w:rPr>
          <w:i/>
          <w:iCs/>
          <w:sz w:val="23"/>
          <w:szCs w:val="23"/>
          <w:lang w:val="en-US"/>
        </w:rPr>
        <w:t xml:space="preserve">Journal of Nursing </w:t>
      </w:r>
      <w:proofErr w:type="gramStart"/>
      <w:r w:rsidRPr="00831FC1">
        <w:rPr>
          <w:i/>
          <w:iCs/>
          <w:sz w:val="23"/>
          <w:szCs w:val="23"/>
          <w:lang w:val="en-US"/>
        </w:rPr>
        <w:t>Scholarship :</w:t>
      </w:r>
      <w:proofErr w:type="gramEnd"/>
      <w:r w:rsidRPr="00831FC1">
        <w:rPr>
          <w:i/>
          <w:iCs/>
          <w:sz w:val="23"/>
          <w:szCs w:val="23"/>
          <w:lang w:val="en-US"/>
        </w:rPr>
        <w:t xml:space="preserve"> An Official Publication of Sigma Theta Tau International Honor Society of Nursing</w:t>
      </w:r>
      <w:r w:rsidRPr="00831FC1">
        <w:rPr>
          <w:sz w:val="23"/>
          <w:szCs w:val="23"/>
          <w:lang w:val="en-US"/>
        </w:rPr>
        <w:t xml:space="preserve">, </w:t>
      </w:r>
      <w:r w:rsidRPr="00831FC1">
        <w:rPr>
          <w:i/>
          <w:iCs/>
          <w:sz w:val="23"/>
          <w:szCs w:val="23"/>
          <w:lang w:val="en-US"/>
        </w:rPr>
        <w:t>51</w:t>
      </w:r>
      <w:r w:rsidRPr="00831FC1">
        <w:rPr>
          <w:sz w:val="23"/>
          <w:szCs w:val="23"/>
          <w:lang w:val="en-US"/>
        </w:rPr>
        <w:t>(5), 547–559. https://doi.org/10.1111/JNU.12501</w:t>
      </w:r>
    </w:p>
    <w:p w:rsidR="00B2297E" w:rsidRDefault="006F1AED" w:rsidP="006F1AED">
      <w:pPr>
        <w:rPr>
          <w:lang w:val="en-US"/>
        </w:rPr>
      </w:pPr>
      <w:r>
        <w:rPr>
          <w:lang w:val="en-US"/>
        </w:rPr>
        <w:t xml:space="preserve">Church et al., </w:t>
      </w:r>
      <w:r w:rsidRPr="006F1AED">
        <w:rPr>
          <w:i/>
          <w:lang w:val="en-US"/>
        </w:rPr>
        <w:t>BMC Geriatrics</w:t>
      </w:r>
      <w:r>
        <w:rPr>
          <w:lang w:val="en-US"/>
        </w:rPr>
        <w:t xml:space="preserve"> (2020) 20:393. https://doi.org/10.1186/s12877-020-01801-7</w:t>
      </w:r>
    </w:p>
    <w:p w:rsidR="00223F40" w:rsidRPr="00CD2315" w:rsidRDefault="00223F40" w:rsidP="00223F40">
      <w:pPr>
        <w:rPr>
          <w:rStyle w:val="Hyperlink"/>
          <w:rFonts w:asciiTheme="minorHAnsi" w:hAnsiTheme="minorHAnsi" w:cstheme="minorBidi"/>
          <w:lang w:val="en-US"/>
        </w:rPr>
      </w:pPr>
      <w:proofErr w:type="gramStart"/>
      <w:r>
        <w:rPr>
          <w:lang w:val="en-US"/>
        </w:rPr>
        <w:t>Clegg, A., &amp; Hassan-Smith, Z. (2018).</w:t>
      </w:r>
      <w:proofErr w:type="gramEnd"/>
      <w:r>
        <w:rPr>
          <w:lang w:val="en-US"/>
        </w:rPr>
        <w:t xml:space="preserve"> </w:t>
      </w:r>
      <w:proofErr w:type="gramStart"/>
      <w:r>
        <w:rPr>
          <w:lang w:val="en-US"/>
        </w:rPr>
        <w:t>Frailty and the endocrine system.</w:t>
      </w:r>
      <w:proofErr w:type="gramEnd"/>
      <w:r>
        <w:rPr>
          <w:lang w:val="en-US"/>
        </w:rPr>
        <w:t xml:space="preserve"> </w:t>
      </w:r>
      <w:proofErr w:type="gramStart"/>
      <w:r w:rsidRPr="00B85639">
        <w:rPr>
          <w:i/>
          <w:lang w:val="en-US"/>
        </w:rPr>
        <w:t>The Lancet.</w:t>
      </w:r>
      <w:proofErr w:type="gramEnd"/>
      <w:r w:rsidRPr="00B85639">
        <w:rPr>
          <w:i/>
          <w:lang w:val="en-US"/>
        </w:rPr>
        <w:t xml:space="preserve"> Diabetes &amp;Endocronology,</w:t>
      </w:r>
      <w:r>
        <w:rPr>
          <w:lang w:val="en-US"/>
        </w:rPr>
        <w:t xml:space="preserve"> 6 (9), 743-752. </w:t>
      </w:r>
      <w:r w:rsidR="00B85639" w:rsidRPr="003F5B15">
        <w:rPr>
          <w:lang w:val="en-US"/>
        </w:rPr>
        <w:t>https://doi.org/10.1016/S2213-</w:t>
      </w:r>
      <w:proofErr w:type="gramStart"/>
      <w:r w:rsidR="00B85639" w:rsidRPr="003F5B15">
        <w:rPr>
          <w:lang w:val="en-US"/>
        </w:rPr>
        <w:t>8587(</w:t>
      </w:r>
      <w:proofErr w:type="gramEnd"/>
      <w:r w:rsidR="00B85639" w:rsidRPr="003F5B15">
        <w:rPr>
          <w:lang w:val="en-US"/>
        </w:rPr>
        <w:t>18)30110-4</w:t>
      </w:r>
    </w:p>
    <w:p w:rsidR="0055617D" w:rsidRDefault="0055617D" w:rsidP="00690366">
      <w:pPr>
        <w:rPr>
          <w:rStyle w:val="Hyperlink"/>
          <w:rFonts w:asciiTheme="minorHAnsi" w:hAnsiTheme="minorHAnsi" w:cstheme="minorBidi"/>
          <w:color w:val="auto"/>
          <w:u w:val="none"/>
          <w:lang w:val="en-US"/>
        </w:rPr>
      </w:pPr>
      <w:proofErr w:type="gramStart"/>
      <w:r>
        <w:rPr>
          <w:rStyle w:val="Hyperlink"/>
          <w:rFonts w:asciiTheme="minorHAnsi" w:hAnsiTheme="minorHAnsi" w:cstheme="minorBidi"/>
          <w:color w:val="auto"/>
          <w:u w:val="none"/>
          <w:lang w:val="en-US"/>
        </w:rPr>
        <w:t>Clegg, A., Young J., Iliffe S., Rikkert, M., Rockwood, K. (2013).</w:t>
      </w:r>
      <w:proofErr w:type="gramEnd"/>
      <w:r>
        <w:rPr>
          <w:rStyle w:val="Hyperlink"/>
          <w:rFonts w:asciiTheme="minorHAnsi" w:hAnsiTheme="minorHAnsi" w:cstheme="minorBidi"/>
          <w:color w:val="auto"/>
          <w:u w:val="none"/>
          <w:lang w:val="en-US"/>
        </w:rPr>
        <w:t xml:space="preserve"> </w:t>
      </w:r>
      <w:proofErr w:type="gramStart"/>
      <w:r>
        <w:rPr>
          <w:rStyle w:val="Hyperlink"/>
          <w:rFonts w:asciiTheme="minorHAnsi" w:hAnsiTheme="minorHAnsi" w:cstheme="minorBidi"/>
          <w:color w:val="auto"/>
          <w:u w:val="none"/>
          <w:lang w:val="en-US"/>
        </w:rPr>
        <w:t>Frailty in elderly people.</w:t>
      </w:r>
      <w:proofErr w:type="gramEnd"/>
      <w:r>
        <w:rPr>
          <w:rStyle w:val="Hyperlink"/>
          <w:rFonts w:asciiTheme="minorHAnsi" w:hAnsiTheme="minorHAnsi" w:cstheme="minorBidi"/>
          <w:color w:val="auto"/>
          <w:u w:val="none"/>
          <w:lang w:val="en-US"/>
        </w:rPr>
        <w:t xml:space="preserve"> </w:t>
      </w:r>
      <w:proofErr w:type="gramStart"/>
      <w:r w:rsidRPr="0055617D">
        <w:rPr>
          <w:rStyle w:val="Hyperlink"/>
          <w:rFonts w:asciiTheme="minorHAnsi" w:hAnsiTheme="minorHAnsi" w:cstheme="minorBidi"/>
          <w:i/>
          <w:color w:val="auto"/>
          <w:u w:val="none"/>
          <w:lang w:val="en-US"/>
        </w:rPr>
        <w:t>Lancet (London, England), 381(9868)</w:t>
      </w:r>
      <w:r>
        <w:rPr>
          <w:rStyle w:val="Hyperlink"/>
          <w:rFonts w:asciiTheme="minorHAnsi" w:hAnsiTheme="minorHAnsi" w:cstheme="minorBidi"/>
          <w:color w:val="auto"/>
          <w:u w:val="none"/>
          <w:lang w:val="en-US"/>
        </w:rPr>
        <w:t>, 752-62.</w:t>
      </w:r>
      <w:proofErr w:type="gramEnd"/>
      <w:r>
        <w:rPr>
          <w:rStyle w:val="Hyperlink"/>
          <w:rFonts w:asciiTheme="minorHAnsi" w:hAnsiTheme="minorHAnsi" w:cstheme="minorBidi"/>
          <w:color w:val="auto"/>
          <w:u w:val="none"/>
          <w:lang w:val="en-US"/>
        </w:rPr>
        <w:t xml:space="preserve"> </w:t>
      </w:r>
      <w:r w:rsidR="00EF0845" w:rsidRPr="00EF0845">
        <w:rPr>
          <w:rStyle w:val="Hyperlink"/>
          <w:rFonts w:asciiTheme="minorHAnsi" w:hAnsiTheme="minorHAnsi" w:cstheme="minorBidi"/>
          <w:color w:val="auto"/>
          <w:u w:val="none"/>
          <w:lang w:val="en-US"/>
        </w:rPr>
        <w:t>https://doi.org/10.1016/S0140-</w:t>
      </w:r>
      <w:proofErr w:type="gramStart"/>
      <w:r w:rsidR="00EF0845" w:rsidRPr="00EF0845">
        <w:rPr>
          <w:rStyle w:val="Hyperlink"/>
          <w:rFonts w:asciiTheme="minorHAnsi" w:hAnsiTheme="minorHAnsi" w:cstheme="minorBidi"/>
          <w:color w:val="auto"/>
          <w:u w:val="none"/>
          <w:lang w:val="en-US"/>
        </w:rPr>
        <w:t>6736(</w:t>
      </w:r>
      <w:proofErr w:type="gramEnd"/>
      <w:r w:rsidR="00EF0845" w:rsidRPr="00EF0845">
        <w:rPr>
          <w:rStyle w:val="Hyperlink"/>
          <w:rFonts w:asciiTheme="minorHAnsi" w:hAnsiTheme="minorHAnsi" w:cstheme="minorBidi"/>
          <w:color w:val="auto"/>
          <w:u w:val="none"/>
          <w:lang w:val="en-US"/>
        </w:rPr>
        <w:t>12)62167-9</w:t>
      </w:r>
    </w:p>
    <w:p w:rsidR="00EF0845" w:rsidRPr="00F06BF3" w:rsidRDefault="00EF0845" w:rsidP="00EF0845">
      <w:pPr>
        <w:rPr>
          <w:lang w:val="en-US"/>
        </w:rPr>
      </w:pPr>
      <w:proofErr w:type="gramStart"/>
      <w:r w:rsidRPr="00F06BF3">
        <w:rPr>
          <w:lang w:val="en-US"/>
        </w:rPr>
        <w:t>Clegg, A., &amp; Hassan-Smith, Z. (2018).</w:t>
      </w:r>
      <w:proofErr w:type="gramEnd"/>
      <w:r w:rsidRPr="00F06BF3">
        <w:rPr>
          <w:lang w:val="en-US"/>
        </w:rPr>
        <w:t xml:space="preserve"> </w:t>
      </w:r>
      <w:proofErr w:type="gramStart"/>
      <w:r w:rsidRPr="00F06BF3">
        <w:rPr>
          <w:lang w:val="en-US"/>
        </w:rPr>
        <w:t>Frailty and the endocrine system.</w:t>
      </w:r>
      <w:proofErr w:type="gramEnd"/>
      <w:r w:rsidRPr="00F06BF3">
        <w:rPr>
          <w:lang w:val="en-US"/>
        </w:rPr>
        <w:t xml:space="preserve"> </w:t>
      </w:r>
      <w:proofErr w:type="gramStart"/>
      <w:r w:rsidRPr="00F06BF3">
        <w:rPr>
          <w:i/>
          <w:lang w:val="en-US"/>
        </w:rPr>
        <w:t>The Lancet.</w:t>
      </w:r>
      <w:proofErr w:type="gramEnd"/>
      <w:r w:rsidRPr="00F06BF3">
        <w:rPr>
          <w:i/>
          <w:lang w:val="en-US"/>
        </w:rPr>
        <w:t xml:space="preserve"> Diabetes &amp; Endocrinology, 6</w:t>
      </w:r>
      <w:r w:rsidRPr="00F06BF3">
        <w:rPr>
          <w:lang w:val="en-US"/>
        </w:rPr>
        <w:t>(9), 743–752. https://doi.org/10.1016/S2213-</w:t>
      </w:r>
      <w:proofErr w:type="gramStart"/>
      <w:r w:rsidRPr="00F06BF3">
        <w:rPr>
          <w:lang w:val="en-US"/>
        </w:rPr>
        <w:t>8587(</w:t>
      </w:r>
      <w:proofErr w:type="gramEnd"/>
      <w:r w:rsidRPr="00F06BF3">
        <w:rPr>
          <w:lang w:val="en-US"/>
        </w:rPr>
        <w:t>18)30110-4</w:t>
      </w:r>
    </w:p>
    <w:p w:rsidR="00EF0845" w:rsidRPr="00F06BF3" w:rsidRDefault="00EF0845" w:rsidP="00EF0845">
      <w:pPr>
        <w:rPr>
          <w:lang w:val="en-US"/>
        </w:rPr>
      </w:pPr>
      <w:r w:rsidRPr="00F06BF3">
        <w:rPr>
          <w:lang w:val="en-US"/>
        </w:rPr>
        <w:t xml:space="preserve">Clegg, A., Young, J., Iliffe, S., Rikkert, M., &amp; Rockwood, K. (2013). </w:t>
      </w:r>
      <w:proofErr w:type="gramStart"/>
      <w:r w:rsidRPr="00F06BF3">
        <w:rPr>
          <w:lang w:val="en-US"/>
        </w:rPr>
        <w:t>Frailty in elderly people.</w:t>
      </w:r>
      <w:proofErr w:type="gramEnd"/>
      <w:r w:rsidRPr="00F06BF3">
        <w:rPr>
          <w:lang w:val="en-US"/>
        </w:rPr>
        <w:t xml:space="preserve"> </w:t>
      </w:r>
      <w:r w:rsidRPr="00F06BF3">
        <w:rPr>
          <w:i/>
          <w:lang w:val="en-US"/>
        </w:rPr>
        <w:t xml:space="preserve">Lancet </w:t>
      </w:r>
      <w:r w:rsidRPr="00F06BF3">
        <w:rPr>
          <w:lang w:val="en-US"/>
        </w:rPr>
        <w:t>(London, England), 381(9868), 752–762. https://doi.org/10.1016/S0140-</w:t>
      </w:r>
      <w:proofErr w:type="gramStart"/>
      <w:r w:rsidRPr="00F06BF3">
        <w:rPr>
          <w:lang w:val="en-US"/>
        </w:rPr>
        <w:t>6736(</w:t>
      </w:r>
      <w:proofErr w:type="gramEnd"/>
      <w:r w:rsidRPr="00F06BF3">
        <w:rPr>
          <w:lang w:val="en-US"/>
        </w:rPr>
        <w:t>12)62167-9</w:t>
      </w:r>
    </w:p>
    <w:p w:rsidR="001B1D8C" w:rsidRPr="00992000" w:rsidRDefault="001B1D8C" w:rsidP="00690366">
      <w:pPr>
        <w:rPr>
          <w:sz w:val="23"/>
          <w:szCs w:val="23"/>
          <w:lang w:val="en-US"/>
        </w:rPr>
      </w:pPr>
      <w:proofErr w:type="gramStart"/>
      <w:r w:rsidRPr="001B1D8C">
        <w:rPr>
          <w:sz w:val="23"/>
          <w:szCs w:val="23"/>
          <w:lang w:val="en-US"/>
        </w:rPr>
        <w:lastRenderedPageBreak/>
        <w:t>Coelho, T., Paúl, C., Gobbens, R. J. J., &amp; Fernandes, L. (2017).</w:t>
      </w:r>
      <w:proofErr w:type="gramEnd"/>
      <w:r w:rsidRPr="001B1D8C">
        <w:rPr>
          <w:sz w:val="23"/>
          <w:szCs w:val="23"/>
          <w:lang w:val="en-US"/>
        </w:rPr>
        <w:t xml:space="preserve"> </w:t>
      </w:r>
      <w:proofErr w:type="gramStart"/>
      <w:r w:rsidRPr="001B1D8C">
        <w:rPr>
          <w:sz w:val="23"/>
          <w:szCs w:val="23"/>
          <w:lang w:val="en-US"/>
        </w:rPr>
        <w:t>Multidimensional Frailty and Pain in Community Dwelling Elderly.</w:t>
      </w:r>
      <w:proofErr w:type="gramEnd"/>
      <w:r w:rsidRPr="001B1D8C">
        <w:rPr>
          <w:sz w:val="23"/>
          <w:szCs w:val="23"/>
          <w:lang w:val="en-US"/>
        </w:rPr>
        <w:t xml:space="preserve"> </w:t>
      </w:r>
      <w:r w:rsidRPr="001B1D8C">
        <w:rPr>
          <w:i/>
          <w:iCs/>
          <w:sz w:val="23"/>
          <w:szCs w:val="23"/>
          <w:lang w:val="en-US"/>
        </w:rPr>
        <w:t>Pain Medicine (Malden, Mass.)</w:t>
      </w:r>
      <w:r w:rsidRPr="001B1D8C">
        <w:rPr>
          <w:sz w:val="23"/>
          <w:szCs w:val="23"/>
          <w:lang w:val="en-US"/>
        </w:rPr>
        <w:t xml:space="preserve">, </w:t>
      </w:r>
      <w:r w:rsidRPr="001B1D8C">
        <w:rPr>
          <w:i/>
          <w:iCs/>
          <w:sz w:val="23"/>
          <w:szCs w:val="23"/>
          <w:lang w:val="en-US"/>
        </w:rPr>
        <w:t>18</w:t>
      </w:r>
      <w:r w:rsidRPr="001B1D8C">
        <w:rPr>
          <w:sz w:val="23"/>
          <w:szCs w:val="23"/>
          <w:lang w:val="en-US"/>
        </w:rPr>
        <w:t>(4), 693–701. https://doi.org/10.1111/PME.12746</w:t>
      </w:r>
    </w:p>
    <w:p w:rsidR="00DD50A4" w:rsidRDefault="00DD50A4" w:rsidP="00690366">
      <w:pPr>
        <w:rPr>
          <w:sz w:val="23"/>
          <w:szCs w:val="23"/>
        </w:rPr>
      </w:pPr>
      <w:r w:rsidRPr="00DD50A4">
        <w:rPr>
          <w:sz w:val="23"/>
          <w:szCs w:val="23"/>
          <w:lang w:val="en-US"/>
        </w:rPr>
        <w:t xml:space="preserve">Conlon EG, Fagegaltier D, Agius P, Davis-Porada J, Gregory J, Hubbard I, et al. Unexpected similarities between C9ORF72 and sporadic forms of ALS/FTD suggest a common disease mechanism. </w:t>
      </w:r>
      <w:r w:rsidRPr="00DD50A4">
        <w:rPr>
          <w:sz w:val="23"/>
          <w:szCs w:val="23"/>
        </w:rPr>
        <w:t>Elife. 2018;7. doi: 10.7554/eLife.37754.</w:t>
      </w:r>
    </w:p>
    <w:p w:rsidR="00EF0845" w:rsidRPr="005F0BF5" w:rsidRDefault="005F0BF5" w:rsidP="00690366">
      <w:pPr>
        <w:rPr>
          <w:rStyle w:val="Hyperlink"/>
          <w:rFonts w:asciiTheme="minorHAnsi" w:hAnsiTheme="minorHAnsi" w:cstheme="minorBidi"/>
          <w:color w:val="auto"/>
          <w:u w:val="none"/>
          <w:lang w:val="en-US"/>
        </w:rPr>
      </w:pPr>
      <w:r w:rsidRPr="005F0BF5">
        <w:rPr>
          <w:sz w:val="23"/>
          <w:szCs w:val="23"/>
          <w:lang w:val="en-US"/>
        </w:rPr>
        <w:t xml:space="preserve">Dasgupta, A., Bandyopadhyay, S., Bandyopadhyay, L., Roy, S., Paul, B., &amp; Mandal, S. (2019). How frail are our elderly? </w:t>
      </w:r>
      <w:proofErr w:type="gramStart"/>
      <w:r w:rsidRPr="005F0BF5">
        <w:rPr>
          <w:sz w:val="23"/>
          <w:szCs w:val="23"/>
          <w:lang w:val="en-US"/>
        </w:rPr>
        <w:t>An assessment with Tilburg frailty indicator (TFI) in a rural elderly population of West Bengal.</w:t>
      </w:r>
      <w:proofErr w:type="gramEnd"/>
      <w:r w:rsidRPr="005F0BF5">
        <w:rPr>
          <w:sz w:val="23"/>
          <w:szCs w:val="23"/>
          <w:lang w:val="en-US"/>
        </w:rPr>
        <w:t xml:space="preserve"> </w:t>
      </w:r>
      <w:proofErr w:type="gramStart"/>
      <w:r w:rsidRPr="005F0BF5">
        <w:rPr>
          <w:i/>
          <w:iCs/>
          <w:sz w:val="23"/>
          <w:szCs w:val="23"/>
          <w:lang w:val="en-US"/>
        </w:rPr>
        <w:t>Journal of Family Medicine and Primary Care</w:t>
      </w:r>
      <w:r w:rsidRPr="005F0BF5">
        <w:rPr>
          <w:sz w:val="23"/>
          <w:szCs w:val="23"/>
          <w:lang w:val="en-US"/>
        </w:rPr>
        <w:t xml:space="preserve">, </w:t>
      </w:r>
      <w:r w:rsidRPr="005F0BF5">
        <w:rPr>
          <w:i/>
          <w:iCs/>
          <w:sz w:val="23"/>
          <w:szCs w:val="23"/>
          <w:lang w:val="en-US"/>
        </w:rPr>
        <w:t>8</w:t>
      </w:r>
      <w:r w:rsidRPr="005F0BF5">
        <w:rPr>
          <w:sz w:val="23"/>
          <w:szCs w:val="23"/>
          <w:lang w:val="en-US"/>
        </w:rPr>
        <w:t>(7), 2242.</w:t>
      </w:r>
      <w:proofErr w:type="gramEnd"/>
      <w:r w:rsidRPr="005F0BF5">
        <w:rPr>
          <w:sz w:val="23"/>
          <w:szCs w:val="23"/>
          <w:lang w:val="en-US"/>
        </w:rPr>
        <w:t xml:space="preserve"> https://doi.org/10.4103/JFMPC.JFMPC_445_19</w:t>
      </w:r>
    </w:p>
    <w:p w:rsidR="00690366" w:rsidRPr="003F5B15" w:rsidRDefault="00690366" w:rsidP="00690366">
      <w:pPr>
        <w:rPr>
          <w:rStyle w:val="Hyperlink"/>
          <w:rFonts w:asciiTheme="minorHAnsi" w:hAnsiTheme="minorHAnsi" w:cstheme="minorBidi"/>
          <w:color w:val="auto"/>
          <w:u w:val="none"/>
          <w:lang w:val="en-US"/>
        </w:rPr>
      </w:pPr>
      <w:proofErr w:type="gramStart"/>
      <w:r w:rsidRPr="00690366">
        <w:rPr>
          <w:rStyle w:val="Hyperlink"/>
          <w:rFonts w:asciiTheme="minorHAnsi" w:hAnsiTheme="minorHAnsi" w:cstheme="minorBidi"/>
          <w:color w:val="auto"/>
          <w:u w:val="none"/>
          <w:lang w:val="en-US"/>
        </w:rPr>
        <w:t>Dent</w:t>
      </w:r>
      <w:r>
        <w:rPr>
          <w:rStyle w:val="Hyperlink"/>
          <w:rFonts w:asciiTheme="minorHAnsi" w:hAnsiTheme="minorHAnsi" w:cstheme="minorBidi"/>
          <w:color w:val="auto"/>
          <w:u w:val="none"/>
          <w:lang w:val="en-US"/>
        </w:rPr>
        <w:t>, E., Kowal, P. &amp; Hoogendijk E.O. (2016).</w:t>
      </w:r>
      <w:proofErr w:type="gramEnd"/>
      <w:r>
        <w:rPr>
          <w:rStyle w:val="Hyperlink"/>
          <w:rFonts w:asciiTheme="minorHAnsi" w:hAnsiTheme="minorHAnsi" w:cstheme="minorBidi"/>
          <w:color w:val="auto"/>
          <w:u w:val="none"/>
          <w:lang w:val="en-US"/>
        </w:rPr>
        <w:t xml:space="preserve"> Frailty measurement in research and clinical practice: A review. </w:t>
      </w:r>
      <w:r w:rsidRPr="00690366">
        <w:rPr>
          <w:rStyle w:val="Hyperlink"/>
          <w:rFonts w:asciiTheme="minorHAnsi" w:hAnsiTheme="minorHAnsi" w:cstheme="minorBidi"/>
          <w:i/>
          <w:color w:val="auto"/>
          <w:u w:val="none"/>
          <w:lang w:val="en-US"/>
        </w:rPr>
        <w:t>European Journal of Internal Medicine, 31</w:t>
      </w:r>
      <w:r>
        <w:rPr>
          <w:rStyle w:val="Hyperlink"/>
          <w:rFonts w:asciiTheme="minorHAnsi" w:hAnsiTheme="minorHAnsi" w:cstheme="minorBidi"/>
          <w:color w:val="auto"/>
          <w:u w:val="none"/>
          <w:lang w:val="en-US"/>
        </w:rPr>
        <w:t xml:space="preserve">, 3-10. </w:t>
      </w:r>
      <w:r w:rsidR="003F5B15" w:rsidRPr="003F5B15">
        <w:rPr>
          <w:rStyle w:val="Hyperlink"/>
          <w:rFonts w:asciiTheme="minorHAnsi" w:hAnsiTheme="minorHAnsi" w:cstheme="minorBidi"/>
          <w:color w:val="auto"/>
          <w:u w:val="none"/>
          <w:lang w:val="en-US"/>
        </w:rPr>
        <w:t>https://doi.org/10.1016/J.EJIM.201603.007</w:t>
      </w:r>
    </w:p>
    <w:p w:rsidR="003F5B15" w:rsidRPr="003F5B15" w:rsidRDefault="003F5B15" w:rsidP="00690366">
      <w:pPr>
        <w:rPr>
          <w:lang w:val="en-US"/>
        </w:rPr>
      </w:pPr>
      <w:proofErr w:type="gramStart"/>
      <w:r w:rsidRPr="003F5B15">
        <w:rPr>
          <w:lang w:val="en-US"/>
        </w:rPr>
        <w:t>Doi, T., Makizako, H., Tsutsumimoto, K., Hotta, R., Nakakubo, S., Makino, K., Suzuki, T., &amp; Shimada, H. (2018).</w:t>
      </w:r>
      <w:proofErr w:type="gramEnd"/>
      <w:r w:rsidRPr="003F5B15">
        <w:rPr>
          <w:lang w:val="en-US"/>
        </w:rPr>
        <w:t xml:space="preserve"> </w:t>
      </w:r>
      <w:proofErr w:type="gramStart"/>
      <w:r w:rsidRPr="003F5B15">
        <w:rPr>
          <w:lang w:val="en-US"/>
        </w:rPr>
        <w:t>Association between Insulin-Like Growth Factor-1 and Frailty among Older Adults.</w:t>
      </w:r>
      <w:proofErr w:type="gramEnd"/>
      <w:r w:rsidRPr="003F5B15">
        <w:rPr>
          <w:lang w:val="en-US"/>
        </w:rPr>
        <w:t xml:space="preserve"> </w:t>
      </w:r>
      <w:r w:rsidRPr="003F5B15">
        <w:rPr>
          <w:i/>
          <w:iCs/>
          <w:lang w:val="en-US"/>
        </w:rPr>
        <w:t>The Journal of Nutrition, Health &amp; Aging</w:t>
      </w:r>
      <w:r w:rsidRPr="003F5B15">
        <w:rPr>
          <w:lang w:val="en-US"/>
        </w:rPr>
        <w:t xml:space="preserve">, </w:t>
      </w:r>
      <w:r w:rsidRPr="003F5B15">
        <w:rPr>
          <w:i/>
          <w:iCs/>
          <w:lang w:val="en-US"/>
        </w:rPr>
        <w:t>22</w:t>
      </w:r>
      <w:r w:rsidRPr="003F5B15">
        <w:rPr>
          <w:lang w:val="en-US"/>
        </w:rPr>
        <w:t>(1), 68–72. https://doi.org/10.1007/S12603-017-0916-1</w:t>
      </w:r>
    </w:p>
    <w:p w:rsidR="0093222D" w:rsidRPr="0093222D" w:rsidRDefault="0093222D" w:rsidP="0093222D">
      <w:pPr>
        <w:rPr>
          <w:lang w:val="en-US"/>
        </w:rPr>
      </w:pPr>
      <w:r w:rsidRPr="0093222D">
        <w:rPr>
          <w:lang w:val="en-US"/>
        </w:rPr>
        <w:t xml:space="preserve">Erickson, K. I., Voss, M. W., Prakash, R. S., Basak, C., Szabo, A., Chaddock, L., &amp; Kramer, A. F. (2011). Exercise training increases size of hippocampus and improves memory. </w:t>
      </w:r>
      <w:proofErr w:type="gramStart"/>
      <w:r w:rsidRPr="0093222D">
        <w:rPr>
          <w:i/>
          <w:lang w:val="en-US"/>
        </w:rPr>
        <w:t>PNAS, 108</w:t>
      </w:r>
      <w:r w:rsidRPr="0093222D">
        <w:rPr>
          <w:lang w:val="en-US"/>
        </w:rPr>
        <w:t>(7), 3017–3022.</w:t>
      </w:r>
      <w:proofErr w:type="gramEnd"/>
      <w:r w:rsidRPr="0093222D">
        <w:rPr>
          <w:lang w:val="en-US"/>
        </w:rPr>
        <w:t xml:space="preserve"> https://doi.org/10.1073/pnas.1015950108</w:t>
      </w:r>
    </w:p>
    <w:p w:rsidR="0093222D" w:rsidRPr="0093222D" w:rsidRDefault="0093222D" w:rsidP="0093222D">
      <w:pPr>
        <w:rPr>
          <w:lang w:val="en-US"/>
        </w:rPr>
      </w:pPr>
      <w:r w:rsidRPr="0093222D">
        <w:rPr>
          <w:lang w:val="en-US"/>
        </w:rPr>
        <w:t xml:space="preserve">Erickson, K. I., Voss, M. W., Prakash, R. S., Basak, C., Szabo, A., Chaddock, L., Kim, J. S., Heo, S., Alves, H., White, S. M., Wojcicki, T. R., Mailey, E. L., Vieira, V. J., Martin, S. A., Pence, B. D., Woods, J. A., McAuley, E., &amp; Kramer, A. F. (2011). Exercise training increases size of hippocampus and improves memory. </w:t>
      </w:r>
      <w:proofErr w:type="gramStart"/>
      <w:r w:rsidRPr="0093222D">
        <w:rPr>
          <w:i/>
          <w:lang w:val="en-US"/>
        </w:rPr>
        <w:t>Proceedings of the National Academy of Sciences, 108(</w:t>
      </w:r>
      <w:r w:rsidRPr="0093222D">
        <w:rPr>
          <w:lang w:val="en-US"/>
        </w:rPr>
        <w:t>7), 3017-3022.</w:t>
      </w:r>
      <w:proofErr w:type="gramEnd"/>
      <w:r w:rsidRPr="0093222D">
        <w:rPr>
          <w:lang w:val="en-US"/>
        </w:rPr>
        <w:t xml:space="preserve"> https://doi.org/10.1073/pnas.1015950108</w:t>
      </w:r>
    </w:p>
    <w:p w:rsidR="003F5B15" w:rsidRPr="005F0BF5" w:rsidRDefault="003F5B15" w:rsidP="00223F40">
      <w:pPr>
        <w:rPr>
          <w:rFonts w:cstheme="minorHAnsi"/>
          <w:lang w:val="en-US"/>
        </w:rPr>
      </w:pPr>
      <w:proofErr w:type="gramStart"/>
      <w:r w:rsidRPr="003F5B15">
        <w:rPr>
          <w:lang w:val="en-US"/>
        </w:rPr>
        <w:t>Espinoza, S., &amp; Walston, J. (2005).</w:t>
      </w:r>
      <w:proofErr w:type="gramEnd"/>
      <w:r w:rsidRPr="003F5B15">
        <w:rPr>
          <w:lang w:val="en-US"/>
        </w:rPr>
        <w:t xml:space="preserve"> Frailty in older adults: insights and interventions. </w:t>
      </w:r>
      <w:r w:rsidRPr="003F5B15">
        <w:rPr>
          <w:i/>
          <w:lang w:val="en-US"/>
        </w:rPr>
        <w:t>Cleveland Clinic Journal of Medicine, 72</w:t>
      </w:r>
      <w:r w:rsidRPr="003F5B15">
        <w:rPr>
          <w:lang w:val="en-US"/>
        </w:rPr>
        <w:t xml:space="preserve">(12), 1105–1112. </w:t>
      </w:r>
      <w:r w:rsidRPr="005F0BF5">
        <w:rPr>
          <w:rFonts w:cstheme="minorHAnsi"/>
          <w:lang w:val="en-US"/>
        </w:rPr>
        <w:t>https://doi.org/10.3949/CCJM.72.12.1105</w:t>
      </w:r>
    </w:p>
    <w:p w:rsidR="005F0BF5" w:rsidRDefault="005F0BF5" w:rsidP="005F0BF5">
      <w:pPr>
        <w:autoSpaceDE w:val="0"/>
        <w:autoSpaceDN w:val="0"/>
        <w:adjustRightInd w:val="0"/>
        <w:spacing w:after="0" w:line="240" w:lineRule="auto"/>
        <w:rPr>
          <w:rFonts w:cstheme="minorHAnsi"/>
          <w:lang w:val="en-US"/>
        </w:rPr>
      </w:pPr>
      <w:r w:rsidRPr="005F0BF5">
        <w:rPr>
          <w:rFonts w:cstheme="minorHAnsi"/>
          <w:color w:val="000000"/>
          <w:lang w:val="en-US"/>
        </w:rPr>
        <w:t>Etman, A., Burdorf, A., Van der Cammen, T. J. M., Mackenbach, J. P., &amp; Van Lenthe, F. J. (2012). Socio-demographic determinants of worsening in frailty among</w:t>
      </w:r>
      <w:r w:rsidRPr="005F0BF5">
        <w:rPr>
          <w:rFonts w:cstheme="minorHAnsi"/>
          <w:lang w:val="en-US"/>
        </w:rPr>
        <w:t xml:space="preserve"> community-dwelling older people in 11 European countries. </w:t>
      </w:r>
      <w:r w:rsidRPr="005F0BF5">
        <w:rPr>
          <w:rFonts w:cstheme="minorHAnsi"/>
          <w:i/>
          <w:iCs/>
          <w:lang w:val="en-US"/>
        </w:rPr>
        <w:t>Journal of Epidemiology and Community Health</w:t>
      </w:r>
      <w:r w:rsidRPr="005F0BF5">
        <w:rPr>
          <w:rFonts w:cstheme="minorHAnsi"/>
          <w:lang w:val="en-US"/>
        </w:rPr>
        <w:t xml:space="preserve">, </w:t>
      </w:r>
      <w:r w:rsidRPr="005F0BF5">
        <w:rPr>
          <w:rFonts w:cstheme="minorHAnsi"/>
          <w:i/>
          <w:iCs/>
          <w:lang w:val="en-US"/>
        </w:rPr>
        <w:t>66</w:t>
      </w:r>
      <w:r w:rsidRPr="005F0BF5">
        <w:rPr>
          <w:rFonts w:cstheme="minorHAnsi"/>
          <w:lang w:val="en-US"/>
        </w:rPr>
        <w:t>(12), 1116–1121. https://doi.org/10.1136/JECH-2011-200027</w:t>
      </w:r>
    </w:p>
    <w:p w:rsidR="005F0BF5" w:rsidRPr="005F0BF5" w:rsidRDefault="005F0BF5" w:rsidP="005F0BF5">
      <w:pPr>
        <w:autoSpaceDE w:val="0"/>
        <w:autoSpaceDN w:val="0"/>
        <w:adjustRightInd w:val="0"/>
        <w:spacing w:after="0" w:line="240" w:lineRule="auto"/>
        <w:rPr>
          <w:rFonts w:cstheme="minorHAnsi"/>
          <w:lang w:val="en-US"/>
        </w:rPr>
      </w:pPr>
    </w:p>
    <w:p w:rsidR="003E2056" w:rsidRPr="003F5B15" w:rsidRDefault="003E2056" w:rsidP="00223F40">
      <w:pPr>
        <w:rPr>
          <w:lang w:val="en-US"/>
        </w:rPr>
      </w:pPr>
      <w:proofErr w:type="gramStart"/>
      <w:r>
        <w:rPr>
          <w:lang w:val="en-US"/>
        </w:rPr>
        <w:t>Eurostat.</w:t>
      </w:r>
      <w:proofErr w:type="gramEnd"/>
      <w:r>
        <w:rPr>
          <w:lang w:val="en-US"/>
        </w:rPr>
        <w:t xml:space="preserve"> (2020). </w:t>
      </w:r>
      <w:r w:rsidRPr="003E2056">
        <w:rPr>
          <w:i/>
          <w:lang w:val="en-US"/>
        </w:rPr>
        <w:t>More than a fifth of the EU population are aged 65 or over- Products Eurostat News – Eurostat.</w:t>
      </w:r>
      <w:r>
        <w:rPr>
          <w:lang w:val="en-US"/>
        </w:rPr>
        <w:t xml:space="preserve"> </w:t>
      </w:r>
      <w:r w:rsidR="003F5B15" w:rsidRPr="003F5B15">
        <w:rPr>
          <w:lang w:val="en-US"/>
        </w:rPr>
        <w:t>https://ec.europa.eu/eurostat/web/products-eurostat-news/-/ddn-20210316-1</w:t>
      </w:r>
    </w:p>
    <w:p w:rsidR="00FB2F61" w:rsidRPr="00FB2F61" w:rsidRDefault="00FB2F61" w:rsidP="00223F40">
      <w:pPr>
        <w:rPr>
          <w:sz w:val="23"/>
          <w:szCs w:val="23"/>
          <w:lang w:val="en-US"/>
        </w:rPr>
      </w:pPr>
      <w:proofErr w:type="gramStart"/>
      <w:r w:rsidRPr="00FB2F61">
        <w:rPr>
          <w:sz w:val="23"/>
          <w:szCs w:val="23"/>
          <w:lang w:val="en-US"/>
        </w:rPr>
        <w:t>Fang, X., Shi, J., Song, X., Mitnitski, A., Tang, Z., Wang, C., Yu, P., &amp; Rockwood, K. (2012).</w:t>
      </w:r>
      <w:proofErr w:type="gramEnd"/>
      <w:r w:rsidRPr="00FB2F61">
        <w:rPr>
          <w:sz w:val="23"/>
          <w:szCs w:val="23"/>
          <w:lang w:val="en-US"/>
        </w:rPr>
        <w:t xml:space="preserve"> Frailty in relation to the risk of falls, fractures, and mortality in older Chinese adults: </w:t>
      </w:r>
      <w:r w:rsidRPr="00FB2F61">
        <w:rPr>
          <w:sz w:val="23"/>
          <w:szCs w:val="23"/>
          <w:lang w:val="en-US"/>
        </w:rPr>
        <w:lastRenderedPageBreak/>
        <w:t xml:space="preserve">results from the Beijing Longitudinal Study of Aging. </w:t>
      </w:r>
      <w:r w:rsidRPr="00FB2F61">
        <w:rPr>
          <w:i/>
          <w:iCs/>
          <w:sz w:val="23"/>
          <w:szCs w:val="23"/>
          <w:lang w:val="en-US"/>
        </w:rPr>
        <w:t>The Journal of Nutrition, Health &amp; Aging</w:t>
      </w:r>
      <w:r w:rsidRPr="00FB2F61">
        <w:rPr>
          <w:sz w:val="23"/>
          <w:szCs w:val="23"/>
          <w:lang w:val="en-US"/>
        </w:rPr>
        <w:t xml:space="preserve">, </w:t>
      </w:r>
      <w:r w:rsidRPr="00FB2F61">
        <w:rPr>
          <w:i/>
          <w:iCs/>
          <w:sz w:val="23"/>
          <w:szCs w:val="23"/>
          <w:lang w:val="en-US"/>
        </w:rPr>
        <w:t>16</w:t>
      </w:r>
      <w:r w:rsidRPr="00FB2F61">
        <w:rPr>
          <w:sz w:val="23"/>
          <w:szCs w:val="23"/>
          <w:lang w:val="en-US"/>
        </w:rPr>
        <w:t>(10), 903–907. https://doi.org/10.1007/S12603-012-0368-6</w:t>
      </w:r>
    </w:p>
    <w:p w:rsidR="003F5B15" w:rsidRPr="003F5B15" w:rsidRDefault="006B7959" w:rsidP="00223F40">
      <w:pPr>
        <w:rPr>
          <w:lang w:val="en-US"/>
        </w:rPr>
      </w:pPr>
      <w:proofErr w:type="gramStart"/>
      <w:r w:rsidRPr="006B7959">
        <w:rPr>
          <w:sz w:val="23"/>
          <w:szCs w:val="23"/>
          <w:lang w:val="en-US"/>
        </w:rPr>
        <w:t>Faller, J., Pereira, D., de Souza, S., Nampo, F., Orlandi, F., &amp; Matumoto, S. (2019).</w:t>
      </w:r>
      <w:proofErr w:type="gramEnd"/>
      <w:r w:rsidRPr="006B7959">
        <w:rPr>
          <w:sz w:val="23"/>
          <w:szCs w:val="23"/>
          <w:lang w:val="en-US"/>
        </w:rPr>
        <w:t xml:space="preserve"> Instruments for the detection of frailty syndrome in older adults: A systematic review. </w:t>
      </w:r>
      <w:proofErr w:type="gramStart"/>
      <w:r w:rsidRPr="00DD50A4">
        <w:rPr>
          <w:i/>
          <w:iCs/>
          <w:sz w:val="23"/>
          <w:szCs w:val="23"/>
          <w:lang w:val="en-US"/>
        </w:rPr>
        <w:t>PloS One</w:t>
      </w:r>
      <w:r w:rsidRPr="00DD50A4">
        <w:rPr>
          <w:sz w:val="23"/>
          <w:szCs w:val="23"/>
          <w:lang w:val="en-US"/>
        </w:rPr>
        <w:t xml:space="preserve">, </w:t>
      </w:r>
      <w:r w:rsidRPr="00DD50A4">
        <w:rPr>
          <w:i/>
          <w:iCs/>
          <w:sz w:val="23"/>
          <w:szCs w:val="23"/>
          <w:lang w:val="en-US"/>
        </w:rPr>
        <w:t>14</w:t>
      </w:r>
      <w:r w:rsidRPr="00DD50A4">
        <w:rPr>
          <w:sz w:val="23"/>
          <w:szCs w:val="23"/>
          <w:lang w:val="en-US"/>
        </w:rPr>
        <w:t>(4).</w:t>
      </w:r>
      <w:proofErr w:type="gramEnd"/>
      <w:r w:rsidRPr="00DD50A4">
        <w:rPr>
          <w:sz w:val="23"/>
          <w:szCs w:val="23"/>
          <w:lang w:val="en-US"/>
        </w:rPr>
        <w:t xml:space="preserve"> https://doi.org/10.1371/JOURNAL.PONE.0216166</w:t>
      </w:r>
    </w:p>
    <w:p w:rsidR="00DD50A4" w:rsidRDefault="00DD50A4" w:rsidP="000D7F94">
      <w:pPr>
        <w:rPr>
          <w:sz w:val="23"/>
          <w:szCs w:val="23"/>
        </w:rPr>
      </w:pPr>
      <w:r w:rsidRPr="00DD50A4">
        <w:rPr>
          <w:sz w:val="23"/>
          <w:szCs w:val="23"/>
          <w:lang w:val="en-US"/>
        </w:rPr>
        <w:t>Feldman, H. H., Jacova, C., Robillard, A., Garcia, A., Chow, T., Borrie, M</w:t>
      </w:r>
      <w:proofErr w:type="gramStart"/>
      <w:r w:rsidRPr="00DD50A4">
        <w:rPr>
          <w:sz w:val="23"/>
          <w:szCs w:val="23"/>
          <w:lang w:val="en-US"/>
        </w:rPr>
        <w:t>., ...</w:t>
      </w:r>
      <w:proofErr w:type="gramEnd"/>
      <w:r w:rsidRPr="00DD50A4">
        <w:rPr>
          <w:sz w:val="23"/>
          <w:szCs w:val="23"/>
          <w:lang w:val="en-US"/>
        </w:rPr>
        <w:t xml:space="preserve"> </w:t>
      </w:r>
      <w:r w:rsidRPr="00DD50A4">
        <w:rPr>
          <w:sz w:val="23"/>
          <w:szCs w:val="23"/>
        </w:rPr>
        <w:t xml:space="preserve">&amp; Chertkow, H. (2008). Diagnosis and treatment of dementia: 2. Diagnosis. </w:t>
      </w:r>
      <w:r w:rsidRPr="00DD50A4">
        <w:rPr>
          <w:i/>
          <w:sz w:val="23"/>
          <w:szCs w:val="23"/>
        </w:rPr>
        <w:t>cmaj, 178</w:t>
      </w:r>
      <w:r w:rsidRPr="00DD50A4">
        <w:rPr>
          <w:sz w:val="23"/>
          <w:szCs w:val="23"/>
        </w:rPr>
        <w:t>(7), 825-836</w:t>
      </w:r>
    </w:p>
    <w:p w:rsidR="004A5678" w:rsidRPr="000D7F94" w:rsidRDefault="00A67413" w:rsidP="000D7F94">
      <w:pPr>
        <w:rPr>
          <w:lang w:val="en-US"/>
        </w:rPr>
      </w:pPr>
      <w:proofErr w:type="gramStart"/>
      <w:r w:rsidRPr="00A67413">
        <w:rPr>
          <w:sz w:val="23"/>
          <w:szCs w:val="23"/>
          <w:lang w:val="en-US"/>
        </w:rPr>
        <w:t>Fried, L., CM, T., Walston, J., Newman, A., Hirsch, C., Gottdiener, J., Seeman, T., Tracy, R., Kop, W., Burke, G., &amp; McBurnie, M. (2001).</w:t>
      </w:r>
      <w:proofErr w:type="gramEnd"/>
      <w:r w:rsidRPr="00A67413">
        <w:rPr>
          <w:sz w:val="23"/>
          <w:szCs w:val="23"/>
          <w:lang w:val="en-US"/>
        </w:rPr>
        <w:t xml:space="preserve"> Frailty in older adults: evidence for a phenotype. </w:t>
      </w:r>
      <w:proofErr w:type="gramStart"/>
      <w:r w:rsidRPr="00036E5E">
        <w:rPr>
          <w:i/>
          <w:iCs/>
          <w:sz w:val="23"/>
          <w:szCs w:val="23"/>
          <w:lang w:val="en-US"/>
        </w:rPr>
        <w:t>The Journals of Gerontology.</w:t>
      </w:r>
      <w:proofErr w:type="gramEnd"/>
      <w:r w:rsidRPr="00036E5E">
        <w:rPr>
          <w:i/>
          <w:iCs/>
          <w:sz w:val="23"/>
          <w:szCs w:val="23"/>
          <w:lang w:val="en-US"/>
        </w:rPr>
        <w:t xml:space="preserve"> </w:t>
      </w:r>
      <w:proofErr w:type="gramStart"/>
      <w:r w:rsidRPr="00036E5E">
        <w:rPr>
          <w:i/>
          <w:iCs/>
          <w:sz w:val="23"/>
          <w:szCs w:val="23"/>
          <w:lang w:val="en-US"/>
        </w:rPr>
        <w:t>Series A, Biological Sciences and Medical Sciences</w:t>
      </w:r>
      <w:r w:rsidRPr="00036E5E">
        <w:rPr>
          <w:i/>
          <w:sz w:val="23"/>
          <w:szCs w:val="23"/>
          <w:lang w:val="en-US"/>
        </w:rPr>
        <w:t xml:space="preserve">, </w:t>
      </w:r>
      <w:r w:rsidRPr="00036E5E">
        <w:rPr>
          <w:i/>
          <w:iCs/>
          <w:sz w:val="23"/>
          <w:szCs w:val="23"/>
          <w:lang w:val="en-US"/>
        </w:rPr>
        <w:t>56</w:t>
      </w:r>
      <w:r w:rsidRPr="00036E5E">
        <w:rPr>
          <w:i/>
          <w:sz w:val="23"/>
          <w:szCs w:val="23"/>
          <w:lang w:val="en-US"/>
        </w:rPr>
        <w:t>(3)</w:t>
      </w:r>
      <w:r w:rsidRPr="00A67413">
        <w:rPr>
          <w:sz w:val="23"/>
          <w:szCs w:val="23"/>
          <w:lang w:val="en-US"/>
        </w:rPr>
        <w:t>.</w:t>
      </w:r>
      <w:proofErr w:type="gramEnd"/>
      <w:r w:rsidRPr="00A67413">
        <w:rPr>
          <w:sz w:val="23"/>
          <w:szCs w:val="23"/>
          <w:lang w:val="en-US"/>
        </w:rPr>
        <w:t xml:space="preserve"> </w:t>
      </w:r>
      <w:r w:rsidR="000D7F94" w:rsidRPr="000D7F94">
        <w:rPr>
          <w:sz w:val="23"/>
          <w:szCs w:val="23"/>
          <w:lang w:val="en-US"/>
        </w:rPr>
        <w:t>https://doi.org/10.1093/GERONA/56.3.M146</w:t>
      </w:r>
    </w:p>
    <w:p w:rsidR="000D7F94" w:rsidRPr="00241904" w:rsidRDefault="000D7F94" w:rsidP="000D7F94">
      <w:pPr>
        <w:rPr>
          <w:lang w:val="en-US"/>
        </w:rPr>
      </w:pPr>
      <w:proofErr w:type="gramStart"/>
      <w:r w:rsidRPr="000D7F94">
        <w:rPr>
          <w:sz w:val="23"/>
          <w:szCs w:val="23"/>
          <w:lang w:val="en-US"/>
        </w:rPr>
        <w:t>Gabrovec, B., Antoniadou, E., Soleymani, D., Targowski, T., Kadalska, E., López-Samaniego, L., Carriazo, A. M., Csizmadia, P., Hendry, A., Mair, A., Bacaicoa, A., Kršić, I., Dent, E., &amp; Eržen, I. (2019).</w:t>
      </w:r>
      <w:proofErr w:type="gramEnd"/>
      <w:r w:rsidRPr="000D7F94">
        <w:rPr>
          <w:sz w:val="23"/>
          <w:szCs w:val="23"/>
          <w:lang w:val="en-US"/>
        </w:rPr>
        <w:t xml:space="preserve"> </w:t>
      </w:r>
      <w:proofErr w:type="gramStart"/>
      <w:r w:rsidRPr="000D7F94">
        <w:rPr>
          <w:i/>
          <w:iCs/>
          <w:sz w:val="23"/>
          <w:szCs w:val="23"/>
          <w:lang w:val="en-US"/>
        </w:rPr>
        <w:t>European Guide for Management of Frailty at Individual Level Including Recommendations and Roadmap</w:t>
      </w:r>
      <w:r w:rsidRPr="000D7F94">
        <w:rPr>
          <w:sz w:val="23"/>
          <w:szCs w:val="23"/>
          <w:lang w:val="en-US"/>
        </w:rPr>
        <w:t>.</w:t>
      </w:r>
      <w:proofErr w:type="gramEnd"/>
      <w:r w:rsidRPr="000D7F94">
        <w:rPr>
          <w:sz w:val="23"/>
          <w:szCs w:val="23"/>
          <w:lang w:val="en-US"/>
        </w:rPr>
        <w:t xml:space="preserve"> https://doi.org/ISBN 978-961-7002-88-1</w:t>
      </w:r>
    </w:p>
    <w:p w:rsidR="00280BD4" w:rsidRPr="0051383D" w:rsidRDefault="00280BD4" w:rsidP="00280BD4">
      <w:pPr>
        <w:autoSpaceDE w:val="0"/>
        <w:autoSpaceDN w:val="0"/>
        <w:adjustRightInd w:val="0"/>
        <w:spacing w:after="0" w:line="240" w:lineRule="auto"/>
        <w:rPr>
          <w:rFonts w:cstheme="minorHAnsi"/>
          <w:sz w:val="20"/>
          <w:szCs w:val="20"/>
          <w:lang w:val="en-US"/>
        </w:rPr>
      </w:pPr>
      <w:proofErr w:type="gramStart"/>
      <w:r w:rsidRPr="0051383D">
        <w:rPr>
          <w:rFonts w:cstheme="minorHAnsi"/>
          <w:color w:val="000000"/>
          <w:sz w:val="23"/>
          <w:szCs w:val="23"/>
          <w:lang w:val="en-US"/>
        </w:rPr>
        <w:t>Gill, T. M., Gahbauer, E. A., Allore, H. G., &amp; Han, L. (2006).</w:t>
      </w:r>
      <w:proofErr w:type="gramEnd"/>
      <w:r w:rsidRPr="0051383D">
        <w:rPr>
          <w:rFonts w:cstheme="minorHAnsi"/>
          <w:color w:val="000000"/>
          <w:sz w:val="23"/>
          <w:szCs w:val="23"/>
          <w:lang w:val="en-US"/>
        </w:rPr>
        <w:t xml:space="preserve"> </w:t>
      </w:r>
      <w:r w:rsidRPr="00FB2F61">
        <w:rPr>
          <w:rFonts w:cstheme="minorHAnsi"/>
          <w:color w:val="000000"/>
          <w:sz w:val="23"/>
          <w:szCs w:val="23"/>
          <w:lang w:val="en-US"/>
        </w:rPr>
        <w:t xml:space="preserve">Transitions between </w:t>
      </w:r>
      <w:proofErr w:type="gramStart"/>
      <w:r w:rsidRPr="00FB2F61">
        <w:rPr>
          <w:rFonts w:cstheme="minorHAnsi"/>
          <w:color w:val="000000"/>
          <w:sz w:val="23"/>
          <w:szCs w:val="23"/>
          <w:lang w:val="en-US"/>
        </w:rPr>
        <w:t>frailty</w:t>
      </w:r>
      <w:proofErr w:type="gramEnd"/>
    </w:p>
    <w:p w:rsidR="00280BD4" w:rsidRPr="0051383D" w:rsidRDefault="00280BD4" w:rsidP="00280BD4">
      <w:pPr>
        <w:rPr>
          <w:rFonts w:cstheme="minorHAnsi"/>
          <w:sz w:val="23"/>
          <w:szCs w:val="23"/>
          <w:lang w:val="en-US"/>
        </w:rPr>
      </w:pPr>
      <w:proofErr w:type="gramStart"/>
      <w:r w:rsidRPr="0051383D">
        <w:rPr>
          <w:rFonts w:cstheme="minorHAnsi"/>
          <w:sz w:val="23"/>
          <w:szCs w:val="23"/>
          <w:lang w:val="en-US"/>
        </w:rPr>
        <w:t>states</w:t>
      </w:r>
      <w:proofErr w:type="gramEnd"/>
      <w:r w:rsidRPr="0051383D">
        <w:rPr>
          <w:rFonts w:cstheme="minorHAnsi"/>
          <w:sz w:val="23"/>
          <w:szCs w:val="23"/>
          <w:lang w:val="en-US"/>
        </w:rPr>
        <w:t xml:space="preserve"> among community-living older persons. </w:t>
      </w:r>
      <w:r w:rsidRPr="0051383D">
        <w:rPr>
          <w:rFonts w:cstheme="minorHAnsi"/>
          <w:i/>
          <w:iCs/>
          <w:sz w:val="23"/>
          <w:szCs w:val="23"/>
          <w:lang w:val="en-US"/>
        </w:rPr>
        <w:t>Archives of Internal Medicine</w:t>
      </w:r>
      <w:r w:rsidRPr="0051383D">
        <w:rPr>
          <w:rFonts w:cstheme="minorHAnsi"/>
          <w:sz w:val="23"/>
          <w:szCs w:val="23"/>
          <w:lang w:val="en-US"/>
        </w:rPr>
        <w:t xml:space="preserve">, </w:t>
      </w:r>
      <w:r w:rsidRPr="0051383D">
        <w:rPr>
          <w:rFonts w:cstheme="minorHAnsi"/>
          <w:i/>
          <w:iCs/>
          <w:sz w:val="23"/>
          <w:szCs w:val="23"/>
          <w:lang w:val="en-US"/>
        </w:rPr>
        <w:t>166</w:t>
      </w:r>
      <w:r w:rsidRPr="0051383D">
        <w:rPr>
          <w:rFonts w:cstheme="minorHAnsi"/>
          <w:sz w:val="23"/>
          <w:szCs w:val="23"/>
          <w:lang w:val="en-US"/>
        </w:rPr>
        <w:t xml:space="preserve">(4), 418–423. </w:t>
      </w:r>
      <w:r w:rsidR="00F06BF3" w:rsidRPr="0051383D">
        <w:rPr>
          <w:rFonts w:cstheme="minorHAnsi"/>
          <w:sz w:val="23"/>
          <w:szCs w:val="23"/>
          <w:lang w:val="en-US"/>
        </w:rPr>
        <w:t>https://doi.org/10.1001/ARCHINTE.166.4.418</w:t>
      </w:r>
    </w:p>
    <w:p w:rsidR="00915581" w:rsidRPr="00915581" w:rsidRDefault="00915581" w:rsidP="005B10B2">
      <w:pPr>
        <w:rPr>
          <w:lang w:val="en-US"/>
        </w:rPr>
      </w:pPr>
      <w:proofErr w:type="gramStart"/>
      <w:r w:rsidRPr="00915581">
        <w:rPr>
          <w:lang w:val="en-US"/>
        </w:rPr>
        <w:t>Gobbens, R., &amp; Andreasen, J. (2020).</w:t>
      </w:r>
      <w:proofErr w:type="gramEnd"/>
      <w:r w:rsidRPr="00915581">
        <w:rPr>
          <w:lang w:val="en-US"/>
        </w:rPr>
        <w:t xml:space="preserve"> The prediction of readmission and mortality by the domains and components of the Tilburg Frailty Indicator (TFI): A prospective cohort study among acutely admitted older patients. </w:t>
      </w:r>
      <w:proofErr w:type="gramStart"/>
      <w:r w:rsidRPr="00915581">
        <w:rPr>
          <w:i/>
          <w:lang w:val="en-US"/>
        </w:rPr>
        <w:t>Archives of Gerontology and Geriatrics, 89</w:t>
      </w:r>
      <w:r w:rsidRPr="00915581">
        <w:rPr>
          <w:lang w:val="en-US"/>
        </w:rPr>
        <w:t>.</w:t>
      </w:r>
      <w:proofErr w:type="gramEnd"/>
      <w:r w:rsidRPr="00915581">
        <w:rPr>
          <w:lang w:val="en-US"/>
        </w:rPr>
        <w:t xml:space="preserve"> https://doi.org/10.1016/J.ARCHGER.2020.104077</w:t>
      </w:r>
    </w:p>
    <w:p w:rsidR="005B10B2" w:rsidRPr="005B10B2" w:rsidRDefault="005B10B2" w:rsidP="005B10B2">
      <w:pPr>
        <w:rPr>
          <w:lang w:val="en-US"/>
        </w:rPr>
      </w:pPr>
      <w:r w:rsidRPr="005B10B2">
        <w:rPr>
          <w:lang w:val="en-US"/>
        </w:rPr>
        <w:t xml:space="preserve">Gobbens, R. J. J., van Assen, M., Luijkx, K., Wijnen-Sponselee, M., &amp; Schols, J. (2010). The Tilburg Frailty Indicator: psychometric properties. </w:t>
      </w:r>
      <w:r w:rsidRPr="005B10B2">
        <w:rPr>
          <w:i/>
          <w:lang w:val="en-US"/>
        </w:rPr>
        <w:t>Journal of the American Medical Directors Association, 11(5)</w:t>
      </w:r>
      <w:r w:rsidRPr="005B10B2">
        <w:rPr>
          <w:lang w:val="en-US"/>
        </w:rPr>
        <w:t>, 344–355. https://doi.org/10.1016/J.JAMDA.2009.11.003</w:t>
      </w:r>
    </w:p>
    <w:p w:rsidR="005B10B2" w:rsidRPr="005B10B2" w:rsidRDefault="005B10B2" w:rsidP="005B10B2">
      <w:pPr>
        <w:rPr>
          <w:lang w:val="en-US"/>
        </w:rPr>
      </w:pPr>
      <w:proofErr w:type="gramStart"/>
      <w:r w:rsidRPr="005B10B2">
        <w:rPr>
          <w:lang w:val="en-US"/>
        </w:rPr>
        <w:t>Gobbens, R. J., Luijkx, K. G., Wijnen-Sponselee, M. T., &amp; Schols, J. M. (2010).</w:t>
      </w:r>
      <w:proofErr w:type="gramEnd"/>
      <w:r w:rsidRPr="005B10B2">
        <w:rPr>
          <w:lang w:val="en-US"/>
        </w:rPr>
        <w:t xml:space="preserve"> In search of an integral conceptual definition of frailty: opinions of experts. </w:t>
      </w:r>
      <w:r w:rsidRPr="005B10B2">
        <w:rPr>
          <w:i/>
          <w:lang w:val="en-US"/>
        </w:rPr>
        <w:t>Journal of the American Medical Directors Association, 11(5)</w:t>
      </w:r>
      <w:r w:rsidRPr="005B10B2">
        <w:rPr>
          <w:lang w:val="en-US"/>
        </w:rPr>
        <w:t>, 338–343. https://doi.org/10.1016/J.JAMDA.2009.09.015</w:t>
      </w:r>
    </w:p>
    <w:p w:rsidR="005B10B2" w:rsidRPr="00A17759" w:rsidRDefault="005B10B2" w:rsidP="005B10B2">
      <w:pPr>
        <w:rPr>
          <w:lang w:val="en-US"/>
        </w:rPr>
      </w:pPr>
      <w:r w:rsidRPr="005B10B2">
        <w:rPr>
          <w:lang w:val="en-US"/>
        </w:rPr>
        <w:t xml:space="preserve">Gobbens, R. J., van Assen, M. A., Luijkx, K. G., &amp; Schols, J. M. (2012). </w:t>
      </w:r>
      <w:proofErr w:type="gramStart"/>
      <w:r w:rsidRPr="005B10B2">
        <w:rPr>
          <w:lang w:val="en-US"/>
        </w:rPr>
        <w:t>Testing an integral conceptual model of frailty.</w:t>
      </w:r>
      <w:proofErr w:type="gramEnd"/>
      <w:r w:rsidRPr="005B10B2">
        <w:rPr>
          <w:lang w:val="en-US"/>
        </w:rPr>
        <w:t xml:space="preserve"> </w:t>
      </w:r>
      <w:r w:rsidRPr="005B10B2">
        <w:rPr>
          <w:i/>
          <w:lang w:val="en-US"/>
        </w:rPr>
        <w:t>Journal of Advanced Nursing, 68(9),</w:t>
      </w:r>
      <w:r w:rsidRPr="005B10B2">
        <w:rPr>
          <w:lang w:val="en-US"/>
        </w:rPr>
        <w:t xml:space="preserve"> 2047–2060. </w:t>
      </w:r>
      <w:r w:rsidR="00A17759" w:rsidRPr="00A17759">
        <w:rPr>
          <w:lang w:val="en-US"/>
        </w:rPr>
        <w:t>https://doi.org/10.1111/J.1365-2648.2011.05896.X</w:t>
      </w:r>
    </w:p>
    <w:p w:rsidR="008F4280" w:rsidRPr="00D30377" w:rsidRDefault="00D30377" w:rsidP="00D30377">
      <w:pPr>
        <w:rPr>
          <w:lang w:val="en-US"/>
        </w:rPr>
      </w:pPr>
      <w:r>
        <w:rPr>
          <w:lang w:val="en-US"/>
        </w:rPr>
        <w:t xml:space="preserve">Goisser S., Kemmler W., Porzel S., Volkert D., Sieber C.C., Bollheimer L.C., Freiberrger E. (2015). </w:t>
      </w:r>
      <w:proofErr w:type="gramStart"/>
      <w:r w:rsidRPr="00D30377">
        <w:rPr>
          <w:lang w:val="en-US"/>
        </w:rPr>
        <w:t>Sarcopenic obesity and complex interventions with nutrition and exercise in community-dwelling older persons – a narrative review</w:t>
      </w:r>
      <w:r>
        <w:rPr>
          <w:lang w:val="en-US"/>
        </w:rPr>
        <w:t>.</w:t>
      </w:r>
      <w:proofErr w:type="gramEnd"/>
      <w:r>
        <w:rPr>
          <w:lang w:val="en-US"/>
        </w:rPr>
        <w:t xml:space="preserve"> </w:t>
      </w:r>
      <w:r w:rsidRPr="00D30377">
        <w:rPr>
          <w:i/>
          <w:lang w:val="en-US"/>
        </w:rPr>
        <w:t>Clinical Intervention in Aging</w:t>
      </w:r>
      <w:r>
        <w:rPr>
          <w:i/>
          <w:lang w:val="en-US"/>
        </w:rPr>
        <w:t xml:space="preserve"> 2015:10, </w:t>
      </w:r>
      <w:r>
        <w:rPr>
          <w:lang w:val="en-US"/>
        </w:rPr>
        <w:t>1267-1282</w:t>
      </w:r>
    </w:p>
    <w:p w:rsidR="005F0BF5" w:rsidRDefault="005F0BF5" w:rsidP="00DE487C">
      <w:pPr>
        <w:rPr>
          <w:sz w:val="23"/>
          <w:szCs w:val="23"/>
          <w:lang w:val="en-US"/>
        </w:rPr>
      </w:pPr>
      <w:proofErr w:type="gramStart"/>
      <w:r w:rsidRPr="005F0BF5">
        <w:rPr>
          <w:sz w:val="23"/>
          <w:szCs w:val="23"/>
          <w:lang w:val="en-US"/>
        </w:rPr>
        <w:t>Gordon, E., &amp; Hubbard, R. (2020).</w:t>
      </w:r>
      <w:proofErr w:type="gramEnd"/>
      <w:r w:rsidRPr="005F0BF5">
        <w:rPr>
          <w:sz w:val="23"/>
          <w:szCs w:val="23"/>
          <w:lang w:val="en-US"/>
        </w:rPr>
        <w:t xml:space="preserve"> </w:t>
      </w:r>
      <w:proofErr w:type="gramStart"/>
      <w:r w:rsidRPr="005F0BF5">
        <w:rPr>
          <w:sz w:val="23"/>
          <w:szCs w:val="23"/>
          <w:lang w:val="en-US"/>
        </w:rPr>
        <w:t>Differences in frailty in older men and women.</w:t>
      </w:r>
      <w:proofErr w:type="gramEnd"/>
      <w:r w:rsidRPr="005F0BF5">
        <w:rPr>
          <w:sz w:val="23"/>
          <w:szCs w:val="23"/>
          <w:lang w:val="en-US"/>
        </w:rPr>
        <w:t xml:space="preserve"> </w:t>
      </w:r>
      <w:r w:rsidRPr="005F0BF5">
        <w:rPr>
          <w:i/>
          <w:sz w:val="23"/>
          <w:szCs w:val="23"/>
          <w:lang w:val="en-US"/>
        </w:rPr>
        <w:t>The Medical Journal of Australia, 212</w:t>
      </w:r>
      <w:r w:rsidRPr="005F0BF5">
        <w:rPr>
          <w:sz w:val="23"/>
          <w:szCs w:val="23"/>
          <w:lang w:val="en-US"/>
        </w:rPr>
        <w:t>(4), 183–188. https://doi.org/10.5694/MJA2.50466</w:t>
      </w:r>
    </w:p>
    <w:p w:rsidR="00C5558C" w:rsidRDefault="00C5558C" w:rsidP="00DE487C">
      <w:pPr>
        <w:rPr>
          <w:lang w:val="en-US"/>
        </w:rPr>
      </w:pPr>
      <w:proofErr w:type="gramStart"/>
      <w:r w:rsidRPr="00C5558C">
        <w:rPr>
          <w:sz w:val="23"/>
          <w:szCs w:val="23"/>
          <w:lang w:val="en-US"/>
        </w:rPr>
        <w:lastRenderedPageBreak/>
        <w:t>Gordon, E., Peel, N., Samanta, M., Theou, O., Howlett, S., &amp; Hubbard, R. (2017).</w:t>
      </w:r>
      <w:proofErr w:type="gramEnd"/>
      <w:r w:rsidRPr="00C5558C">
        <w:rPr>
          <w:sz w:val="23"/>
          <w:szCs w:val="23"/>
          <w:lang w:val="en-US"/>
        </w:rPr>
        <w:t xml:space="preserve"> Sex differences in frailty: A systematic review and meta-analysis. </w:t>
      </w:r>
      <w:r w:rsidRPr="00CF7455">
        <w:rPr>
          <w:i/>
          <w:iCs/>
          <w:sz w:val="23"/>
          <w:szCs w:val="23"/>
          <w:lang w:val="en-US"/>
        </w:rPr>
        <w:t>Experimental Gerontology</w:t>
      </w:r>
      <w:r w:rsidRPr="00CF7455">
        <w:rPr>
          <w:sz w:val="23"/>
          <w:szCs w:val="23"/>
          <w:lang w:val="en-US"/>
        </w:rPr>
        <w:t xml:space="preserve">, </w:t>
      </w:r>
      <w:r w:rsidRPr="00CF7455">
        <w:rPr>
          <w:i/>
          <w:iCs/>
          <w:sz w:val="23"/>
          <w:szCs w:val="23"/>
          <w:lang w:val="en-US"/>
        </w:rPr>
        <w:t>89</w:t>
      </w:r>
      <w:r w:rsidRPr="00CF7455">
        <w:rPr>
          <w:sz w:val="23"/>
          <w:szCs w:val="23"/>
          <w:lang w:val="en-US"/>
        </w:rPr>
        <w:t>, 30–40. https://doi.org/10.1016/J.EXGER.2016.12.021</w:t>
      </w:r>
    </w:p>
    <w:p w:rsidR="00E04729" w:rsidRPr="00E04729" w:rsidRDefault="00E04729" w:rsidP="00E04729">
      <w:pPr>
        <w:rPr>
          <w:sz w:val="23"/>
          <w:szCs w:val="23"/>
          <w:lang w:val="en-US"/>
        </w:rPr>
      </w:pPr>
      <w:r w:rsidRPr="00E04729">
        <w:rPr>
          <w:sz w:val="23"/>
          <w:szCs w:val="23"/>
          <w:lang w:val="en-US"/>
        </w:rPr>
        <w:t xml:space="preserve">Gray SL, Anderson ML, Hubbard </w:t>
      </w:r>
      <w:r>
        <w:rPr>
          <w:sz w:val="23"/>
          <w:szCs w:val="23"/>
          <w:lang w:val="en-US"/>
        </w:rPr>
        <w:t xml:space="preserve">RA, et al. Frailty and incident </w:t>
      </w:r>
      <w:r w:rsidRPr="00E04729">
        <w:rPr>
          <w:sz w:val="23"/>
          <w:szCs w:val="23"/>
          <w:lang w:val="en-US"/>
        </w:rPr>
        <w:t>dementia</w:t>
      </w:r>
      <w:r w:rsidRPr="00E04729">
        <w:rPr>
          <w:i/>
          <w:sz w:val="23"/>
          <w:szCs w:val="23"/>
          <w:lang w:val="en-US"/>
        </w:rPr>
        <w:t xml:space="preserve">. </w:t>
      </w:r>
      <w:proofErr w:type="gramStart"/>
      <w:r w:rsidRPr="00E04729">
        <w:rPr>
          <w:i/>
          <w:sz w:val="23"/>
          <w:szCs w:val="23"/>
          <w:lang w:val="en-US"/>
        </w:rPr>
        <w:t>J Gerontol A Biol Sci Med Sci 2013</w:t>
      </w:r>
      <w:r w:rsidRPr="00E04729">
        <w:rPr>
          <w:sz w:val="23"/>
          <w:szCs w:val="23"/>
          <w:lang w:val="en-US"/>
        </w:rPr>
        <w:t>; 68: 1083–90.</w:t>
      </w:r>
      <w:proofErr w:type="gramEnd"/>
    </w:p>
    <w:p w:rsidR="00831FC1" w:rsidRDefault="00831FC1" w:rsidP="00DE487C">
      <w:pPr>
        <w:rPr>
          <w:sz w:val="23"/>
          <w:szCs w:val="23"/>
        </w:rPr>
      </w:pPr>
      <w:proofErr w:type="gramStart"/>
      <w:r w:rsidRPr="00831FC1">
        <w:rPr>
          <w:sz w:val="23"/>
          <w:szCs w:val="23"/>
          <w:lang w:val="en-US"/>
        </w:rPr>
        <w:t>Gutiérrez-Valencia, M., Izquierdo, M., Cesari, M., Casas-Herrero, Inzitari, M., &amp; Martínez-Velilla, N. (2018).</w:t>
      </w:r>
      <w:proofErr w:type="gramEnd"/>
      <w:r w:rsidRPr="00831FC1">
        <w:rPr>
          <w:sz w:val="23"/>
          <w:szCs w:val="23"/>
          <w:lang w:val="en-US"/>
        </w:rPr>
        <w:t xml:space="preserve"> The relationship between frailty and polypharmacy in older people: A systematic review. </w:t>
      </w:r>
      <w:r>
        <w:rPr>
          <w:i/>
          <w:iCs/>
          <w:sz w:val="23"/>
          <w:szCs w:val="23"/>
        </w:rPr>
        <w:t>British Journal of Clinical Pharmacology</w:t>
      </w:r>
      <w:r>
        <w:rPr>
          <w:sz w:val="23"/>
          <w:szCs w:val="23"/>
        </w:rPr>
        <w:t xml:space="preserve">, </w:t>
      </w:r>
      <w:r>
        <w:rPr>
          <w:i/>
          <w:iCs/>
          <w:sz w:val="23"/>
          <w:szCs w:val="23"/>
        </w:rPr>
        <w:t>84</w:t>
      </w:r>
      <w:r>
        <w:rPr>
          <w:sz w:val="23"/>
          <w:szCs w:val="23"/>
        </w:rPr>
        <w:t>(7), 1432–1444. https://doi.org/10.1111/BCP.13590</w:t>
      </w:r>
    </w:p>
    <w:p w:rsidR="00831FC1" w:rsidRPr="00831FC1" w:rsidRDefault="00831FC1" w:rsidP="00DE487C">
      <w:pPr>
        <w:rPr>
          <w:lang w:val="en-US"/>
        </w:rPr>
      </w:pPr>
      <w:r w:rsidRPr="00831FC1">
        <w:rPr>
          <w:sz w:val="23"/>
          <w:szCs w:val="23"/>
          <w:lang w:val="en-US"/>
        </w:rPr>
        <w:t xml:space="preserve">Hanlon, P., Nicholl, B. I., Jani, B. D., Lee, D., McQueenie, R., &amp; Mair, F. S. (2018). Frailty and pre-frailty in middle-aged and older adults and its association with multimorbidity and mortality: a prospective analysis of 493 737 UK Biobank participants. </w:t>
      </w:r>
      <w:proofErr w:type="gramStart"/>
      <w:r w:rsidRPr="00831FC1">
        <w:rPr>
          <w:i/>
          <w:iCs/>
          <w:sz w:val="23"/>
          <w:szCs w:val="23"/>
          <w:lang w:val="en-US"/>
        </w:rPr>
        <w:t>The Lancet.</w:t>
      </w:r>
      <w:proofErr w:type="gramEnd"/>
      <w:r w:rsidRPr="00831FC1">
        <w:rPr>
          <w:i/>
          <w:iCs/>
          <w:sz w:val="23"/>
          <w:szCs w:val="23"/>
          <w:lang w:val="en-US"/>
        </w:rPr>
        <w:t xml:space="preserve"> </w:t>
      </w:r>
      <w:proofErr w:type="gramStart"/>
      <w:r w:rsidRPr="00831FC1">
        <w:rPr>
          <w:i/>
          <w:iCs/>
          <w:sz w:val="23"/>
          <w:szCs w:val="23"/>
          <w:lang w:val="en-US"/>
        </w:rPr>
        <w:t>Public Health</w:t>
      </w:r>
      <w:r w:rsidRPr="00831FC1">
        <w:rPr>
          <w:sz w:val="23"/>
          <w:szCs w:val="23"/>
          <w:lang w:val="en-US"/>
        </w:rPr>
        <w:t xml:space="preserve">, </w:t>
      </w:r>
      <w:r w:rsidRPr="00831FC1">
        <w:rPr>
          <w:i/>
          <w:iCs/>
          <w:sz w:val="23"/>
          <w:szCs w:val="23"/>
          <w:lang w:val="en-US"/>
        </w:rPr>
        <w:t>3</w:t>
      </w:r>
      <w:r w:rsidRPr="00831FC1">
        <w:rPr>
          <w:sz w:val="23"/>
          <w:szCs w:val="23"/>
          <w:lang w:val="en-US"/>
        </w:rPr>
        <w:t>(7), e323–e332.</w:t>
      </w:r>
      <w:proofErr w:type="gramEnd"/>
      <w:r w:rsidRPr="00831FC1">
        <w:rPr>
          <w:sz w:val="23"/>
          <w:szCs w:val="23"/>
          <w:lang w:val="en-US"/>
        </w:rPr>
        <w:t xml:space="preserve"> https://doi.org/10.1016/S2468-</w:t>
      </w:r>
      <w:proofErr w:type="gramStart"/>
      <w:r w:rsidRPr="00831FC1">
        <w:rPr>
          <w:sz w:val="23"/>
          <w:szCs w:val="23"/>
          <w:lang w:val="en-US"/>
        </w:rPr>
        <w:t>2667(</w:t>
      </w:r>
      <w:proofErr w:type="gramEnd"/>
      <w:r w:rsidRPr="00831FC1">
        <w:rPr>
          <w:sz w:val="23"/>
          <w:szCs w:val="23"/>
          <w:lang w:val="en-US"/>
        </w:rPr>
        <w:t>18)30091-4</w:t>
      </w:r>
    </w:p>
    <w:p w:rsidR="00DE487C" w:rsidRPr="00DE487C" w:rsidRDefault="00DE487C" w:rsidP="00DE487C">
      <w:pPr>
        <w:rPr>
          <w:lang w:val="en-US"/>
        </w:rPr>
      </w:pPr>
      <w:proofErr w:type="gramStart"/>
      <w:r w:rsidRPr="00DE487C">
        <w:rPr>
          <w:lang w:val="en-US"/>
        </w:rPr>
        <w:t>Hajek, T., et al. (2014).</w:t>
      </w:r>
      <w:proofErr w:type="gramEnd"/>
      <w:r w:rsidRPr="00DE487C">
        <w:rPr>
          <w:lang w:val="en-US"/>
        </w:rPr>
        <w:t xml:space="preserve"> </w:t>
      </w:r>
      <w:proofErr w:type="gramStart"/>
      <w:r w:rsidRPr="00DE487C">
        <w:rPr>
          <w:lang w:val="en-US"/>
        </w:rPr>
        <w:t>Moderation of the relationship between cortisol and hippocampal volumes by depression and antidepressant treatment</w:t>
      </w:r>
      <w:r w:rsidRPr="00DE487C">
        <w:rPr>
          <w:i/>
          <w:lang w:val="en-US"/>
        </w:rPr>
        <w:t>.</w:t>
      </w:r>
      <w:proofErr w:type="gramEnd"/>
      <w:r w:rsidRPr="00DE487C">
        <w:rPr>
          <w:i/>
          <w:lang w:val="en-US"/>
        </w:rPr>
        <w:t xml:space="preserve"> Journal of Affective Disorders</w:t>
      </w:r>
      <w:r w:rsidRPr="00DE487C">
        <w:rPr>
          <w:lang w:val="en-US"/>
        </w:rPr>
        <w:t>, 152-154, 34-39</w:t>
      </w:r>
    </w:p>
    <w:p w:rsidR="00A17759" w:rsidRPr="00755533" w:rsidRDefault="00A17759" w:rsidP="005B10B2">
      <w:pPr>
        <w:rPr>
          <w:lang w:val="en-US"/>
        </w:rPr>
      </w:pPr>
      <w:proofErr w:type="gramStart"/>
      <w:r w:rsidRPr="00A17759">
        <w:rPr>
          <w:lang w:val="en-US"/>
        </w:rPr>
        <w:t>He, B., Ma, Y., Wang, C., Jiang, M., Geng, C., Chang, X., Ma, B., &amp; Han, L. (2019).</w:t>
      </w:r>
      <w:proofErr w:type="gramEnd"/>
      <w:r w:rsidRPr="00A17759">
        <w:rPr>
          <w:lang w:val="en-US"/>
        </w:rPr>
        <w:t xml:space="preserve"> Prevalence and Risk Factors for Frailty among Community-Dwelling Older People in China: A Systematic Review and Meta-Analysis. </w:t>
      </w:r>
      <w:proofErr w:type="gramStart"/>
      <w:r w:rsidRPr="00A17759">
        <w:rPr>
          <w:i/>
          <w:lang w:val="en-US"/>
        </w:rPr>
        <w:t>The journal of nutrition, health &amp; aging</w:t>
      </w:r>
      <w:r w:rsidRPr="00A17759">
        <w:rPr>
          <w:lang w:val="en-US"/>
        </w:rPr>
        <w:t xml:space="preserve"> (Vol. 23, Issue 5, pp. 442–450).</w:t>
      </w:r>
      <w:proofErr w:type="gramEnd"/>
      <w:r w:rsidRPr="00A17759">
        <w:rPr>
          <w:lang w:val="en-US"/>
        </w:rPr>
        <w:t xml:space="preserve"> </w:t>
      </w:r>
      <w:proofErr w:type="gramStart"/>
      <w:r w:rsidRPr="00F636E8">
        <w:rPr>
          <w:lang w:val="en-US"/>
        </w:rPr>
        <w:t>J Nutr Health Aging.</w:t>
      </w:r>
      <w:proofErr w:type="gramEnd"/>
      <w:r w:rsidRPr="00F636E8">
        <w:rPr>
          <w:lang w:val="en-US"/>
        </w:rPr>
        <w:t xml:space="preserve"> </w:t>
      </w:r>
      <w:r w:rsidR="00DE487C" w:rsidRPr="00DE487C">
        <w:rPr>
          <w:lang w:val="en-US"/>
        </w:rPr>
        <w:t>https://doi.org/10.1007/S12603-019-1179-9</w:t>
      </w:r>
    </w:p>
    <w:p w:rsidR="003B68C2" w:rsidRDefault="003B68C2" w:rsidP="00223F40">
      <w:proofErr w:type="gramStart"/>
      <w:r w:rsidRPr="003B68C2">
        <w:rPr>
          <w:sz w:val="23"/>
          <w:szCs w:val="23"/>
          <w:lang w:val="en-US"/>
        </w:rPr>
        <w:t>Hébert, R., Bravo, G., Korner-Bitensky, N., &amp; Voyer, L. (1996).</w:t>
      </w:r>
      <w:proofErr w:type="gramEnd"/>
      <w:r w:rsidRPr="003B68C2">
        <w:rPr>
          <w:sz w:val="23"/>
          <w:szCs w:val="23"/>
          <w:lang w:val="en-US"/>
        </w:rPr>
        <w:t xml:space="preserve"> </w:t>
      </w:r>
      <w:proofErr w:type="gramStart"/>
      <w:r w:rsidRPr="003B68C2">
        <w:rPr>
          <w:sz w:val="23"/>
          <w:szCs w:val="23"/>
          <w:lang w:val="en-US"/>
        </w:rPr>
        <w:t>Predictive validity of a postal questionnaire for screening community-dwelling elderly individuals at risk of functional decline.</w:t>
      </w:r>
      <w:proofErr w:type="gramEnd"/>
      <w:r w:rsidRPr="003B68C2">
        <w:rPr>
          <w:sz w:val="23"/>
          <w:szCs w:val="23"/>
          <w:lang w:val="en-US"/>
        </w:rPr>
        <w:t xml:space="preserve"> </w:t>
      </w:r>
      <w:r>
        <w:rPr>
          <w:i/>
          <w:iCs/>
          <w:sz w:val="23"/>
          <w:szCs w:val="23"/>
        </w:rPr>
        <w:t>Age and Ageing</w:t>
      </w:r>
      <w:r>
        <w:rPr>
          <w:sz w:val="23"/>
          <w:szCs w:val="23"/>
        </w:rPr>
        <w:t xml:space="preserve">, </w:t>
      </w:r>
      <w:r>
        <w:rPr>
          <w:i/>
          <w:iCs/>
          <w:sz w:val="23"/>
          <w:szCs w:val="23"/>
        </w:rPr>
        <w:t>25</w:t>
      </w:r>
      <w:r>
        <w:rPr>
          <w:sz w:val="23"/>
          <w:szCs w:val="23"/>
        </w:rPr>
        <w:t>(2), 159–167. https://doi.org/10.1093/AGEING/25.2.159</w:t>
      </w:r>
    </w:p>
    <w:p w:rsidR="00842E39" w:rsidRPr="00EF0845" w:rsidRDefault="00842E39" w:rsidP="00223F40">
      <w:pPr>
        <w:rPr>
          <w:lang w:val="en-US"/>
        </w:rPr>
      </w:pPr>
      <w:proofErr w:type="gramStart"/>
      <w:r w:rsidRPr="00842E39">
        <w:rPr>
          <w:lang w:val="en-US"/>
        </w:rPr>
        <w:t>Hernández Morante, J. J., Martínez, C. G., &amp; Morillas-Ruiz, J. M. (2019).</w:t>
      </w:r>
      <w:proofErr w:type="gramEnd"/>
      <w:r w:rsidRPr="00842E39">
        <w:rPr>
          <w:lang w:val="en-US"/>
        </w:rPr>
        <w:t xml:space="preserve"> Dietary Factors Associated with Frailty in Old Adults: A Review of Nutritional Interventions to Prevent Frailty Development</w:t>
      </w:r>
      <w:r w:rsidRPr="00842E39">
        <w:rPr>
          <w:i/>
          <w:lang w:val="en-US"/>
        </w:rPr>
        <w:t xml:space="preserve">. </w:t>
      </w:r>
      <w:proofErr w:type="gramStart"/>
      <w:r w:rsidRPr="00EF0845">
        <w:rPr>
          <w:i/>
          <w:lang w:val="en-US"/>
        </w:rPr>
        <w:t>Nutrients, 11</w:t>
      </w:r>
      <w:r w:rsidRPr="00EF0845">
        <w:rPr>
          <w:lang w:val="en-US"/>
        </w:rPr>
        <w:t>(1).</w:t>
      </w:r>
      <w:proofErr w:type="gramEnd"/>
      <w:r w:rsidRPr="00EF0845">
        <w:rPr>
          <w:lang w:val="en-US"/>
        </w:rPr>
        <w:t xml:space="preserve"> https://doi.org/10.3390/NU11010102</w:t>
      </w:r>
    </w:p>
    <w:p w:rsidR="00EF0845" w:rsidRPr="00EF0845" w:rsidRDefault="00EF0845" w:rsidP="00223F40">
      <w:pPr>
        <w:rPr>
          <w:lang w:val="en-US"/>
        </w:rPr>
      </w:pPr>
      <w:proofErr w:type="gramStart"/>
      <w:r w:rsidRPr="00EF0845">
        <w:rPr>
          <w:sz w:val="23"/>
          <w:szCs w:val="23"/>
          <w:lang w:val="en-US"/>
        </w:rPr>
        <w:t>Hilmer, S. N., Wu, H., &amp; Zhang, M. (2019).</w:t>
      </w:r>
      <w:proofErr w:type="gramEnd"/>
      <w:r w:rsidRPr="00EF0845">
        <w:rPr>
          <w:sz w:val="23"/>
          <w:szCs w:val="23"/>
          <w:lang w:val="en-US"/>
        </w:rPr>
        <w:t xml:space="preserve"> Biology of frailty: Implications for clinical pharmacology and drug therapy in frail older people. </w:t>
      </w:r>
      <w:r w:rsidRPr="00EF0845">
        <w:rPr>
          <w:i/>
          <w:iCs/>
          <w:sz w:val="23"/>
          <w:szCs w:val="23"/>
          <w:lang w:val="en-US"/>
        </w:rPr>
        <w:t>Mechanisms of Ageing and Development</w:t>
      </w:r>
      <w:r w:rsidRPr="00EF0845">
        <w:rPr>
          <w:sz w:val="23"/>
          <w:szCs w:val="23"/>
          <w:lang w:val="en-US"/>
        </w:rPr>
        <w:t xml:space="preserve">, </w:t>
      </w:r>
      <w:r w:rsidRPr="00EF0845">
        <w:rPr>
          <w:i/>
          <w:iCs/>
          <w:sz w:val="23"/>
          <w:szCs w:val="23"/>
          <w:lang w:val="en-US"/>
        </w:rPr>
        <w:t>181</w:t>
      </w:r>
      <w:r w:rsidRPr="00EF0845">
        <w:rPr>
          <w:sz w:val="23"/>
          <w:szCs w:val="23"/>
          <w:lang w:val="en-US"/>
        </w:rPr>
        <w:t>, 22–28. https://doi.org/10.1016/J.MAD.2019.111119</w:t>
      </w:r>
    </w:p>
    <w:p w:rsidR="00797D6D" w:rsidRDefault="00797D6D" w:rsidP="00223F40">
      <w:pPr>
        <w:rPr>
          <w:lang w:val="en-US"/>
        </w:rPr>
      </w:pPr>
      <w:proofErr w:type="gramStart"/>
      <w:r w:rsidRPr="00797D6D">
        <w:rPr>
          <w:sz w:val="23"/>
          <w:szCs w:val="23"/>
          <w:lang w:val="en-US"/>
        </w:rPr>
        <w:t>Hirsch, C., Anderson, M. L., Newman, A., Kop, W., Jackson, S., Gottdiener, J., Tracy, R., &amp; Fried, L. P. (2006).</w:t>
      </w:r>
      <w:proofErr w:type="gramEnd"/>
      <w:r w:rsidRPr="00797D6D">
        <w:rPr>
          <w:sz w:val="23"/>
          <w:szCs w:val="23"/>
          <w:lang w:val="en-US"/>
        </w:rPr>
        <w:t xml:space="preserve"> The association of race with frailty: the cardiovascular health study. </w:t>
      </w:r>
      <w:r>
        <w:rPr>
          <w:i/>
          <w:iCs/>
          <w:sz w:val="23"/>
          <w:szCs w:val="23"/>
        </w:rPr>
        <w:t>Annals of Epidemiology</w:t>
      </w:r>
      <w:r>
        <w:rPr>
          <w:sz w:val="23"/>
          <w:szCs w:val="23"/>
        </w:rPr>
        <w:t xml:space="preserve">, </w:t>
      </w:r>
      <w:r>
        <w:rPr>
          <w:i/>
          <w:iCs/>
          <w:sz w:val="23"/>
          <w:szCs w:val="23"/>
        </w:rPr>
        <w:t>16</w:t>
      </w:r>
      <w:r>
        <w:rPr>
          <w:sz w:val="23"/>
          <w:szCs w:val="23"/>
        </w:rPr>
        <w:t>(7), 545–553. https://doi.org/10.1016/J.ANNEPIDEM.2005.10.003</w:t>
      </w:r>
    </w:p>
    <w:p w:rsidR="003B68C2" w:rsidRDefault="003B68C2" w:rsidP="00223F40"/>
    <w:p w:rsidR="003E611E" w:rsidRPr="003E611E" w:rsidRDefault="003E611E" w:rsidP="00223F40">
      <w:pPr>
        <w:rPr>
          <w:lang w:val="en-US"/>
        </w:rPr>
      </w:pPr>
      <w:r>
        <w:rPr>
          <w:lang w:val="en-US"/>
        </w:rPr>
        <w:lastRenderedPageBreak/>
        <w:t xml:space="preserve">Hogan, D.B. (2018). </w:t>
      </w:r>
      <w:proofErr w:type="gramStart"/>
      <w:r>
        <w:rPr>
          <w:lang w:val="en-US"/>
        </w:rPr>
        <w:t>Models, Definition</w:t>
      </w:r>
      <w:r w:rsidR="00392CB6">
        <w:rPr>
          <w:lang w:val="en-US"/>
        </w:rPr>
        <w:t>s, and Criteria for Frailty.</w:t>
      </w:r>
      <w:proofErr w:type="gramEnd"/>
      <w:r w:rsidR="00392CB6">
        <w:rPr>
          <w:lang w:val="en-US"/>
        </w:rPr>
        <w:t xml:space="preserve"> In J.L. Ram &amp; P.M. Conn (Eds.), </w:t>
      </w:r>
      <w:r w:rsidR="00392CB6" w:rsidRPr="00392CB6">
        <w:rPr>
          <w:i/>
          <w:lang w:val="en-US"/>
        </w:rPr>
        <w:t>Conn’s Handbook of Models for Human Aging</w:t>
      </w:r>
      <w:r w:rsidR="00392CB6">
        <w:rPr>
          <w:lang w:val="en-US"/>
        </w:rPr>
        <w:t xml:space="preserve"> (2</w:t>
      </w:r>
      <w:r w:rsidR="00392CB6" w:rsidRPr="00392CB6">
        <w:rPr>
          <w:vertAlign w:val="superscript"/>
          <w:lang w:val="en-US"/>
        </w:rPr>
        <w:t>nd</w:t>
      </w:r>
      <w:r w:rsidR="00392CB6">
        <w:rPr>
          <w:lang w:val="en-US"/>
        </w:rPr>
        <w:t xml:space="preserve"> ed., pp 34-44). </w:t>
      </w:r>
      <w:proofErr w:type="gramStart"/>
      <w:r w:rsidR="00392CB6">
        <w:rPr>
          <w:lang w:val="en-US"/>
        </w:rPr>
        <w:t>Academic Press.</w:t>
      </w:r>
      <w:proofErr w:type="gramEnd"/>
      <w:r w:rsidR="00392CB6">
        <w:rPr>
          <w:lang w:val="en-US"/>
        </w:rPr>
        <w:t xml:space="preserve"> https://doi.org/10.1016/B978-0-12-811353-0.00003-8</w:t>
      </w:r>
    </w:p>
    <w:p w:rsidR="00E91263" w:rsidRDefault="00E91263" w:rsidP="00223F40">
      <w:r w:rsidRPr="00E91263">
        <w:rPr>
          <w:sz w:val="23"/>
          <w:szCs w:val="23"/>
          <w:lang w:val="en-US"/>
        </w:rPr>
        <w:t xml:space="preserve">Holmerg S.K. (1997). </w:t>
      </w:r>
      <w:proofErr w:type="gramStart"/>
      <w:r w:rsidRPr="00E91263">
        <w:rPr>
          <w:sz w:val="23"/>
          <w:szCs w:val="23"/>
          <w:lang w:val="en-US"/>
        </w:rPr>
        <w:t xml:space="preserve">“A walking program for wanderers: volunteer training and development of an evening walker’s group”, </w:t>
      </w:r>
      <w:r w:rsidRPr="00E91263">
        <w:rPr>
          <w:i/>
          <w:sz w:val="23"/>
          <w:szCs w:val="23"/>
          <w:lang w:val="en-US"/>
        </w:rPr>
        <w:t>Geriatric Nursing.</w:t>
      </w:r>
      <w:proofErr w:type="gramEnd"/>
      <w:r w:rsidRPr="00E91263">
        <w:rPr>
          <w:i/>
          <w:sz w:val="23"/>
          <w:szCs w:val="23"/>
          <w:lang w:val="en-US"/>
        </w:rPr>
        <w:t xml:space="preserve"> </w:t>
      </w:r>
      <w:r w:rsidRPr="00E91263">
        <w:rPr>
          <w:i/>
          <w:sz w:val="23"/>
          <w:szCs w:val="23"/>
        </w:rPr>
        <w:t>18</w:t>
      </w:r>
      <w:r>
        <w:rPr>
          <w:sz w:val="23"/>
          <w:szCs w:val="23"/>
        </w:rPr>
        <w:t xml:space="preserve"> (4), 160-165.</w:t>
      </w:r>
    </w:p>
    <w:p w:rsidR="009C7030" w:rsidRDefault="009C7030" w:rsidP="00223F40">
      <w:pPr>
        <w:rPr>
          <w:lang w:val="en-US"/>
        </w:rPr>
      </w:pPr>
      <w:proofErr w:type="gramStart"/>
      <w:r>
        <w:rPr>
          <w:lang w:val="en-US"/>
        </w:rPr>
        <w:t>Hoogendijk, E. O., Afilalo, J., Ensrud, K. E., Kowal, P., Onder, G. &amp; Fried, L.P. (2019).</w:t>
      </w:r>
      <w:proofErr w:type="gramEnd"/>
      <w:r>
        <w:rPr>
          <w:lang w:val="en-US"/>
        </w:rPr>
        <w:t xml:space="preserve"> Frailty: implications for clinical practice </w:t>
      </w:r>
      <w:proofErr w:type="gramStart"/>
      <w:r>
        <w:rPr>
          <w:lang w:val="en-US"/>
        </w:rPr>
        <w:t>an</w:t>
      </w:r>
      <w:proofErr w:type="gramEnd"/>
      <w:r>
        <w:rPr>
          <w:lang w:val="en-US"/>
        </w:rPr>
        <w:t xml:space="preserve"> d public health. </w:t>
      </w:r>
      <w:r w:rsidRPr="003B7630">
        <w:rPr>
          <w:i/>
          <w:lang w:val="en-US"/>
        </w:rPr>
        <w:t>Lancer (London England), 394</w:t>
      </w:r>
      <w:r>
        <w:rPr>
          <w:lang w:val="en-US"/>
        </w:rPr>
        <w:t xml:space="preserve">(10206), 1365-1375. </w:t>
      </w:r>
      <w:r w:rsidR="00601F0D" w:rsidRPr="00601F0D">
        <w:rPr>
          <w:lang w:val="en-US"/>
        </w:rPr>
        <w:t>https://doi.org/10.1016/S0140-</w:t>
      </w:r>
      <w:proofErr w:type="gramStart"/>
      <w:r w:rsidR="00601F0D" w:rsidRPr="00601F0D">
        <w:rPr>
          <w:lang w:val="en-US"/>
        </w:rPr>
        <w:t>6736(</w:t>
      </w:r>
      <w:proofErr w:type="gramEnd"/>
      <w:r w:rsidR="00601F0D" w:rsidRPr="00601F0D">
        <w:rPr>
          <w:lang w:val="en-US"/>
        </w:rPr>
        <w:t>19)31786-6</w:t>
      </w:r>
    </w:p>
    <w:p w:rsidR="00797D6D" w:rsidRPr="00797D6D" w:rsidRDefault="00797D6D" w:rsidP="00223F40">
      <w:pPr>
        <w:rPr>
          <w:sz w:val="23"/>
          <w:szCs w:val="23"/>
          <w:lang w:val="en-US"/>
        </w:rPr>
      </w:pPr>
      <w:r w:rsidRPr="00797D6D">
        <w:rPr>
          <w:sz w:val="23"/>
          <w:szCs w:val="23"/>
          <w:lang w:val="en-US"/>
        </w:rPr>
        <w:t xml:space="preserve">Hubbard, R. (2015). </w:t>
      </w:r>
      <w:proofErr w:type="gramStart"/>
      <w:r w:rsidRPr="00797D6D">
        <w:rPr>
          <w:sz w:val="23"/>
          <w:szCs w:val="23"/>
          <w:lang w:val="en-US"/>
        </w:rPr>
        <w:t>Sex Differences in Frailty.</w:t>
      </w:r>
      <w:proofErr w:type="gramEnd"/>
      <w:r w:rsidRPr="00797D6D">
        <w:rPr>
          <w:sz w:val="23"/>
          <w:szCs w:val="23"/>
          <w:lang w:val="en-US"/>
        </w:rPr>
        <w:t xml:space="preserve"> </w:t>
      </w:r>
      <w:r w:rsidRPr="00797D6D">
        <w:rPr>
          <w:i/>
          <w:iCs/>
          <w:sz w:val="23"/>
          <w:szCs w:val="23"/>
          <w:lang w:val="en-US"/>
        </w:rPr>
        <w:t>Interdisciplinary Topics in Gerontology and Geriatrics</w:t>
      </w:r>
      <w:r w:rsidRPr="00797D6D">
        <w:rPr>
          <w:sz w:val="23"/>
          <w:szCs w:val="23"/>
          <w:lang w:val="en-US"/>
        </w:rPr>
        <w:t xml:space="preserve">, </w:t>
      </w:r>
      <w:r w:rsidRPr="00797D6D">
        <w:rPr>
          <w:i/>
          <w:iCs/>
          <w:sz w:val="23"/>
          <w:szCs w:val="23"/>
          <w:lang w:val="en-US"/>
        </w:rPr>
        <w:t>41</w:t>
      </w:r>
      <w:r w:rsidRPr="00797D6D">
        <w:rPr>
          <w:sz w:val="23"/>
          <w:szCs w:val="23"/>
          <w:lang w:val="en-US"/>
        </w:rPr>
        <w:t>, 41–53. https://doi.org/10.1159/000381161</w:t>
      </w:r>
    </w:p>
    <w:p w:rsidR="00831FC1" w:rsidRPr="003607ED" w:rsidRDefault="00831FC1" w:rsidP="00223F40">
      <w:pPr>
        <w:rPr>
          <w:sz w:val="23"/>
          <w:szCs w:val="23"/>
          <w:lang w:val="en-US"/>
        </w:rPr>
      </w:pPr>
      <w:proofErr w:type="gramStart"/>
      <w:r w:rsidRPr="00831FC1">
        <w:rPr>
          <w:sz w:val="23"/>
          <w:szCs w:val="23"/>
          <w:lang w:val="en-US"/>
        </w:rPr>
        <w:t>Ierodiakonou, D., Kampouraki, M., Poulonirakis, I., Papadokostakis, P., Lintovoi, E., Karanassos, D., Maltezis, K., Chorti, M., Petrovitsos, E., Dimopoulou, S., Hamind, S., Gialamas, I., Athanasiou, P., Bempi, V., Lambraki, I., &amp; Tsiligianni, I. (2019).</w:t>
      </w:r>
      <w:proofErr w:type="gramEnd"/>
      <w:r w:rsidRPr="00831FC1">
        <w:rPr>
          <w:sz w:val="23"/>
          <w:szCs w:val="23"/>
          <w:lang w:val="en-US"/>
        </w:rPr>
        <w:t xml:space="preserve"> Determinants of frailty in primary care patients with COPD: the Greek UNLOCK study. </w:t>
      </w:r>
      <w:proofErr w:type="gramStart"/>
      <w:r w:rsidRPr="003607ED">
        <w:rPr>
          <w:i/>
          <w:iCs/>
          <w:sz w:val="23"/>
          <w:szCs w:val="23"/>
          <w:lang w:val="en-US"/>
        </w:rPr>
        <w:t>BMC Pulmonary Medicine</w:t>
      </w:r>
      <w:r w:rsidRPr="003607ED">
        <w:rPr>
          <w:sz w:val="23"/>
          <w:szCs w:val="23"/>
          <w:lang w:val="en-US"/>
        </w:rPr>
        <w:t xml:space="preserve">, </w:t>
      </w:r>
      <w:r w:rsidRPr="003607ED">
        <w:rPr>
          <w:i/>
          <w:iCs/>
          <w:sz w:val="23"/>
          <w:szCs w:val="23"/>
          <w:lang w:val="en-US"/>
        </w:rPr>
        <w:t>19</w:t>
      </w:r>
      <w:r w:rsidRPr="003607ED">
        <w:rPr>
          <w:sz w:val="23"/>
          <w:szCs w:val="23"/>
          <w:lang w:val="en-US"/>
        </w:rPr>
        <w:t>(1).</w:t>
      </w:r>
      <w:proofErr w:type="gramEnd"/>
      <w:r w:rsidRPr="003607ED">
        <w:rPr>
          <w:sz w:val="23"/>
          <w:szCs w:val="23"/>
          <w:lang w:val="en-US"/>
        </w:rPr>
        <w:t xml:space="preserve"> https://doi.org/10.1186/S12890-019-0824-8</w:t>
      </w:r>
    </w:p>
    <w:p w:rsidR="009B26E9" w:rsidRDefault="009B26E9" w:rsidP="003607ED">
      <w:pPr>
        <w:rPr>
          <w:sz w:val="23"/>
          <w:szCs w:val="23"/>
        </w:rPr>
      </w:pPr>
      <w:r w:rsidRPr="009B26E9">
        <w:rPr>
          <w:sz w:val="23"/>
          <w:szCs w:val="23"/>
          <w:lang w:val="en-US"/>
        </w:rPr>
        <w:t xml:space="preserve">Jack, C. R., Jr., Bennett, D. A., Blennow, K., Carrillo, M. C., Dunn, B., Haeberlein, S. B., Holtzman, D. M., Jagust, W., Jessen, F., Karlawish, J., Liu, E., Molinuevo, J. L., Montine, T. J., Phelps, C., Rankin, K. P., Rowe, C. C., Scheltens, P., Siemers, E., Snyder, H. M., ... &amp; Silverberg, N. (2018). NIA-AA research framework: Toward a biological definition of Alzheimer’s disease. </w:t>
      </w:r>
      <w:r>
        <w:rPr>
          <w:i/>
          <w:iCs/>
          <w:sz w:val="23"/>
          <w:szCs w:val="23"/>
        </w:rPr>
        <w:t>Alzheimer’s &amp; Dementia, 14</w:t>
      </w:r>
      <w:r>
        <w:rPr>
          <w:sz w:val="23"/>
          <w:szCs w:val="23"/>
        </w:rPr>
        <w:t xml:space="preserve">(4), 535-562. </w:t>
      </w:r>
      <w:r w:rsidRPr="009B26E9">
        <w:rPr>
          <w:sz w:val="23"/>
          <w:szCs w:val="23"/>
        </w:rPr>
        <w:t>https://doi.org/10.1016/j.jalz.2018.02.018</w:t>
      </w:r>
    </w:p>
    <w:p w:rsidR="003607ED" w:rsidRPr="003607ED" w:rsidRDefault="003607ED" w:rsidP="003607ED">
      <w:pPr>
        <w:rPr>
          <w:sz w:val="23"/>
          <w:szCs w:val="23"/>
          <w:lang w:val="en-US"/>
        </w:rPr>
      </w:pPr>
      <w:r w:rsidRPr="003607ED">
        <w:rPr>
          <w:sz w:val="23"/>
          <w:szCs w:val="23"/>
          <w:lang w:val="en-US"/>
        </w:rPr>
        <w:t>Kane, J. P., Surendranathan, A., Bentley, A., Barker</w:t>
      </w:r>
      <w:r>
        <w:rPr>
          <w:sz w:val="23"/>
          <w:szCs w:val="23"/>
          <w:lang w:val="en-US"/>
        </w:rPr>
        <w:t>, S. A., Taylor, J. P., Thomas,</w:t>
      </w:r>
      <w:r w:rsidRPr="003607ED">
        <w:rPr>
          <w:sz w:val="23"/>
          <w:szCs w:val="23"/>
          <w:lang w:val="en-US"/>
        </w:rPr>
        <w:t xml:space="preserve"> A. J., ... &amp; O’Brien, J. T. (2018). </w:t>
      </w:r>
      <w:proofErr w:type="gramStart"/>
      <w:r w:rsidRPr="003607ED">
        <w:rPr>
          <w:sz w:val="23"/>
          <w:szCs w:val="23"/>
          <w:lang w:val="en-US"/>
        </w:rPr>
        <w:t>Clinical pr</w:t>
      </w:r>
      <w:r>
        <w:rPr>
          <w:sz w:val="23"/>
          <w:szCs w:val="23"/>
          <w:lang w:val="en-US"/>
        </w:rPr>
        <w:t>evalence of Lewy body dementia.</w:t>
      </w:r>
      <w:proofErr w:type="gramEnd"/>
      <w:r w:rsidRPr="003607ED">
        <w:rPr>
          <w:sz w:val="23"/>
          <w:szCs w:val="23"/>
          <w:lang w:val="en-US"/>
        </w:rPr>
        <w:t xml:space="preserve"> </w:t>
      </w:r>
      <w:r w:rsidRPr="003607ED">
        <w:rPr>
          <w:i/>
          <w:sz w:val="23"/>
          <w:szCs w:val="23"/>
          <w:lang w:val="en-US"/>
        </w:rPr>
        <w:t>Alzheimer's research &amp; therapy, 10</w:t>
      </w:r>
      <w:r w:rsidRPr="003607ED">
        <w:rPr>
          <w:sz w:val="23"/>
          <w:szCs w:val="23"/>
          <w:lang w:val="en-US"/>
        </w:rPr>
        <w:t>(1), 1-8</w:t>
      </w:r>
    </w:p>
    <w:p w:rsidR="00DC3D95" w:rsidRPr="00DC3D95" w:rsidRDefault="00DC3D95" w:rsidP="00223F40">
      <w:pPr>
        <w:rPr>
          <w:sz w:val="23"/>
          <w:szCs w:val="23"/>
          <w:lang w:val="en-US"/>
        </w:rPr>
      </w:pPr>
      <w:r w:rsidRPr="00DC3D95">
        <w:rPr>
          <w:sz w:val="23"/>
          <w:szCs w:val="23"/>
          <w:lang w:val="en-US"/>
        </w:rPr>
        <w:t>Kelaiditi, E., Cesari, M., Canevelli, M., van Kan, G., Ousset, P., Gillette-Guyonnet, S., Ritz, P., Duveau, F., Soto, M., Provencher, V., Nourhashemi, F., Salvà, A., Robert, P., Andrieu, S., Rolland, Y., Touchon, J., Fitten, J., &amp; Vellas, B. (2013). Cognitive frailty: rational and definition from an (I.A.N.A</w:t>
      </w:r>
      <w:proofErr w:type="gramStart"/>
      <w:r w:rsidRPr="00DC3D95">
        <w:rPr>
          <w:sz w:val="23"/>
          <w:szCs w:val="23"/>
          <w:lang w:val="en-US"/>
        </w:rPr>
        <w:t>./</w:t>
      </w:r>
      <w:proofErr w:type="gramEnd"/>
      <w:r w:rsidRPr="00DC3D95">
        <w:rPr>
          <w:sz w:val="23"/>
          <w:szCs w:val="23"/>
          <w:lang w:val="en-US"/>
        </w:rPr>
        <w:t xml:space="preserve">I.A.G.G.) international consensus group. </w:t>
      </w:r>
      <w:r w:rsidRPr="00DC3D95">
        <w:rPr>
          <w:i/>
          <w:iCs/>
          <w:sz w:val="23"/>
          <w:szCs w:val="23"/>
          <w:lang w:val="en-US"/>
        </w:rPr>
        <w:t>The Journal of Nutrition, Health &amp; Aging</w:t>
      </w:r>
      <w:r w:rsidRPr="00DC3D95">
        <w:rPr>
          <w:sz w:val="23"/>
          <w:szCs w:val="23"/>
          <w:lang w:val="en-US"/>
        </w:rPr>
        <w:t xml:space="preserve">, </w:t>
      </w:r>
      <w:r w:rsidRPr="00DC3D95">
        <w:rPr>
          <w:i/>
          <w:iCs/>
          <w:sz w:val="23"/>
          <w:szCs w:val="23"/>
          <w:lang w:val="en-US"/>
        </w:rPr>
        <w:t>17</w:t>
      </w:r>
      <w:r w:rsidRPr="00DC3D95">
        <w:rPr>
          <w:sz w:val="23"/>
          <w:szCs w:val="23"/>
          <w:lang w:val="en-US"/>
        </w:rPr>
        <w:t>(9), 726–734. https://doi.org/10.1007/S12603-013-0367-2</w:t>
      </w:r>
    </w:p>
    <w:p w:rsidR="005F0BF5" w:rsidRPr="005F0BF5" w:rsidRDefault="005F0BF5" w:rsidP="005F0BF5">
      <w:pPr>
        <w:rPr>
          <w:sz w:val="23"/>
          <w:szCs w:val="23"/>
          <w:lang w:val="en-US"/>
        </w:rPr>
      </w:pPr>
      <w:r w:rsidRPr="005F0BF5">
        <w:rPr>
          <w:sz w:val="23"/>
          <w:szCs w:val="23"/>
          <w:lang w:val="en-US"/>
        </w:rPr>
        <w:t xml:space="preserve">Kojima, G., Taniguchi, Y., Iliffe, S., &amp; Walters, K. (2016). Frailty as a Predictor of Alzheimer Disease, Vascular Dementia, and All Dementia </w:t>
      </w:r>
      <w:proofErr w:type="gramStart"/>
      <w:r w:rsidRPr="005F0BF5">
        <w:rPr>
          <w:sz w:val="23"/>
          <w:szCs w:val="23"/>
          <w:lang w:val="en-US"/>
        </w:rPr>
        <w:t>Among</w:t>
      </w:r>
      <w:proofErr w:type="gramEnd"/>
      <w:r w:rsidRPr="005F0BF5">
        <w:rPr>
          <w:sz w:val="23"/>
          <w:szCs w:val="23"/>
          <w:lang w:val="en-US"/>
        </w:rPr>
        <w:t xml:space="preserve"> Community-Dwelling Older People: A Systematic Review and Meta-Analysis. </w:t>
      </w:r>
      <w:r w:rsidRPr="005F0BF5">
        <w:rPr>
          <w:i/>
          <w:sz w:val="23"/>
          <w:szCs w:val="23"/>
          <w:lang w:val="en-US"/>
        </w:rPr>
        <w:t>Journal of the American Medical Directors Association, 17</w:t>
      </w:r>
      <w:r w:rsidRPr="005F0BF5">
        <w:rPr>
          <w:sz w:val="23"/>
          <w:szCs w:val="23"/>
          <w:lang w:val="en-US"/>
        </w:rPr>
        <w:t>(10), 881–888. https://doi.org/10.1016/J.JAMDA.2016.05.013</w:t>
      </w:r>
    </w:p>
    <w:p w:rsidR="005F0BF5" w:rsidRPr="005F0BF5" w:rsidRDefault="005F0BF5" w:rsidP="005F0BF5">
      <w:pPr>
        <w:rPr>
          <w:sz w:val="23"/>
          <w:szCs w:val="23"/>
          <w:lang w:val="en-US"/>
        </w:rPr>
      </w:pPr>
      <w:proofErr w:type="gramStart"/>
      <w:r w:rsidRPr="005F0BF5">
        <w:rPr>
          <w:sz w:val="23"/>
          <w:szCs w:val="23"/>
          <w:lang w:val="en-US"/>
        </w:rPr>
        <w:t>Kojima, G., Taniguchi, Y., Kitamura, A., &amp; Fujiwara, Y. (2020).</w:t>
      </w:r>
      <w:proofErr w:type="gramEnd"/>
      <w:r w:rsidRPr="005F0BF5">
        <w:rPr>
          <w:sz w:val="23"/>
          <w:szCs w:val="23"/>
          <w:lang w:val="en-US"/>
        </w:rPr>
        <w:t xml:space="preserve"> Is living alone a risk factor of frailty? </w:t>
      </w:r>
      <w:proofErr w:type="gramStart"/>
      <w:r w:rsidRPr="005F0BF5">
        <w:rPr>
          <w:sz w:val="23"/>
          <w:szCs w:val="23"/>
          <w:lang w:val="en-US"/>
        </w:rPr>
        <w:t>A systematic review and meta-analysis.</w:t>
      </w:r>
      <w:proofErr w:type="gramEnd"/>
      <w:r w:rsidRPr="005F0BF5">
        <w:rPr>
          <w:sz w:val="23"/>
          <w:szCs w:val="23"/>
          <w:lang w:val="en-US"/>
        </w:rPr>
        <w:t xml:space="preserve"> </w:t>
      </w:r>
      <w:proofErr w:type="gramStart"/>
      <w:r w:rsidRPr="005F0BF5">
        <w:rPr>
          <w:i/>
          <w:sz w:val="23"/>
          <w:szCs w:val="23"/>
          <w:lang w:val="en-US"/>
        </w:rPr>
        <w:t>Ageing Research Reviews, 59</w:t>
      </w:r>
      <w:r w:rsidRPr="005F0BF5">
        <w:rPr>
          <w:sz w:val="23"/>
          <w:szCs w:val="23"/>
          <w:lang w:val="en-US"/>
        </w:rPr>
        <w:t>.</w:t>
      </w:r>
      <w:proofErr w:type="gramEnd"/>
      <w:r w:rsidRPr="005F0BF5">
        <w:rPr>
          <w:sz w:val="23"/>
          <w:szCs w:val="23"/>
          <w:lang w:val="en-US"/>
        </w:rPr>
        <w:t xml:space="preserve"> https://doi.org/10.1016/J.ARR.2020.101048</w:t>
      </w:r>
    </w:p>
    <w:p w:rsidR="005F0BF5" w:rsidRDefault="005F0BF5" w:rsidP="005F0BF5">
      <w:pPr>
        <w:rPr>
          <w:sz w:val="23"/>
          <w:szCs w:val="23"/>
          <w:lang w:val="en-US"/>
        </w:rPr>
      </w:pPr>
      <w:r w:rsidRPr="005F0BF5">
        <w:rPr>
          <w:sz w:val="23"/>
          <w:szCs w:val="23"/>
          <w:lang w:val="en-US"/>
        </w:rPr>
        <w:lastRenderedPageBreak/>
        <w:t xml:space="preserve">Kojima, G., Walters, K., Iliffe, S., Taniguchi, Y., &amp; Tamiya, N. (2020). Marital Status and Risk of Physical Frailty: A Systematic Review and Meta-analysis. </w:t>
      </w:r>
      <w:r w:rsidRPr="005F0BF5">
        <w:rPr>
          <w:i/>
          <w:sz w:val="23"/>
          <w:szCs w:val="23"/>
          <w:lang w:val="en-US"/>
        </w:rPr>
        <w:t>Journal of the American Medical Directors Association, 21</w:t>
      </w:r>
      <w:r w:rsidRPr="005F0BF5">
        <w:rPr>
          <w:sz w:val="23"/>
          <w:szCs w:val="23"/>
          <w:lang w:val="en-US"/>
        </w:rPr>
        <w:t>(3), 322–330. https://doi.org/10.1016/J.JAMDA.2019.09.017</w:t>
      </w:r>
    </w:p>
    <w:p w:rsidR="00807B6B" w:rsidRPr="00D102A9" w:rsidRDefault="00807B6B" w:rsidP="00D45DD1">
      <w:pPr>
        <w:rPr>
          <w:sz w:val="23"/>
          <w:szCs w:val="23"/>
          <w:lang w:val="en-US"/>
        </w:rPr>
      </w:pPr>
      <w:proofErr w:type="gramStart"/>
      <w:r w:rsidRPr="00807B6B">
        <w:rPr>
          <w:sz w:val="23"/>
          <w:szCs w:val="23"/>
          <w:lang w:val="en-US"/>
        </w:rPr>
        <w:t>Krishnan, M., Beck, S., Havelock, W., Eeles, E., Hubbard, R. E., &amp; Johansen, A. (2014).</w:t>
      </w:r>
      <w:proofErr w:type="gramEnd"/>
      <w:r w:rsidRPr="00807B6B">
        <w:rPr>
          <w:sz w:val="23"/>
          <w:szCs w:val="23"/>
          <w:lang w:val="en-US"/>
        </w:rPr>
        <w:t xml:space="preserve"> Predicting outcome after hip fracture: using a frailty index to integrate comprehensive geriatric assessment results. </w:t>
      </w:r>
      <w:r w:rsidRPr="00D102A9">
        <w:rPr>
          <w:i/>
          <w:iCs/>
          <w:sz w:val="23"/>
          <w:szCs w:val="23"/>
          <w:lang w:val="en-US"/>
        </w:rPr>
        <w:t>Age and Ageing</w:t>
      </w:r>
      <w:r w:rsidRPr="00D102A9">
        <w:rPr>
          <w:sz w:val="23"/>
          <w:szCs w:val="23"/>
          <w:lang w:val="en-US"/>
        </w:rPr>
        <w:t xml:space="preserve">, </w:t>
      </w:r>
      <w:r w:rsidRPr="00D102A9">
        <w:rPr>
          <w:i/>
          <w:iCs/>
          <w:sz w:val="23"/>
          <w:szCs w:val="23"/>
          <w:lang w:val="en-US"/>
        </w:rPr>
        <w:t>43</w:t>
      </w:r>
      <w:r w:rsidRPr="00D102A9">
        <w:rPr>
          <w:sz w:val="23"/>
          <w:szCs w:val="23"/>
          <w:lang w:val="en-US"/>
        </w:rPr>
        <w:t>(1), 122–126. https://doi.org/10.1093/AGEING/AFT084</w:t>
      </w:r>
    </w:p>
    <w:p w:rsidR="009B26E9" w:rsidRDefault="009B26E9" w:rsidP="00D45DD1">
      <w:pPr>
        <w:rPr>
          <w:sz w:val="23"/>
          <w:szCs w:val="23"/>
        </w:rPr>
      </w:pPr>
      <w:r w:rsidRPr="009B26E9">
        <w:rPr>
          <w:sz w:val="23"/>
          <w:szCs w:val="23"/>
          <w:lang w:val="en-US"/>
        </w:rPr>
        <w:t xml:space="preserve">Kuiper, J. S., Zuidersma, M., Voshaar, R. C. O., Zuidema, S. U., van den Heuvel, E. R., Stolk, R. P., &amp; Smidt, N. (2015). Social relationships and risk of dementia: A systematic review and meta-analysis of longitudinal cohort studies. </w:t>
      </w:r>
      <w:r>
        <w:rPr>
          <w:i/>
          <w:iCs/>
          <w:sz w:val="23"/>
          <w:szCs w:val="23"/>
        </w:rPr>
        <w:t>Ageing Research Reviews, 22</w:t>
      </w:r>
      <w:r>
        <w:rPr>
          <w:sz w:val="23"/>
          <w:szCs w:val="23"/>
        </w:rPr>
        <w:t>, 39-57.</w:t>
      </w:r>
      <w:r w:rsidRPr="009B26E9">
        <w:rPr>
          <w:sz w:val="23"/>
          <w:szCs w:val="23"/>
        </w:rPr>
        <w:t xml:space="preserve"> https://doi.org/10.1016/j.arr.2015.04.006</w:t>
      </w:r>
    </w:p>
    <w:p w:rsidR="003E3968" w:rsidRPr="005025EC" w:rsidRDefault="003E3968" w:rsidP="00D45DD1">
      <w:pPr>
        <w:rPr>
          <w:sz w:val="23"/>
          <w:szCs w:val="23"/>
          <w:lang w:val="en-US"/>
        </w:rPr>
      </w:pPr>
      <w:proofErr w:type="gramStart"/>
      <w:r w:rsidRPr="003E3968">
        <w:rPr>
          <w:sz w:val="23"/>
          <w:szCs w:val="23"/>
          <w:lang w:val="en-US"/>
        </w:rPr>
        <w:t>Launer, L. J., Hughes, T. M., &amp; White, L. R. (2010).</w:t>
      </w:r>
      <w:proofErr w:type="gramEnd"/>
      <w:r w:rsidRPr="003E3968">
        <w:rPr>
          <w:sz w:val="23"/>
          <w:szCs w:val="23"/>
          <w:lang w:val="en-US"/>
        </w:rPr>
        <w:t xml:space="preserve"> Midlife blood pressure and dementia: The Honolulu-Asia aging study. </w:t>
      </w:r>
      <w:r w:rsidRPr="005025EC">
        <w:rPr>
          <w:i/>
          <w:iCs/>
          <w:sz w:val="23"/>
          <w:szCs w:val="23"/>
          <w:lang w:val="en-US"/>
        </w:rPr>
        <w:t>Neurobiology of Aging, 31</w:t>
      </w:r>
      <w:r w:rsidRPr="005025EC">
        <w:rPr>
          <w:sz w:val="23"/>
          <w:szCs w:val="23"/>
          <w:lang w:val="en-US"/>
        </w:rPr>
        <w:t xml:space="preserve">(11), 1697-1702. https://doi.org/10.1016/j.neurobiolaging.2008.08.011 </w:t>
      </w:r>
    </w:p>
    <w:p w:rsidR="003E1B14" w:rsidRDefault="003E1B14" w:rsidP="003E1B14">
      <w:pPr>
        <w:rPr>
          <w:sz w:val="23"/>
          <w:szCs w:val="23"/>
          <w:lang w:val="en-US"/>
        </w:rPr>
      </w:pPr>
      <w:r w:rsidRPr="003E1B14">
        <w:rPr>
          <w:sz w:val="23"/>
          <w:szCs w:val="23"/>
          <w:lang w:val="en-US"/>
        </w:rPr>
        <w:t>Livingston G, Huntley J, Sommerlad</w:t>
      </w:r>
      <w:r>
        <w:rPr>
          <w:sz w:val="23"/>
          <w:szCs w:val="23"/>
          <w:lang w:val="en-US"/>
        </w:rPr>
        <w:t xml:space="preserve"> A, et al. Dementia prevention, </w:t>
      </w:r>
      <w:r w:rsidRPr="003E1B14">
        <w:rPr>
          <w:sz w:val="23"/>
          <w:szCs w:val="23"/>
          <w:lang w:val="en-US"/>
        </w:rPr>
        <w:t>intervention, and care: 2020 r</w:t>
      </w:r>
      <w:r>
        <w:rPr>
          <w:sz w:val="23"/>
          <w:szCs w:val="23"/>
          <w:lang w:val="en-US"/>
        </w:rPr>
        <w:t xml:space="preserve">eport of the Lancet Commission. </w:t>
      </w:r>
      <w:r w:rsidRPr="003E1B14">
        <w:rPr>
          <w:i/>
          <w:sz w:val="23"/>
          <w:szCs w:val="23"/>
          <w:lang w:val="en-US"/>
        </w:rPr>
        <w:t>Lancet 2020</w:t>
      </w:r>
      <w:r w:rsidRPr="003E1B14">
        <w:rPr>
          <w:sz w:val="23"/>
          <w:szCs w:val="23"/>
          <w:lang w:val="en-US"/>
        </w:rPr>
        <w:t>; 396: 413–46.</w:t>
      </w:r>
    </w:p>
    <w:p w:rsidR="005025EC" w:rsidRDefault="005025EC" w:rsidP="005025EC">
      <w:pPr>
        <w:rPr>
          <w:sz w:val="23"/>
          <w:szCs w:val="23"/>
          <w:lang w:val="en-US"/>
        </w:rPr>
      </w:pPr>
      <w:r w:rsidRPr="005025EC">
        <w:rPr>
          <w:sz w:val="23"/>
          <w:szCs w:val="23"/>
          <w:lang w:val="en-US"/>
        </w:rPr>
        <w:t xml:space="preserve">Lozupone M, Panza F, Piccininni M, et al. </w:t>
      </w:r>
      <w:r>
        <w:rPr>
          <w:sz w:val="23"/>
          <w:szCs w:val="23"/>
          <w:lang w:val="en-US"/>
        </w:rPr>
        <w:t xml:space="preserve">Social dysfunction in older age </w:t>
      </w:r>
      <w:r w:rsidRPr="005025EC">
        <w:rPr>
          <w:sz w:val="23"/>
          <w:szCs w:val="23"/>
          <w:lang w:val="en-US"/>
        </w:rPr>
        <w:t>and relationships with cognition, depre</w:t>
      </w:r>
      <w:r>
        <w:rPr>
          <w:sz w:val="23"/>
          <w:szCs w:val="23"/>
          <w:lang w:val="en-US"/>
        </w:rPr>
        <w:t xml:space="preserve">ssion, and apathy: the GreatAGE </w:t>
      </w:r>
      <w:r w:rsidRPr="005025EC">
        <w:rPr>
          <w:sz w:val="23"/>
          <w:szCs w:val="23"/>
          <w:lang w:val="en-US"/>
        </w:rPr>
        <w:t xml:space="preserve">study. </w:t>
      </w:r>
      <w:r w:rsidRPr="005025EC">
        <w:rPr>
          <w:i/>
          <w:sz w:val="23"/>
          <w:szCs w:val="23"/>
          <w:lang w:val="en-US"/>
        </w:rPr>
        <w:t>J Alzheimers Dis 2018</w:t>
      </w:r>
      <w:r w:rsidRPr="005025EC">
        <w:rPr>
          <w:sz w:val="23"/>
          <w:szCs w:val="23"/>
          <w:lang w:val="en-US"/>
        </w:rPr>
        <w:t>; 65: 989–1000.</w:t>
      </w:r>
    </w:p>
    <w:p w:rsidR="00373553" w:rsidRPr="00357514" w:rsidRDefault="00373553" w:rsidP="00D45DD1">
      <w:pPr>
        <w:rPr>
          <w:sz w:val="23"/>
          <w:szCs w:val="23"/>
          <w:lang w:val="en-US"/>
        </w:rPr>
      </w:pPr>
      <w:proofErr w:type="gramStart"/>
      <w:r w:rsidRPr="00373553">
        <w:rPr>
          <w:sz w:val="23"/>
          <w:szCs w:val="23"/>
          <w:lang w:val="en-US"/>
        </w:rPr>
        <w:t>Lee, D. R., Santo, E. C., Lo, J. C., Ritterman Weintraub, M. L., Patton, M., &amp; Gordon, N. P. (2018).</w:t>
      </w:r>
      <w:proofErr w:type="gramEnd"/>
      <w:r w:rsidRPr="00373553">
        <w:rPr>
          <w:sz w:val="23"/>
          <w:szCs w:val="23"/>
          <w:lang w:val="en-US"/>
        </w:rPr>
        <w:t xml:space="preserve"> Understanding functional and social risk characteristics of frail older adults: a cross-sectional survey study. </w:t>
      </w:r>
      <w:proofErr w:type="gramStart"/>
      <w:r w:rsidRPr="00357514">
        <w:rPr>
          <w:i/>
          <w:iCs/>
          <w:sz w:val="23"/>
          <w:szCs w:val="23"/>
          <w:lang w:val="en-US"/>
        </w:rPr>
        <w:t>BMC Family Practice</w:t>
      </w:r>
      <w:r w:rsidRPr="00357514">
        <w:rPr>
          <w:sz w:val="23"/>
          <w:szCs w:val="23"/>
          <w:lang w:val="en-US"/>
        </w:rPr>
        <w:t xml:space="preserve">, </w:t>
      </w:r>
      <w:r w:rsidRPr="00357514">
        <w:rPr>
          <w:i/>
          <w:iCs/>
          <w:sz w:val="23"/>
          <w:szCs w:val="23"/>
          <w:lang w:val="en-US"/>
        </w:rPr>
        <w:t>19</w:t>
      </w:r>
      <w:r w:rsidRPr="00357514">
        <w:rPr>
          <w:sz w:val="23"/>
          <w:szCs w:val="23"/>
          <w:lang w:val="en-US"/>
        </w:rPr>
        <w:t>(1).</w:t>
      </w:r>
      <w:proofErr w:type="gramEnd"/>
      <w:r w:rsidRPr="00357514">
        <w:rPr>
          <w:sz w:val="23"/>
          <w:szCs w:val="23"/>
          <w:lang w:val="en-US"/>
        </w:rPr>
        <w:t xml:space="preserve"> https://doi.org/10.1186/S12875-018-0851-1</w:t>
      </w:r>
    </w:p>
    <w:p w:rsidR="0074466B" w:rsidRDefault="0074466B" w:rsidP="00D45DD1">
      <w:pPr>
        <w:rPr>
          <w:sz w:val="23"/>
          <w:szCs w:val="23"/>
        </w:rPr>
      </w:pPr>
      <w:proofErr w:type="gramStart"/>
      <w:r w:rsidRPr="0074466B">
        <w:rPr>
          <w:sz w:val="23"/>
          <w:szCs w:val="23"/>
          <w:lang w:val="en-US"/>
        </w:rPr>
        <w:t>Lezak M., Howieson D., Loring D. (2009).</w:t>
      </w:r>
      <w:proofErr w:type="gramEnd"/>
      <w:r w:rsidRPr="0074466B">
        <w:rPr>
          <w:sz w:val="23"/>
          <w:szCs w:val="23"/>
          <w:lang w:val="en-US"/>
        </w:rPr>
        <w:t xml:space="preserve"> </w:t>
      </w:r>
      <w:r>
        <w:rPr>
          <w:sz w:val="23"/>
          <w:szCs w:val="23"/>
        </w:rPr>
        <w:t>“Νευροψυχολογική εκτίμηση” (Επιμέλεια Ελληνικής Έκδοσης: Μεσσήνης Λ., Κοσμίδου Μ., &amp; Παπαθανασόπουλος Π.), Πάτρα:  Εκδόσεις Gotsis.</w:t>
      </w:r>
    </w:p>
    <w:p w:rsidR="00357514" w:rsidRPr="00D102A9" w:rsidRDefault="00357514" w:rsidP="00D45DD1">
      <w:pPr>
        <w:rPr>
          <w:sz w:val="23"/>
          <w:szCs w:val="23"/>
          <w:lang w:val="en-US"/>
        </w:rPr>
      </w:pPr>
      <w:proofErr w:type="gramStart"/>
      <w:r w:rsidRPr="00357514">
        <w:rPr>
          <w:sz w:val="23"/>
          <w:szCs w:val="23"/>
          <w:lang w:val="en-US"/>
        </w:rPr>
        <w:t>Lin, H. S., Watts, J. N., Peel, N. M., &amp; Hubbard, R. E. (2016).</w:t>
      </w:r>
      <w:proofErr w:type="gramEnd"/>
      <w:r w:rsidRPr="00357514">
        <w:rPr>
          <w:sz w:val="23"/>
          <w:szCs w:val="23"/>
          <w:lang w:val="en-US"/>
        </w:rPr>
        <w:t xml:space="preserve"> Frailty and post-operative outcomes in older surgical patients: a systematic review. </w:t>
      </w:r>
      <w:proofErr w:type="gramStart"/>
      <w:r w:rsidRPr="00D102A9">
        <w:rPr>
          <w:i/>
          <w:iCs/>
          <w:sz w:val="23"/>
          <w:szCs w:val="23"/>
          <w:lang w:val="en-US"/>
        </w:rPr>
        <w:t>BMC Geriatrics</w:t>
      </w:r>
      <w:r w:rsidRPr="00D102A9">
        <w:rPr>
          <w:sz w:val="23"/>
          <w:szCs w:val="23"/>
          <w:lang w:val="en-US"/>
        </w:rPr>
        <w:t xml:space="preserve">, </w:t>
      </w:r>
      <w:r w:rsidRPr="00D102A9">
        <w:rPr>
          <w:i/>
          <w:iCs/>
          <w:sz w:val="23"/>
          <w:szCs w:val="23"/>
          <w:lang w:val="en-US"/>
        </w:rPr>
        <w:t>16</w:t>
      </w:r>
      <w:r w:rsidRPr="00D102A9">
        <w:rPr>
          <w:sz w:val="23"/>
          <w:szCs w:val="23"/>
          <w:lang w:val="en-US"/>
        </w:rPr>
        <w:t>(1).</w:t>
      </w:r>
      <w:proofErr w:type="gramEnd"/>
      <w:r w:rsidRPr="00D102A9">
        <w:rPr>
          <w:sz w:val="23"/>
          <w:szCs w:val="23"/>
          <w:lang w:val="en-US"/>
        </w:rPr>
        <w:t xml:space="preserve"> https://doi.org/10.1186/S12877-016-0329-8</w:t>
      </w:r>
    </w:p>
    <w:p w:rsidR="00D45DD1" w:rsidRPr="00D45DD1" w:rsidRDefault="00D45DD1" w:rsidP="00D45DD1">
      <w:pPr>
        <w:rPr>
          <w:sz w:val="23"/>
          <w:szCs w:val="23"/>
          <w:lang w:val="en-US"/>
        </w:rPr>
      </w:pPr>
      <w:proofErr w:type="gramStart"/>
      <w:r w:rsidRPr="00D45DD1">
        <w:rPr>
          <w:sz w:val="23"/>
          <w:szCs w:val="23"/>
          <w:lang w:val="en-US"/>
        </w:rPr>
        <w:t>Lin, S., Aliberti, M., Fortes-Filho, S., Melo, J., Aprah</w:t>
      </w:r>
      <w:r>
        <w:rPr>
          <w:sz w:val="23"/>
          <w:szCs w:val="23"/>
          <w:lang w:val="en-US"/>
        </w:rPr>
        <w:t>amian, I., Suemoto, C., &amp; Jacob</w:t>
      </w:r>
      <w:r w:rsidRPr="00D45DD1">
        <w:rPr>
          <w:sz w:val="23"/>
          <w:szCs w:val="23"/>
          <w:lang w:val="en-US"/>
        </w:rPr>
        <w:t xml:space="preserve"> Filho, W. (2018).</w:t>
      </w:r>
      <w:proofErr w:type="gramEnd"/>
      <w:r w:rsidRPr="00D45DD1">
        <w:rPr>
          <w:sz w:val="23"/>
          <w:szCs w:val="23"/>
          <w:lang w:val="en-US"/>
        </w:rPr>
        <w:t xml:space="preserve"> Comparison of 3 Frailty Instruments in a Geriatric Acute Care Setting in a Low-Middle Income Country. </w:t>
      </w:r>
      <w:proofErr w:type="gramStart"/>
      <w:r w:rsidRPr="00D45DD1">
        <w:rPr>
          <w:i/>
          <w:sz w:val="23"/>
          <w:szCs w:val="23"/>
          <w:lang w:val="en-US"/>
        </w:rPr>
        <w:t>Journal of the American Medical Directors Association, 19(4)</w:t>
      </w:r>
      <w:r w:rsidRPr="00D45DD1">
        <w:rPr>
          <w:sz w:val="23"/>
          <w:szCs w:val="23"/>
          <w:lang w:val="en-US"/>
        </w:rPr>
        <w:t>, 310-314.e3.</w:t>
      </w:r>
      <w:proofErr w:type="gramEnd"/>
      <w:r w:rsidRPr="00D45DD1">
        <w:rPr>
          <w:sz w:val="23"/>
          <w:szCs w:val="23"/>
          <w:lang w:val="en-US"/>
        </w:rPr>
        <w:t xml:space="preserve"> https://doi.org/10.1016/J.JAMDA.2017.10.017</w:t>
      </w:r>
    </w:p>
    <w:p w:rsidR="00831FC1" w:rsidRPr="00831FC1" w:rsidRDefault="00831FC1" w:rsidP="00223F40">
      <w:pPr>
        <w:rPr>
          <w:sz w:val="23"/>
          <w:szCs w:val="23"/>
          <w:lang w:val="en-US"/>
        </w:rPr>
      </w:pPr>
      <w:r w:rsidRPr="00831FC1">
        <w:rPr>
          <w:sz w:val="23"/>
          <w:szCs w:val="23"/>
          <w:lang w:val="en-US"/>
        </w:rPr>
        <w:t xml:space="preserve">Liu, P., Li, Y., Zhang, Y., Mesbah, S., Ji, T., &amp; Ma, L. (2020). Frailty and hypertension in older adults: current understanding and future perspectives. </w:t>
      </w:r>
      <w:r w:rsidRPr="00831FC1">
        <w:rPr>
          <w:i/>
          <w:iCs/>
          <w:sz w:val="23"/>
          <w:szCs w:val="23"/>
          <w:lang w:val="en-US"/>
        </w:rPr>
        <w:t xml:space="preserve">Hypertension </w:t>
      </w:r>
      <w:proofErr w:type="gramStart"/>
      <w:r w:rsidRPr="00831FC1">
        <w:rPr>
          <w:i/>
          <w:iCs/>
          <w:sz w:val="23"/>
          <w:szCs w:val="23"/>
          <w:lang w:val="en-US"/>
        </w:rPr>
        <w:t>Research :</w:t>
      </w:r>
      <w:proofErr w:type="gramEnd"/>
      <w:r w:rsidRPr="00831FC1">
        <w:rPr>
          <w:i/>
          <w:iCs/>
          <w:sz w:val="23"/>
          <w:szCs w:val="23"/>
          <w:lang w:val="en-US"/>
        </w:rPr>
        <w:t xml:space="preserve"> </w:t>
      </w:r>
      <w:r w:rsidRPr="00831FC1">
        <w:rPr>
          <w:i/>
          <w:iCs/>
          <w:sz w:val="23"/>
          <w:szCs w:val="23"/>
          <w:lang w:val="en-US"/>
        </w:rPr>
        <w:lastRenderedPageBreak/>
        <w:t>Official Journal of the Japanese Society of Hypertension</w:t>
      </w:r>
      <w:r w:rsidRPr="00831FC1">
        <w:rPr>
          <w:sz w:val="23"/>
          <w:szCs w:val="23"/>
          <w:lang w:val="en-US"/>
        </w:rPr>
        <w:t xml:space="preserve">, </w:t>
      </w:r>
      <w:r w:rsidRPr="00831FC1">
        <w:rPr>
          <w:i/>
          <w:iCs/>
          <w:sz w:val="23"/>
          <w:szCs w:val="23"/>
          <w:lang w:val="en-US"/>
        </w:rPr>
        <w:t>43</w:t>
      </w:r>
      <w:r w:rsidRPr="00831FC1">
        <w:rPr>
          <w:sz w:val="23"/>
          <w:szCs w:val="23"/>
          <w:lang w:val="en-US"/>
        </w:rPr>
        <w:t>(12), 1352–1360. https://doi.org/10.1038/S41440-020-0510-5</w:t>
      </w:r>
    </w:p>
    <w:p w:rsidR="00807B6B" w:rsidRPr="00807B6B" w:rsidRDefault="00807B6B" w:rsidP="00223F40">
      <w:pPr>
        <w:rPr>
          <w:sz w:val="23"/>
          <w:szCs w:val="23"/>
          <w:lang w:val="en-US"/>
        </w:rPr>
      </w:pPr>
      <w:r w:rsidRPr="00807B6B">
        <w:rPr>
          <w:sz w:val="23"/>
          <w:szCs w:val="23"/>
          <w:lang w:val="en-US"/>
        </w:rPr>
        <w:t xml:space="preserve">Mamtora, P. H., Fortier, M. A., Barnett, S. R., Schmid, L. N., &amp; Kain, Z. N. (2020). </w:t>
      </w:r>
      <w:proofErr w:type="gramStart"/>
      <w:r w:rsidRPr="00807B6B">
        <w:rPr>
          <w:sz w:val="23"/>
          <w:szCs w:val="23"/>
          <w:lang w:val="en-US"/>
        </w:rPr>
        <w:t>Peri-operative management of frailty in the orthopedic patient.</w:t>
      </w:r>
      <w:proofErr w:type="gramEnd"/>
      <w:r w:rsidRPr="00807B6B">
        <w:rPr>
          <w:sz w:val="23"/>
          <w:szCs w:val="23"/>
          <w:lang w:val="en-US"/>
        </w:rPr>
        <w:t xml:space="preserve"> </w:t>
      </w:r>
      <w:r w:rsidRPr="00807B6B">
        <w:rPr>
          <w:i/>
          <w:iCs/>
          <w:sz w:val="23"/>
          <w:szCs w:val="23"/>
          <w:lang w:val="en-US"/>
        </w:rPr>
        <w:t>Journal of Orthopaedics</w:t>
      </w:r>
      <w:r w:rsidRPr="00807B6B">
        <w:rPr>
          <w:sz w:val="23"/>
          <w:szCs w:val="23"/>
          <w:lang w:val="en-US"/>
        </w:rPr>
        <w:t xml:space="preserve">, </w:t>
      </w:r>
      <w:r w:rsidRPr="00807B6B">
        <w:rPr>
          <w:i/>
          <w:iCs/>
          <w:sz w:val="23"/>
          <w:szCs w:val="23"/>
          <w:lang w:val="en-US"/>
        </w:rPr>
        <w:t>22</w:t>
      </w:r>
      <w:r w:rsidRPr="00807B6B">
        <w:rPr>
          <w:sz w:val="23"/>
          <w:szCs w:val="23"/>
          <w:lang w:val="en-US"/>
        </w:rPr>
        <w:t>, 304–307. https://doi.org/10.1016/J.JOR.2020.05.024</w:t>
      </w:r>
    </w:p>
    <w:p w:rsidR="0022208A" w:rsidRPr="008E50FC" w:rsidRDefault="0022208A" w:rsidP="00223F40">
      <w:pPr>
        <w:rPr>
          <w:sz w:val="23"/>
          <w:szCs w:val="23"/>
          <w:lang w:val="en-US"/>
        </w:rPr>
      </w:pPr>
      <w:proofErr w:type="gramStart"/>
      <w:r w:rsidRPr="0022208A">
        <w:rPr>
          <w:sz w:val="23"/>
          <w:szCs w:val="23"/>
          <w:lang w:val="en-US"/>
        </w:rPr>
        <w:t>Manfredi, G., Midão, L., Paúl, C., Cena, C., Duarte, M., &amp; Costa, E. (2019).</w:t>
      </w:r>
      <w:proofErr w:type="gramEnd"/>
      <w:r w:rsidRPr="0022208A">
        <w:rPr>
          <w:sz w:val="23"/>
          <w:szCs w:val="23"/>
          <w:lang w:val="en-US"/>
        </w:rPr>
        <w:t xml:space="preserve"> Prevalence of frailty status among the European elderly population: Findings from the Survey of Health, Aging and Retirement in Europe</w:t>
      </w:r>
      <w:r w:rsidRPr="0022208A">
        <w:rPr>
          <w:i/>
          <w:sz w:val="23"/>
          <w:szCs w:val="23"/>
          <w:lang w:val="en-US"/>
        </w:rPr>
        <w:t xml:space="preserve">. </w:t>
      </w:r>
      <w:r w:rsidRPr="008E50FC">
        <w:rPr>
          <w:i/>
          <w:sz w:val="23"/>
          <w:szCs w:val="23"/>
          <w:lang w:val="en-US"/>
        </w:rPr>
        <w:t>Geriatrics &amp; Gerontology International, 19(8),</w:t>
      </w:r>
      <w:r w:rsidRPr="008E50FC">
        <w:rPr>
          <w:sz w:val="23"/>
          <w:szCs w:val="23"/>
          <w:lang w:val="en-US"/>
        </w:rPr>
        <w:t xml:space="preserve"> 723–729. https://doi.org/10.1111/GGI.13689</w:t>
      </w:r>
    </w:p>
    <w:p w:rsidR="005E1105" w:rsidRPr="003607ED" w:rsidRDefault="005E1105" w:rsidP="008E50FC">
      <w:pPr>
        <w:rPr>
          <w:sz w:val="23"/>
          <w:szCs w:val="23"/>
          <w:lang w:val="en-US"/>
        </w:rPr>
      </w:pPr>
      <w:proofErr w:type="gramStart"/>
      <w:r w:rsidRPr="005E1105">
        <w:rPr>
          <w:sz w:val="23"/>
          <w:szCs w:val="23"/>
          <w:lang w:val="en-US"/>
        </w:rPr>
        <w:t>Marques, A., Queirós, C., Marques, A., &amp; Queirós, C. (2018).</w:t>
      </w:r>
      <w:proofErr w:type="gramEnd"/>
      <w:r w:rsidRPr="005E1105">
        <w:rPr>
          <w:sz w:val="23"/>
          <w:szCs w:val="23"/>
          <w:lang w:val="en-US"/>
        </w:rPr>
        <w:t xml:space="preserve"> Frailty, Sarcopenia and </w:t>
      </w:r>
      <w:proofErr w:type="gramStart"/>
      <w:r w:rsidRPr="005E1105">
        <w:rPr>
          <w:sz w:val="23"/>
          <w:szCs w:val="23"/>
          <w:lang w:val="en-US"/>
        </w:rPr>
        <w:t>Falls</w:t>
      </w:r>
      <w:proofErr w:type="gramEnd"/>
      <w:r w:rsidRPr="005E1105">
        <w:rPr>
          <w:sz w:val="23"/>
          <w:szCs w:val="23"/>
          <w:lang w:val="en-US"/>
        </w:rPr>
        <w:t xml:space="preserve">. </w:t>
      </w:r>
      <w:proofErr w:type="gramStart"/>
      <w:r w:rsidRPr="005E1105">
        <w:rPr>
          <w:sz w:val="23"/>
          <w:szCs w:val="23"/>
          <w:lang w:val="en-US"/>
        </w:rPr>
        <w:t xml:space="preserve">In K. Hertz &amp; J. Santy-Tomlinson (Eds.), </w:t>
      </w:r>
      <w:r w:rsidRPr="005E1105">
        <w:rPr>
          <w:i/>
          <w:iCs/>
          <w:sz w:val="23"/>
          <w:szCs w:val="23"/>
          <w:lang w:val="en-US"/>
        </w:rPr>
        <w:t>Fragility Fracture Nursing.</w:t>
      </w:r>
      <w:proofErr w:type="gramEnd"/>
      <w:r w:rsidRPr="005E1105">
        <w:rPr>
          <w:i/>
          <w:iCs/>
          <w:sz w:val="23"/>
          <w:szCs w:val="23"/>
          <w:lang w:val="en-US"/>
        </w:rPr>
        <w:t xml:space="preserve"> Perspectives in Nursing Management and Care for Older Adults </w:t>
      </w:r>
      <w:r w:rsidRPr="005E1105">
        <w:rPr>
          <w:sz w:val="23"/>
          <w:szCs w:val="23"/>
          <w:lang w:val="en-US"/>
        </w:rPr>
        <w:t xml:space="preserve">(1st ed., pp. 15–26). </w:t>
      </w:r>
      <w:proofErr w:type="gramStart"/>
      <w:r w:rsidRPr="003607ED">
        <w:rPr>
          <w:sz w:val="23"/>
          <w:szCs w:val="23"/>
          <w:lang w:val="en-US"/>
        </w:rPr>
        <w:t>Springe.</w:t>
      </w:r>
      <w:proofErr w:type="gramEnd"/>
      <w:r w:rsidRPr="003607ED">
        <w:rPr>
          <w:sz w:val="23"/>
          <w:szCs w:val="23"/>
          <w:lang w:val="en-US"/>
        </w:rPr>
        <w:t xml:space="preserve"> https://doi.org/10.1007/978-3-319-76681-2_2</w:t>
      </w:r>
    </w:p>
    <w:p w:rsidR="003607ED" w:rsidRPr="0053099E" w:rsidRDefault="003607ED" w:rsidP="008E50FC">
      <w:pPr>
        <w:rPr>
          <w:sz w:val="23"/>
          <w:szCs w:val="23"/>
          <w:lang w:val="en-US"/>
        </w:rPr>
      </w:pPr>
      <w:r w:rsidRPr="003607ED">
        <w:rPr>
          <w:sz w:val="23"/>
          <w:szCs w:val="23"/>
          <w:lang w:val="en-US"/>
        </w:rPr>
        <w:t xml:space="preserve">McKeith, I. (2007). </w:t>
      </w:r>
      <w:proofErr w:type="gramStart"/>
      <w:r w:rsidRPr="003607ED">
        <w:rPr>
          <w:sz w:val="23"/>
          <w:szCs w:val="23"/>
          <w:lang w:val="en-US"/>
        </w:rPr>
        <w:t>Dementia with Lewy bodies.</w:t>
      </w:r>
      <w:proofErr w:type="gramEnd"/>
      <w:r w:rsidRPr="003607ED">
        <w:rPr>
          <w:sz w:val="23"/>
          <w:szCs w:val="23"/>
          <w:lang w:val="en-US"/>
        </w:rPr>
        <w:t xml:space="preserve"> </w:t>
      </w:r>
      <w:proofErr w:type="gramStart"/>
      <w:r w:rsidRPr="003607ED">
        <w:rPr>
          <w:i/>
          <w:sz w:val="23"/>
          <w:szCs w:val="23"/>
          <w:lang w:val="en-US"/>
        </w:rPr>
        <w:t>Handbook of clinical Neurology, 84</w:t>
      </w:r>
      <w:r w:rsidRPr="003607ED">
        <w:rPr>
          <w:sz w:val="23"/>
          <w:szCs w:val="23"/>
          <w:lang w:val="en-US"/>
        </w:rPr>
        <w:t>, 531-548.</w:t>
      </w:r>
      <w:proofErr w:type="gramEnd"/>
    </w:p>
    <w:p w:rsidR="008E50FC" w:rsidRPr="00D102A9" w:rsidRDefault="008E50FC" w:rsidP="008E50FC">
      <w:pPr>
        <w:rPr>
          <w:sz w:val="23"/>
          <w:szCs w:val="23"/>
          <w:lang w:val="en-US"/>
        </w:rPr>
      </w:pPr>
      <w:proofErr w:type="gramStart"/>
      <w:r w:rsidRPr="008E50FC">
        <w:rPr>
          <w:sz w:val="23"/>
          <w:szCs w:val="23"/>
          <w:lang w:val="en-US"/>
        </w:rPr>
        <w:t>McIsaac, D. I., Macdonald, D. B., &amp; Aucoin, S. D. (2020).</w:t>
      </w:r>
      <w:proofErr w:type="gramEnd"/>
      <w:r w:rsidRPr="008E50FC">
        <w:rPr>
          <w:sz w:val="23"/>
          <w:szCs w:val="23"/>
          <w:lang w:val="en-US"/>
        </w:rPr>
        <w:t xml:space="preserve"> Frailty for Perioperative Clinicians: A Narrative Review. </w:t>
      </w:r>
      <w:r w:rsidRPr="00D102A9">
        <w:rPr>
          <w:i/>
          <w:sz w:val="23"/>
          <w:szCs w:val="23"/>
          <w:lang w:val="en-US"/>
        </w:rPr>
        <w:t>Anesthesia and Analgesia, 130</w:t>
      </w:r>
      <w:r w:rsidRPr="00D102A9">
        <w:rPr>
          <w:sz w:val="23"/>
          <w:szCs w:val="23"/>
          <w:lang w:val="en-US"/>
        </w:rPr>
        <w:t>(6), 1450–1460. https://doi.org/10.1213/ANE.0000000000004602</w:t>
      </w:r>
    </w:p>
    <w:p w:rsidR="008E50FC" w:rsidRPr="008E50FC" w:rsidRDefault="008E50FC" w:rsidP="008E50FC">
      <w:pPr>
        <w:rPr>
          <w:sz w:val="23"/>
          <w:szCs w:val="23"/>
          <w:lang w:val="en-US"/>
        </w:rPr>
      </w:pPr>
      <w:proofErr w:type="gramStart"/>
      <w:r w:rsidRPr="008E50FC">
        <w:rPr>
          <w:sz w:val="23"/>
          <w:szCs w:val="23"/>
          <w:lang w:val="en-US"/>
        </w:rPr>
        <w:t>McIsaac, D. I., Moloo, H., Bryson, G. L., &amp; Van Walraven, C. (2017).</w:t>
      </w:r>
      <w:proofErr w:type="gramEnd"/>
      <w:r w:rsidRPr="008E50FC">
        <w:rPr>
          <w:sz w:val="23"/>
          <w:szCs w:val="23"/>
          <w:lang w:val="en-US"/>
        </w:rPr>
        <w:t xml:space="preserve"> The Association of Frailty </w:t>
      </w:r>
      <w:proofErr w:type="gramStart"/>
      <w:r w:rsidRPr="008E50FC">
        <w:rPr>
          <w:sz w:val="23"/>
          <w:szCs w:val="23"/>
          <w:lang w:val="en-US"/>
        </w:rPr>
        <w:t>With</w:t>
      </w:r>
      <w:proofErr w:type="gramEnd"/>
      <w:r w:rsidRPr="008E50FC">
        <w:rPr>
          <w:sz w:val="23"/>
          <w:szCs w:val="23"/>
          <w:lang w:val="en-US"/>
        </w:rPr>
        <w:t xml:space="preserve"> Outcomes and Resource Use After Emergency General Surgery: A Population-Based Cohort Study. </w:t>
      </w:r>
      <w:r w:rsidRPr="008E50FC">
        <w:rPr>
          <w:i/>
          <w:sz w:val="23"/>
          <w:szCs w:val="23"/>
          <w:lang w:val="en-US"/>
        </w:rPr>
        <w:t>Anesthesia and Analgesia, 124</w:t>
      </w:r>
      <w:r w:rsidRPr="008E50FC">
        <w:rPr>
          <w:sz w:val="23"/>
          <w:szCs w:val="23"/>
          <w:lang w:val="en-US"/>
        </w:rPr>
        <w:t>(5), 1653–1661. https://doi.org/10.1213/ANE.0000000000001960</w:t>
      </w:r>
    </w:p>
    <w:p w:rsidR="00C348F5" w:rsidRPr="00C348F5" w:rsidRDefault="00C348F5" w:rsidP="00223F40">
      <w:pPr>
        <w:rPr>
          <w:lang w:val="en-US"/>
        </w:rPr>
      </w:pPr>
      <w:proofErr w:type="gramStart"/>
      <w:r w:rsidRPr="00C348F5">
        <w:rPr>
          <w:sz w:val="23"/>
          <w:szCs w:val="23"/>
          <w:lang w:val="en-US"/>
        </w:rPr>
        <w:t>Mitnitski, A., Mogilner, A., &amp; Rockwood, K. (2001).</w:t>
      </w:r>
      <w:proofErr w:type="gramEnd"/>
      <w:r w:rsidRPr="00C348F5">
        <w:rPr>
          <w:sz w:val="23"/>
          <w:szCs w:val="23"/>
          <w:lang w:val="en-US"/>
        </w:rPr>
        <w:t xml:space="preserve"> </w:t>
      </w:r>
      <w:proofErr w:type="gramStart"/>
      <w:r w:rsidRPr="00C348F5">
        <w:rPr>
          <w:sz w:val="23"/>
          <w:szCs w:val="23"/>
          <w:lang w:val="en-US"/>
        </w:rPr>
        <w:t>Accumulation of deficits as a proxy measure of aging.</w:t>
      </w:r>
      <w:proofErr w:type="gramEnd"/>
      <w:r w:rsidRPr="00C348F5">
        <w:rPr>
          <w:sz w:val="23"/>
          <w:szCs w:val="23"/>
          <w:lang w:val="en-US"/>
        </w:rPr>
        <w:t xml:space="preserve"> </w:t>
      </w:r>
      <w:r w:rsidRPr="00D95C7A">
        <w:rPr>
          <w:i/>
          <w:iCs/>
          <w:sz w:val="23"/>
          <w:szCs w:val="23"/>
          <w:lang w:val="en-US"/>
        </w:rPr>
        <w:t>TheScientific</w:t>
      </w:r>
      <w:r>
        <w:rPr>
          <w:i/>
          <w:iCs/>
          <w:sz w:val="23"/>
          <w:szCs w:val="23"/>
          <w:lang w:val="en-US"/>
        </w:rPr>
        <w:t xml:space="preserve"> </w:t>
      </w:r>
      <w:r w:rsidRPr="00D95C7A">
        <w:rPr>
          <w:i/>
          <w:iCs/>
          <w:sz w:val="23"/>
          <w:szCs w:val="23"/>
          <w:lang w:val="en-US"/>
        </w:rPr>
        <w:t>World</w:t>
      </w:r>
      <w:r>
        <w:rPr>
          <w:i/>
          <w:iCs/>
          <w:sz w:val="23"/>
          <w:szCs w:val="23"/>
          <w:lang w:val="en-US"/>
        </w:rPr>
        <w:t xml:space="preserve"> </w:t>
      </w:r>
      <w:r w:rsidRPr="00D95C7A">
        <w:rPr>
          <w:i/>
          <w:iCs/>
          <w:sz w:val="23"/>
          <w:szCs w:val="23"/>
          <w:lang w:val="en-US"/>
        </w:rPr>
        <w:t>Journal</w:t>
      </w:r>
      <w:r w:rsidRPr="00D95C7A">
        <w:rPr>
          <w:sz w:val="23"/>
          <w:szCs w:val="23"/>
          <w:lang w:val="en-US"/>
        </w:rPr>
        <w:t xml:space="preserve">, </w:t>
      </w:r>
      <w:r w:rsidRPr="00D95C7A">
        <w:rPr>
          <w:i/>
          <w:iCs/>
          <w:sz w:val="23"/>
          <w:szCs w:val="23"/>
          <w:lang w:val="en-US"/>
        </w:rPr>
        <w:t>1</w:t>
      </w:r>
      <w:r w:rsidRPr="00D95C7A">
        <w:rPr>
          <w:sz w:val="23"/>
          <w:szCs w:val="23"/>
          <w:lang w:val="en-US"/>
        </w:rPr>
        <w:t>, 323–336. https://doi.org/10.1100/TSW.2001.58</w:t>
      </w:r>
      <w:r>
        <w:rPr>
          <w:sz w:val="23"/>
          <w:szCs w:val="23"/>
          <w:lang w:val="en-US"/>
        </w:rPr>
        <w:t xml:space="preserve"> </w:t>
      </w:r>
    </w:p>
    <w:p w:rsidR="00601F0D" w:rsidRPr="006E5974" w:rsidRDefault="00601F0D" w:rsidP="00223F40">
      <w:pPr>
        <w:rPr>
          <w:lang w:val="en-US"/>
        </w:rPr>
      </w:pPr>
      <w:r>
        <w:rPr>
          <w:lang w:val="en-US"/>
        </w:rPr>
        <w:t>Morley, J.E., Vellas, B., Abellan van Kan, G., Anker, S.,D., Bauer, J.M., Bernabei, R., Cesari, M., Chumlea, W.C., Doehmer, W., Evans J., Fried, L.P., Guralnik, J.M., Katz, P.R., Malmstrom, T.K., McCarter, R.J., Gutierrez Roblero, L.M., Rockwood, K., Von H</w:t>
      </w:r>
      <w:r w:rsidR="00D654D0">
        <w:rPr>
          <w:lang w:val="en-US"/>
        </w:rPr>
        <w:t xml:space="preserve">aeahling, S., Vandewoude, M.F. &amp; Walston, J. (2013). Frailty consensus: a call to action. </w:t>
      </w:r>
      <w:r w:rsidR="00D654D0" w:rsidRPr="00D654D0">
        <w:rPr>
          <w:i/>
          <w:lang w:val="en-US"/>
        </w:rPr>
        <w:t>Journal of the American Medical Directors Association, 14(6)</w:t>
      </w:r>
      <w:r w:rsidR="00D654D0">
        <w:rPr>
          <w:lang w:val="en-US"/>
        </w:rPr>
        <w:t xml:space="preserve">, 392-397. </w:t>
      </w:r>
      <w:r w:rsidR="00D45DD1" w:rsidRPr="006E5974">
        <w:rPr>
          <w:lang w:val="en-US"/>
        </w:rPr>
        <w:t>https://doi.org/10.1016/J.JAMDA.2013.03.022</w:t>
      </w:r>
    </w:p>
    <w:p w:rsidR="008225D2" w:rsidRDefault="008225D2" w:rsidP="00D45DD1">
      <w:pPr>
        <w:rPr>
          <w:sz w:val="23"/>
          <w:szCs w:val="23"/>
        </w:rPr>
      </w:pPr>
      <w:r w:rsidRPr="008225D2">
        <w:rPr>
          <w:sz w:val="23"/>
          <w:szCs w:val="23"/>
          <w:lang w:val="en-US"/>
        </w:rPr>
        <w:t xml:space="preserve">Mukamal, K. J., Kuller, L. H., Fitzpatrick, A. L., Longstreth, W. T., Mittleman, M. A., &amp;Siscovick, D. S. (2003). </w:t>
      </w:r>
      <w:proofErr w:type="gramStart"/>
      <w:r w:rsidRPr="008225D2">
        <w:rPr>
          <w:sz w:val="23"/>
          <w:szCs w:val="23"/>
          <w:lang w:val="en-US"/>
        </w:rPr>
        <w:t>Prospective study of alcohol consumption and risk of dementia in older adults.</w:t>
      </w:r>
      <w:proofErr w:type="gramEnd"/>
      <w:r w:rsidRPr="008225D2">
        <w:rPr>
          <w:sz w:val="23"/>
          <w:szCs w:val="23"/>
          <w:lang w:val="en-US"/>
        </w:rPr>
        <w:t xml:space="preserve"> </w:t>
      </w:r>
      <w:r>
        <w:rPr>
          <w:i/>
          <w:iCs/>
          <w:sz w:val="23"/>
          <w:szCs w:val="23"/>
        </w:rPr>
        <w:t>JAMA, 289</w:t>
      </w:r>
      <w:r>
        <w:rPr>
          <w:sz w:val="23"/>
          <w:szCs w:val="23"/>
        </w:rPr>
        <w:t xml:space="preserve">(11), 1405-1413. </w:t>
      </w:r>
      <w:r w:rsidRPr="008225D2">
        <w:rPr>
          <w:sz w:val="23"/>
          <w:szCs w:val="23"/>
        </w:rPr>
        <w:t>https://doi.org/10.1001/jama.289.11.1405</w:t>
      </w:r>
    </w:p>
    <w:p w:rsidR="00BD651A" w:rsidRDefault="00BD651A" w:rsidP="00D45DD1">
      <w:pPr>
        <w:rPr>
          <w:sz w:val="23"/>
          <w:szCs w:val="23"/>
          <w:lang w:val="en-US"/>
        </w:rPr>
      </w:pPr>
      <w:proofErr w:type="gramStart"/>
      <w:r w:rsidRPr="00BD651A">
        <w:rPr>
          <w:sz w:val="23"/>
          <w:szCs w:val="23"/>
          <w:lang w:val="en-US"/>
        </w:rPr>
        <w:t>Mulasso, A., Roppolo, M., Giannotta, F., &amp; Rabaglietti, E. (2016).</w:t>
      </w:r>
      <w:proofErr w:type="gramEnd"/>
      <w:r w:rsidRPr="00BD651A">
        <w:rPr>
          <w:sz w:val="23"/>
          <w:szCs w:val="23"/>
          <w:lang w:val="en-US"/>
        </w:rPr>
        <w:t xml:space="preserve"> Associations of frailty and psychosocial factors with autonomy in daily activities: a cross-sectional study in Italian community-dwelling older adults. </w:t>
      </w:r>
      <w:r w:rsidRPr="00D102A9">
        <w:rPr>
          <w:i/>
          <w:iCs/>
          <w:sz w:val="23"/>
          <w:szCs w:val="23"/>
          <w:lang w:val="en-US"/>
        </w:rPr>
        <w:t>Clinical Interventions in Aging</w:t>
      </w:r>
      <w:r w:rsidRPr="00D102A9">
        <w:rPr>
          <w:sz w:val="23"/>
          <w:szCs w:val="23"/>
          <w:lang w:val="en-US"/>
        </w:rPr>
        <w:t xml:space="preserve">, </w:t>
      </w:r>
      <w:r w:rsidRPr="00D102A9">
        <w:rPr>
          <w:i/>
          <w:iCs/>
          <w:sz w:val="23"/>
          <w:szCs w:val="23"/>
          <w:lang w:val="en-US"/>
        </w:rPr>
        <w:t>11</w:t>
      </w:r>
      <w:r w:rsidRPr="00D102A9">
        <w:rPr>
          <w:sz w:val="23"/>
          <w:szCs w:val="23"/>
          <w:lang w:val="en-US"/>
        </w:rPr>
        <w:t>, 37–45. https://doi.org/10.2147/CIA.S95162</w:t>
      </w:r>
    </w:p>
    <w:p w:rsidR="00373553" w:rsidRPr="00373553" w:rsidRDefault="00373553" w:rsidP="00D45DD1">
      <w:pPr>
        <w:rPr>
          <w:lang w:val="en-US"/>
        </w:rPr>
      </w:pPr>
      <w:proofErr w:type="gramStart"/>
      <w:r w:rsidRPr="00373553">
        <w:rPr>
          <w:sz w:val="23"/>
          <w:szCs w:val="23"/>
          <w:lang w:val="en-US"/>
        </w:rPr>
        <w:lastRenderedPageBreak/>
        <w:t>Nakakubo, S., Makizako, H., Doi, T., Tsutsumimoto, K., Hotta, R., Lee, S., Lee, S., Bae, S., Makino, K., Suzuki, T., &amp; Shimada, H. (2018).</w:t>
      </w:r>
      <w:proofErr w:type="gramEnd"/>
      <w:r w:rsidRPr="00373553">
        <w:rPr>
          <w:sz w:val="23"/>
          <w:szCs w:val="23"/>
          <w:lang w:val="en-US"/>
        </w:rPr>
        <w:t xml:space="preserve"> </w:t>
      </w:r>
      <w:proofErr w:type="gramStart"/>
      <w:r w:rsidRPr="00373553">
        <w:rPr>
          <w:sz w:val="23"/>
          <w:szCs w:val="23"/>
          <w:lang w:val="en-US"/>
        </w:rPr>
        <w:t>Long and Short Sleep Duration and Physical Frailty in Community-Dwelling Older Adults.</w:t>
      </w:r>
      <w:proofErr w:type="gramEnd"/>
      <w:r w:rsidRPr="00373553">
        <w:rPr>
          <w:sz w:val="23"/>
          <w:szCs w:val="23"/>
          <w:lang w:val="en-US"/>
        </w:rPr>
        <w:t xml:space="preserve"> </w:t>
      </w:r>
      <w:proofErr w:type="gramStart"/>
      <w:r w:rsidRPr="00373553">
        <w:rPr>
          <w:i/>
          <w:iCs/>
          <w:sz w:val="23"/>
          <w:szCs w:val="23"/>
          <w:lang w:val="en-US"/>
        </w:rPr>
        <w:t>The Journal of Nutrition, Health &amp; Aging</w:t>
      </w:r>
      <w:r w:rsidRPr="00373553">
        <w:rPr>
          <w:sz w:val="23"/>
          <w:szCs w:val="23"/>
          <w:lang w:val="en-US"/>
        </w:rPr>
        <w:t xml:space="preserve">, </w:t>
      </w:r>
      <w:r w:rsidRPr="00373553">
        <w:rPr>
          <w:i/>
          <w:iCs/>
          <w:sz w:val="23"/>
          <w:szCs w:val="23"/>
          <w:lang w:val="en-US"/>
        </w:rPr>
        <w:t>22</w:t>
      </w:r>
      <w:r w:rsidRPr="00373553">
        <w:rPr>
          <w:sz w:val="23"/>
          <w:szCs w:val="23"/>
          <w:lang w:val="en-US"/>
        </w:rPr>
        <w:t>(9).</w:t>
      </w:r>
      <w:proofErr w:type="gramEnd"/>
      <w:r w:rsidRPr="00373553">
        <w:rPr>
          <w:sz w:val="23"/>
          <w:szCs w:val="23"/>
          <w:lang w:val="en-US"/>
        </w:rPr>
        <w:t xml:space="preserve"> https://doi.org/10.1007/S12603-018-1116-3</w:t>
      </w:r>
    </w:p>
    <w:p w:rsidR="00E91263" w:rsidRPr="00E91263" w:rsidRDefault="00E91263" w:rsidP="00D45DD1">
      <w:pPr>
        <w:rPr>
          <w:lang w:val="en-US"/>
        </w:rPr>
      </w:pPr>
      <w:proofErr w:type="gramStart"/>
      <w:r w:rsidRPr="00E91263">
        <w:rPr>
          <w:sz w:val="23"/>
          <w:szCs w:val="23"/>
          <w:lang w:val="en-US"/>
        </w:rPr>
        <w:t>Netz Y., Axelrad S &amp; Argov E. (2007).</w:t>
      </w:r>
      <w:proofErr w:type="gramEnd"/>
      <w:r w:rsidRPr="00E91263">
        <w:rPr>
          <w:sz w:val="23"/>
          <w:szCs w:val="23"/>
          <w:lang w:val="en-US"/>
        </w:rPr>
        <w:t xml:space="preserve"> </w:t>
      </w:r>
      <w:proofErr w:type="gramStart"/>
      <w:r w:rsidRPr="00E91263">
        <w:rPr>
          <w:sz w:val="23"/>
          <w:szCs w:val="23"/>
          <w:lang w:val="en-US"/>
        </w:rPr>
        <w:t xml:space="preserve">“Group physical activity for demented older adults feasibility and effectiveness”, </w:t>
      </w:r>
      <w:r w:rsidRPr="00E91263">
        <w:rPr>
          <w:i/>
          <w:sz w:val="23"/>
          <w:szCs w:val="23"/>
          <w:lang w:val="en-US"/>
        </w:rPr>
        <w:t>Clinical rehabilitation, 21</w:t>
      </w:r>
      <w:r w:rsidRPr="00E91263">
        <w:rPr>
          <w:sz w:val="23"/>
          <w:szCs w:val="23"/>
          <w:lang w:val="en-US"/>
        </w:rPr>
        <w:t xml:space="preserve"> (11), 977-986.</w:t>
      </w:r>
      <w:proofErr w:type="gramEnd"/>
    </w:p>
    <w:p w:rsidR="00D45DD1" w:rsidRPr="006E5974" w:rsidRDefault="00D45DD1" w:rsidP="00D45DD1">
      <w:pPr>
        <w:rPr>
          <w:lang w:val="en-US"/>
        </w:rPr>
      </w:pPr>
      <w:r w:rsidRPr="00D45DD1">
        <w:rPr>
          <w:lang w:val="en-US"/>
        </w:rPr>
        <w:t xml:space="preserve">Nguyen, T., Cumming, R., &amp; Hilmer, S. (2015). </w:t>
      </w:r>
      <w:proofErr w:type="gramStart"/>
      <w:r w:rsidRPr="00D45DD1">
        <w:rPr>
          <w:lang w:val="en-US"/>
        </w:rPr>
        <w:t xml:space="preserve">A </w:t>
      </w:r>
      <w:r>
        <w:rPr>
          <w:lang w:val="en-US"/>
        </w:rPr>
        <w:t>Review of Frailty in Developing</w:t>
      </w:r>
      <w:r w:rsidRPr="00D45DD1">
        <w:rPr>
          <w:lang w:val="en-US"/>
        </w:rPr>
        <w:t xml:space="preserve"> Countries.</w:t>
      </w:r>
      <w:proofErr w:type="gramEnd"/>
      <w:r w:rsidRPr="00D45DD1">
        <w:rPr>
          <w:lang w:val="en-US"/>
        </w:rPr>
        <w:t xml:space="preserve"> </w:t>
      </w:r>
      <w:r w:rsidRPr="00D45DD1">
        <w:rPr>
          <w:i/>
          <w:lang w:val="en-US"/>
        </w:rPr>
        <w:t>The Journal of Nutrition, Health &amp; Aging, 19(9)</w:t>
      </w:r>
      <w:r w:rsidRPr="00D45DD1">
        <w:rPr>
          <w:lang w:val="en-US"/>
        </w:rPr>
        <w:t xml:space="preserve">, 941–946. </w:t>
      </w:r>
      <w:r w:rsidR="006E5974" w:rsidRPr="006E5974">
        <w:rPr>
          <w:lang w:val="en-US"/>
        </w:rPr>
        <w:t>https://doi.org/10.1007/S12603-015-0503-2</w:t>
      </w:r>
    </w:p>
    <w:p w:rsidR="006E5974" w:rsidRPr="006E5974" w:rsidRDefault="006E5974" w:rsidP="00D45DD1">
      <w:pPr>
        <w:rPr>
          <w:lang w:val="en-US"/>
        </w:rPr>
      </w:pPr>
      <w:proofErr w:type="gramStart"/>
      <w:r w:rsidRPr="006E5974">
        <w:rPr>
          <w:lang w:val="en-US"/>
        </w:rPr>
        <w:t>Ntanasi, E., Yannakoulia, M., Kosmidis, M., Anastasiou, C., Dardiotis, E., Hadjigeorgiou, G., Sakka, P., &amp; Scarmeas, N. (2018).</w:t>
      </w:r>
      <w:proofErr w:type="gramEnd"/>
      <w:r w:rsidRPr="006E5974">
        <w:rPr>
          <w:lang w:val="en-US"/>
        </w:rPr>
        <w:t xml:space="preserve"> </w:t>
      </w:r>
      <w:proofErr w:type="gramStart"/>
      <w:r w:rsidRPr="006E5974">
        <w:rPr>
          <w:lang w:val="en-US"/>
        </w:rPr>
        <w:t>Adherence to Mediterranean Diet and Frailty.</w:t>
      </w:r>
      <w:proofErr w:type="gramEnd"/>
      <w:r w:rsidRPr="006E5974">
        <w:rPr>
          <w:lang w:val="en-US"/>
        </w:rPr>
        <w:t xml:space="preserve"> </w:t>
      </w:r>
      <w:proofErr w:type="gramStart"/>
      <w:r w:rsidRPr="006E5974">
        <w:rPr>
          <w:i/>
          <w:lang w:val="en-US"/>
        </w:rPr>
        <w:t>Journal of the American Medical Directors Association, 19(</w:t>
      </w:r>
      <w:r w:rsidRPr="006E5974">
        <w:rPr>
          <w:lang w:val="en-US"/>
        </w:rPr>
        <w:t>4), 315-322.e2.</w:t>
      </w:r>
      <w:proofErr w:type="gramEnd"/>
      <w:r w:rsidRPr="006E5974">
        <w:rPr>
          <w:lang w:val="en-US"/>
        </w:rPr>
        <w:t xml:space="preserve"> https://doi.org/10.1016/J.JAMDA.2017.11.005</w:t>
      </w:r>
    </w:p>
    <w:p w:rsidR="0088112A" w:rsidRDefault="0088112A" w:rsidP="0088112A">
      <w:pPr>
        <w:rPr>
          <w:lang w:val="en-US"/>
        </w:rPr>
      </w:pPr>
      <w:r w:rsidRPr="0088112A">
        <w:rPr>
          <w:lang w:val="en-US"/>
        </w:rPr>
        <w:t>Panza F, Lozupone M, Solfrizzi V, et al. Dif</w:t>
      </w:r>
      <w:r>
        <w:rPr>
          <w:lang w:val="en-US"/>
        </w:rPr>
        <w:t xml:space="preserve">ferent cognitive frailty models </w:t>
      </w:r>
      <w:r w:rsidRPr="0088112A">
        <w:rPr>
          <w:lang w:val="en-US"/>
        </w:rPr>
        <w:t>and health- and cognitive-rela</w:t>
      </w:r>
      <w:r>
        <w:rPr>
          <w:lang w:val="en-US"/>
        </w:rPr>
        <w:t xml:space="preserve">ted outcomes in older age: from </w:t>
      </w:r>
      <w:r w:rsidRPr="0088112A">
        <w:rPr>
          <w:lang w:val="en-US"/>
        </w:rPr>
        <w:t xml:space="preserve">epidemiology to prevention. </w:t>
      </w:r>
      <w:r w:rsidRPr="0088112A">
        <w:rPr>
          <w:i/>
          <w:lang w:val="en-US"/>
        </w:rPr>
        <w:t>J Alzheimers Dis 2018; 62:</w:t>
      </w:r>
      <w:r w:rsidRPr="0088112A">
        <w:rPr>
          <w:lang w:val="en-US"/>
        </w:rPr>
        <w:t xml:space="preserve"> 993–1012.</w:t>
      </w:r>
    </w:p>
    <w:p w:rsidR="00695E13" w:rsidRPr="0088112A" w:rsidRDefault="00695E13" w:rsidP="0088112A">
      <w:pPr>
        <w:rPr>
          <w:lang w:val="en-US"/>
        </w:rPr>
      </w:pPr>
      <w:r>
        <w:rPr>
          <w:lang w:val="en-US"/>
        </w:rPr>
        <w:t xml:space="preserve">Panza F., Lozupone M, Logroscino G, Understanding frailty to predict and prevent dementia, </w:t>
      </w:r>
      <w:proofErr w:type="gramStart"/>
      <w:r w:rsidRPr="00695E13">
        <w:rPr>
          <w:i/>
          <w:lang w:val="en-US"/>
        </w:rPr>
        <w:t>The</w:t>
      </w:r>
      <w:proofErr w:type="gramEnd"/>
      <w:r w:rsidRPr="00695E13">
        <w:rPr>
          <w:i/>
          <w:lang w:val="en-US"/>
        </w:rPr>
        <w:t xml:space="preserve"> lancet, Vol 18</w:t>
      </w:r>
      <w:r>
        <w:rPr>
          <w:lang w:val="en-US"/>
        </w:rPr>
        <w:t>, February 2019, p. 133-4</w:t>
      </w:r>
    </w:p>
    <w:p w:rsidR="00554EBC" w:rsidRPr="00807B6B" w:rsidRDefault="00554EBC" w:rsidP="00223F40">
      <w:pPr>
        <w:rPr>
          <w:sz w:val="23"/>
          <w:szCs w:val="23"/>
          <w:lang w:val="en-US"/>
        </w:rPr>
      </w:pPr>
      <w:proofErr w:type="gramStart"/>
      <w:r w:rsidRPr="00554EBC">
        <w:rPr>
          <w:sz w:val="23"/>
          <w:szCs w:val="23"/>
          <w:lang w:val="en-US"/>
        </w:rPr>
        <w:t>Papathanasiou, I. V, Rammogianni, A., Papagiannis, D., Malli, F., Mantzaris, D. C., Tsaras, K., Kontopoulou, L., Kaba, E., Kelesi, M., &amp; Fradelos, E. C. (2021).</w:t>
      </w:r>
      <w:proofErr w:type="gramEnd"/>
      <w:r w:rsidRPr="00554EBC">
        <w:rPr>
          <w:sz w:val="23"/>
          <w:szCs w:val="23"/>
          <w:lang w:val="en-US"/>
        </w:rPr>
        <w:t xml:space="preserve"> Frailty and Quality of Life </w:t>
      </w:r>
      <w:proofErr w:type="gramStart"/>
      <w:r w:rsidRPr="00554EBC">
        <w:rPr>
          <w:sz w:val="23"/>
          <w:szCs w:val="23"/>
          <w:lang w:val="en-US"/>
        </w:rPr>
        <w:t>Among</w:t>
      </w:r>
      <w:proofErr w:type="gramEnd"/>
      <w:r w:rsidRPr="00554EBC">
        <w:rPr>
          <w:sz w:val="23"/>
          <w:szCs w:val="23"/>
          <w:lang w:val="en-US"/>
        </w:rPr>
        <w:t xml:space="preserve"> Community-Dwelling Older Adults. </w:t>
      </w:r>
      <w:proofErr w:type="gramStart"/>
      <w:r w:rsidRPr="00807B6B">
        <w:rPr>
          <w:i/>
          <w:iCs/>
          <w:sz w:val="23"/>
          <w:szCs w:val="23"/>
          <w:lang w:val="en-US"/>
        </w:rPr>
        <w:t>Cureus</w:t>
      </w:r>
      <w:r w:rsidRPr="00807B6B">
        <w:rPr>
          <w:sz w:val="23"/>
          <w:szCs w:val="23"/>
          <w:lang w:val="en-US"/>
        </w:rPr>
        <w:t xml:space="preserve">, </w:t>
      </w:r>
      <w:r w:rsidRPr="00807B6B">
        <w:rPr>
          <w:i/>
          <w:iCs/>
          <w:sz w:val="23"/>
          <w:szCs w:val="23"/>
          <w:lang w:val="en-US"/>
        </w:rPr>
        <w:t>13</w:t>
      </w:r>
      <w:r w:rsidRPr="00807B6B">
        <w:rPr>
          <w:sz w:val="23"/>
          <w:szCs w:val="23"/>
          <w:lang w:val="en-US"/>
        </w:rPr>
        <w:t>(2).</w:t>
      </w:r>
      <w:proofErr w:type="gramEnd"/>
      <w:r w:rsidRPr="00807B6B">
        <w:rPr>
          <w:sz w:val="23"/>
          <w:szCs w:val="23"/>
          <w:lang w:val="en-US"/>
        </w:rPr>
        <w:t xml:space="preserve"> https://doi.org/10.7759/CUREUS.13049</w:t>
      </w:r>
    </w:p>
    <w:p w:rsidR="00807B6B" w:rsidRPr="00936D94" w:rsidRDefault="00807B6B" w:rsidP="00223F40">
      <w:pPr>
        <w:rPr>
          <w:sz w:val="23"/>
          <w:szCs w:val="23"/>
          <w:lang w:val="en-US"/>
        </w:rPr>
      </w:pPr>
      <w:r w:rsidRPr="00807B6B">
        <w:rPr>
          <w:sz w:val="23"/>
          <w:szCs w:val="23"/>
          <w:lang w:val="en-US"/>
        </w:rPr>
        <w:t xml:space="preserve">Pecheva, M., Phillips, M., Hull, P., Carrothers A, O. R., &amp; Queally, J. M. (2020). </w:t>
      </w:r>
      <w:proofErr w:type="gramStart"/>
      <w:r w:rsidRPr="00807B6B">
        <w:rPr>
          <w:sz w:val="23"/>
          <w:szCs w:val="23"/>
          <w:lang w:val="en-US"/>
        </w:rPr>
        <w:t>The impact of frailty in major trauma in older patients.</w:t>
      </w:r>
      <w:proofErr w:type="gramEnd"/>
      <w:r w:rsidRPr="00807B6B">
        <w:rPr>
          <w:sz w:val="23"/>
          <w:szCs w:val="23"/>
          <w:lang w:val="en-US"/>
        </w:rPr>
        <w:t xml:space="preserve"> </w:t>
      </w:r>
      <w:r w:rsidRPr="00936D94">
        <w:rPr>
          <w:i/>
          <w:iCs/>
          <w:sz w:val="23"/>
          <w:szCs w:val="23"/>
          <w:lang w:val="en-US"/>
        </w:rPr>
        <w:t>Injury</w:t>
      </w:r>
      <w:r w:rsidRPr="00936D94">
        <w:rPr>
          <w:sz w:val="23"/>
          <w:szCs w:val="23"/>
          <w:lang w:val="en-US"/>
        </w:rPr>
        <w:t xml:space="preserve">, </w:t>
      </w:r>
      <w:r w:rsidRPr="00936D94">
        <w:rPr>
          <w:i/>
          <w:iCs/>
          <w:sz w:val="23"/>
          <w:szCs w:val="23"/>
          <w:lang w:val="en-US"/>
        </w:rPr>
        <w:t>51</w:t>
      </w:r>
      <w:r w:rsidRPr="00936D94">
        <w:rPr>
          <w:sz w:val="23"/>
          <w:szCs w:val="23"/>
          <w:lang w:val="en-US"/>
        </w:rPr>
        <w:t>(7), 1536–1542. https://doi.org/10.1016/J.INJURY.2020.04.045</w:t>
      </w:r>
    </w:p>
    <w:p w:rsidR="008225D2" w:rsidRPr="00B77B14" w:rsidRDefault="00B77B14" w:rsidP="00B77B14">
      <w:pPr>
        <w:rPr>
          <w:sz w:val="23"/>
          <w:szCs w:val="23"/>
          <w:lang w:val="en-US"/>
        </w:rPr>
      </w:pPr>
      <w:r>
        <w:rPr>
          <w:sz w:val="23"/>
          <w:szCs w:val="23"/>
          <w:lang w:val="en-US"/>
        </w:rPr>
        <w:t xml:space="preserve">Peterman-Rocha F., Lyall D., Cornejo E., Quinn T., K Ho F., Pell J., Morales CC, Associations between physical frailty and dementia incidence: a prospective study from Biobank, </w:t>
      </w:r>
      <w:r w:rsidRPr="00B77B14">
        <w:rPr>
          <w:i/>
          <w:sz w:val="23"/>
          <w:szCs w:val="23"/>
          <w:lang w:val="en-US"/>
        </w:rPr>
        <w:t>Lancet Healthy Longev 2020;</w:t>
      </w:r>
      <w:r>
        <w:rPr>
          <w:sz w:val="23"/>
          <w:szCs w:val="23"/>
          <w:lang w:val="en-US"/>
        </w:rPr>
        <w:t xml:space="preserve"> </w:t>
      </w:r>
      <w:r w:rsidRPr="00B77B14">
        <w:rPr>
          <w:sz w:val="23"/>
          <w:szCs w:val="23"/>
          <w:lang w:val="en-US"/>
        </w:rPr>
        <w:t>1: e58–68</w:t>
      </w:r>
    </w:p>
    <w:p w:rsidR="00936D94" w:rsidRPr="00936D94" w:rsidRDefault="00936D94" w:rsidP="00223F40">
      <w:pPr>
        <w:rPr>
          <w:sz w:val="23"/>
          <w:szCs w:val="23"/>
          <w:lang w:val="en-US"/>
        </w:rPr>
      </w:pPr>
      <w:proofErr w:type="gramStart"/>
      <w:r w:rsidRPr="00936D94">
        <w:rPr>
          <w:sz w:val="23"/>
          <w:szCs w:val="23"/>
          <w:lang w:val="en-US"/>
        </w:rPr>
        <w:t>Overshott, R., &amp; Burns, A. (2005).</w:t>
      </w:r>
      <w:proofErr w:type="gramEnd"/>
      <w:r w:rsidRPr="00936D94">
        <w:rPr>
          <w:sz w:val="23"/>
          <w:szCs w:val="23"/>
          <w:lang w:val="en-US"/>
        </w:rPr>
        <w:t xml:space="preserve"> </w:t>
      </w:r>
      <w:proofErr w:type="gramStart"/>
      <w:r w:rsidRPr="00936D94">
        <w:rPr>
          <w:i/>
          <w:sz w:val="23"/>
          <w:szCs w:val="23"/>
          <w:lang w:val="en-US"/>
        </w:rPr>
        <w:t>Treatment of dementia.</w:t>
      </w:r>
      <w:proofErr w:type="gramEnd"/>
      <w:r w:rsidRPr="00936D94">
        <w:rPr>
          <w:i/>
          <w:sz w:val="23"/>
          <w:szCs w:val="23"/>
          <w:lang w:val="en-US"/>
        </w:rPr>
        <w:t xml:space="preserve"> </w:t>
      </w:r>
      <w:proofErr w:type="gramStart"/>
      <w:r w:rsidRPr="00936D94">
        <w:rPr>
          <w:i/>
          <w:sz w:val="23"/>
          <w:szCs w:val="23"/>
          <w:lang w:val="en-US"/>
        </w:rPr>
        <w:t>Journal of Neurology, Neurosurgery &amp; Psychiatry, 76(</w:t>
      </w:r>
      <w:r w:rsidRPr="00936D94">
        <w:rPr>
          <w:sz w:val="23"/>
          <w:szCs w:val="23"/>
          <w:lang w:val="en-US"/>
        </w:rPr>
        <w:t>suppl 5), v53-v59.</w:t>
      </w:r>
      <w:proofErr w:type="gramEnd"/>
    </w:p>
    <w:p w:rsidR="008225D2" w:rsidRDefault="008225D2" w:rsidP="00223F40">
      <w:pPr>
        <w:rPr>
          <w:sz w:val="23"/>
          <w:szCs w:val="23"/>
        </w:rPr>
      </w:pPr>
      <w:r w:rsidRPr="008225D2">
        <w:rPr>
          <w:sz w:val="23"/>
          <w:szCs w:val="23"/>
          <w:lang w:val="en-US"/>
        </w:rPr>
        <w:t xml:space="preserve">Ott, A., Slooter, A. J. C., Hofman, A., van Harskamp, F., Witteman, J. C. M., &amp;Breteler, M. M. B. (1998). Smoking and risk of dementia and Alzheimer's disease in a population-based cohort study: The Rotterdam Study. </w:t>
      </w:r>
      <w:r>
        <w:rPr>
          <w:i/>
          <w:iCs/>
          <w:sz w:val="23"/>
          <w:szCs w:val="23"/>
        </w:rPr>
        <w:t>The Lancet, 351</w:t>
      </w:r>
      <w:r>
        <w:rPr>
          <w:sz w:val="23"/>
          <w:szCs w:val="23"/>
        </w:rPr>
        <w:t xml:space="preserve">(9119), 1840-1843. </w:t>
      </w:r>
      <w:r w:rsidRPr="008225D2">
        <w:rPr>
          <w:sz w:val="23"/>
          <w:szCs w:val="23"/>
        </w:rPr>
        <w:t>https://doi.org/10.1016/S0140-6736(97)07541-7</w:t>
      </w:r>
    </w:p>
    <w:p w:rsidR="00E91263" w:rsidRPr="00E91263" w:rsidRDefault="00E91263" w:rsidP="00223F40">
      <w:pPr>
        <w:rPr>
          <w:sz w:val="23"/>
          <w:szCs w:val="23"/>
          <w:lang w:val="en-US"/>
        </w:rPr>
      </w:pPr>
      <w:r w:rsidRPr="00E91263">
        <w:rPr>
          <w:sz w:val="23"/>
          <w:szCs w:val="23"/>
          <w:lang w:val="en-US"/>
        </w:rPr>
        <w:t xml:space="preserve">Raglio A., Bellelli G., Traficante D. et al. (2008). </w:t>
      </w:r>
      <w:proofErr w:type="gramStart"/>
      <w:r w:rsidRPr="00E91263">
        <w:rPr>
          <w:sz w:val="23"/>
          <w:szCs w:val="23"/>
          <w:lang w:val="en-US"/>
        </w:rPr>
        <w:t xml:space="preserve">“Efficacy of music therapy in the treatment of behavioral and psychiatric symptoms of dementia”, </w:t>
      </w:r>
      <w:r w:rsidRPr="00E91263">
        <w:rPr>
          <w:i/>
          <w:iCs/>
          <w:sz w:val="23"/>
          <w:szCs w:val="23"/>
          <w:lang w:val="en-US"/>
        </w:rPr>
        <w:t>Alzheimer Disease &amp; Associated Disorders</w:t>
      </w:r>
      <w:r w:rsidRPr="00E91263">
        <w:rPr>
          <w:sz w:val="23"/>
          <w:szCs w:val="23"/>
          <w:lang w:val="en-US"/>
        </w:rPr>
        <w:t>, 22 (2), 158-162.</w:t>
      </w:r>
      <w:proofErr w:type="gramEnd"/>
    </w:p>
    <w:p w:rsidR="0018626C" w:rsidRPr="00D102A9" w:rsidRDefault="0018626C" w:rsidP="00223F40">
      <w:pPr>
        <w:rPr>
          <w:sz w:val="23"/>
          <w:szCs w:val="23"/>
          <w:lang w:val="en-US"/>
        </w:rPr>
      </w:pPr>
      <w:r w:rsidRPr="0018626C">
        <w:rPr>
          <w:sz w:val="23"/>
          <w:szCs w:val="23"/>
          <w:lang w:val="en-US"/>
        </w:rPr>
        <w:lastRenderedPageBreak/>
        <w:t>Rahman, A., Schelbaum, E., Hoffman, K., Diaz, I., Hristov, H., Andrews, R</w:t>
      </w:r>
      <w:proofErr w:type="gramStart"/>
      <w:r w:rsidRPr="0018626C">
        <w:rPr>
          <w:sz w:val="23"/>
          <w:szCs w:val="23"/>
          <w:lang w:val="en-US"/>
        </w:rPr>
        <w:t>., ...</w:t>
      </w:r>
      <w:proofErr w:type="gramEnd"/>
      <w:r w:rsidRPr="0018626C">
        <w:rPr>
          <w:sz w:val="23"/>
          <w:szCs w:val="23"/>
          <w:lang w:val="en-US"/>
        </w:rPr>
        <w:t xml:space="preserve"> &amp;Fillit, H. M. (2019). Sex-driven modifiers of Alzheimer risk: A multimodality brain imaging study. </w:t>
      </w:r>
      <w:proofErr w:type="gramStart"/>
      <w:r w:rsidRPr="00D102A9">
        <w:rPr>
          <w:i/>
          <w:iCs/>
          <w:sz w:val="23"/>
          <w:szCs w:val="23"/>
          <w:lang w:val="en-US"/>
        </w:rPr>
        <w:t>Neurology, 92</w:t>
      </w:r>
      <w:r w:rsidRPr="00D102A9">
        <w:rPr>
          <w:sz w:val="23"/>
          <w:szCs w:val="23"/>
          <w:lang w:val="en-US"/>
        </w:rPr>
        <w:t>(13), e1527-e1539.</w:t>
      </w:r>
      <w:proofErr w:type="gramEnd"/>
      <w:r w:rsidRPr="00D102A9">
        <w:rPr>
          <w:sz w:val="23"/>
          <w:szCs w:val="23"/>
          <w:lang w:val="en-US"/>
        </w:rPr>
        <w:t xml:space="preserve"> https://doi.org/10.1212/WNL.0000000000007084 </w:t>
      </w:r>
    </w:p>
    <w:p w:rsidR="000D71E4" w:rsidRPr="000D71E4" w:rsidRDefault="000D71E4" w:rsidP="00223F40">
      <w:pPr>
        <w:rPr>
          <w:lang w:val="en-US"/>
        </w:rPr>
      </w:pPr>
      <w:proofErr w:type="gramStart"/>
      <w:r w:rsidRPr="000D71E4">
        <w:rPr>
          <w:sz w:val="23"/>
          <w:szCs w:val="23"/>
          <w:lang w:val="en-US"/>
        </w:rPr>
        <w:t>Raîche, M., Hébert, R., &amp; Dubois, M. F. (2008).</w:t>
      </w:r>
      <w:proofErr w:type="gramEnd"/>
      <w:r w:rsidRPr="000D71E4">
        <w:rPr>
          <w:sz w:val="23"/>
          <w:szCs w:val="23"/>
          <w:lang w:val="en-US"/>
        </w:rPr>
        <w:t xml:space="preserve"> PRISMA-7: a case-finding tool to identify older adults with moderate to severe disabilities. </w:t>
      </w:r>
      <w:r w:rsidRPr="000D71E4">
        <w:rPr>
          <w:i/>
          <w:iCs/>
          <w:sz w:val="23"/>
          <w:szCs w:val="23"/>
          <w:lang w:val="en-US"/>
        </w:rPr>
        <w:t>Archives of Gerontology and Geriatrics</w:t>
      </w:r>
      <w:r w:rsidRPr="000D71E4">
        <w:rPr>
          <w:sz w:val="23"/>
          <w:szCs w:val="23"/>
          <w:lang w:val="en-US"/>
        </w:rPr>
        <w:t xml:space="preserve">, </w:t>
      </w:r>
      <w:r w:rsidRPr="000D71E4">
        <w:rPr>
          <w:i/>
          <w:iCs/>
          <w:sz w:val="23"/>
          <w:szCs w:val="23"/>
          <w:lang w:val="en-US"/>
        </w:rPr>
        <w:t>47</w:t>
      </w:r>
      <w:r w:rsidRPr="000D71E4">
        <w:rPr>
          <w:sz w:val="23"/>
          <w:szCs w:val="23"/>
          <w:lang w:val="en-US"/>
        </w:rPr>
        <w:t>(1), 9–18. https://doi.org/10.1016/J.ARCHGER.2007.06.004</w:t>
      </w:r>
    </w:p>
    <w:p w:rsidR="0096748E" w:rsidRDefault="0096748E" w:rsidP="00223F40">
      <w:pPr>
        <w:rPr>
          <w:lang w:val="en-US"/>
        </w:rPr>
      </w:pPr>
      <w:proofErr w:type="gramStart"/>
      <w:r w:rsidRPr="0096748E">
        <w:rPr>
          <w:sz w:val="23"/>
          <w:szCs w:val="23"/>
          <w:lang w:val="en-US"/>
        </w:rPr>
        <w:t>Reitz, C., &amp; Mayeux, R. (2014).</w:t>
      </w:r>
      <w:proofErr w:type="gramEnd"/>
      <w:r w:rsidRPr="0096748E">
        <w:rPr>
          <w:sz w:val="23"/>
          <w:szCs w:val="23"/>
          <w:lang w:val="en-US"/>
        </w:rPr>
        <w:t xml:space="preserve"> Alzheimer disease: epidemiology, diagnostic criteria, risk factors and biomarkers. </w:t>
      </w:r>
      <w:proofErr w:type="gramStart"/>
      <w:r w:rsidRPr="00D102A9">
        <w:rPr>
          <w:i/>
          <w:sz w:val="23"/>
          <w:szCs w:val="23"/>
          <w:lang w:val="en-US"/>
        </w:rPr>
        <w:t>Biochemical pharmacology, 88</w:t>
      </w:r>
      <w:r w:rsidRPr="00D102A9">
        <w:rPr>
          <w:sz w:val="23"/>
          <w:szCs w:val="23"/>
          <w:lang w:val="en-US"/>
        </w:rPr>
        <w:t>(4), 640- 651.</w:t>
      </w:r>
      <w:proofErr w:type="gramEnd"/>
    </w:p>
    <w:p w:rsidR="002834C4" w:rsidRDefault="002834C4" w:rsidP="00223F40">
      <w:pPr>
        <w:rPr>
          <w:lang w:val="en-US"/>
        </w:rPr>
      </w:pPr>
      <w:r>
        <w:rPr>
          <w:lang w:val="en-US"/>
        </w:rPr>
        <w:t xml:space="preserve">Rockwood K, Fox RA, Stolee P, Robertson D, Beattie BL. </w:t>
      </w:r>
      <w:r w:rsidRPr="003B7630">
        <w:rPr>
          <w:lang w:val="en-US"/>
        </w:rPr>
        <w:t>Frailty in elderly people: an evolving concept</w:t>
      </w:r>
      <w:r w:rsidRPr="003B7630">
        <w:rPr>
          <w:i/>
          <w:lang w:val="en-US"/>
        </w:rPr>
        <w:t xml:space="preserve">. </w:t>
      </w:r>
      <w:proofErr w:type="gramStart"/>
      <w:r w:rsidRPr="003B7630">
        <w:rPr>
          <w:i/>
          <w:lang w:val="en-US"/>
        </w:rPr>
        <w:t>CMAJ.</w:t>
      </w:r>
      <w:proofErr w:type="gramEnd"/>
      <w:r>
        <w:rPr>
          <w:lang w:val="en-US"/>
        </w:rPr>
        <w:t xml:space="preserve"> 1994</w:t>
      </w:r>
      <w:proofErr w:type="gramStart"/>
      <w:r>
        <w:rPr>
          <w:lang w:val="en-US"/>
        </w:rPr>
        <w:t>;150</w:t>
      </w:r>
      <w:proofErr w:type="gramEnd"/>
      <w:r>
        <w:rPr>
          <w:lang w:val="en-US"/>
        </w:rPr>
        <w:t>(4):489.</w:t>
      </w:r>
    </w:p>
    <w:p w:rsidR="00B803D9" w:rsidRPr="00511D51" w:rsidRDefault="00B803D9" w:rsidP="00223F40">
      <w:pPr>
        <w:rPr>
          <w:sz w:val="23"/>
          <w:szCs w:val="23"/>
          <w:lang w:val="en-US"/>
        </w:rPr>
      </w:pPr>
      <w:proofErr w:type="gramStart"/>
      <w:r w:rsidRPr="00B803D9">
        <w:rPr>
          <w:sz w:val="23"/>
          <w:szCs w:val="23"/>
          <w:lang w:val="en-US"/>
        </w:rPr>
        <w:t>Rockwood, K., Silvius, J., &amp; Fox, R. (1998).</w:t>
      </w:r>
      <w:proofErr w:type="gramEnd"/>
      <w:r w:rsidRPr="00B803D9">
        <w:rPr>
          <w:sz w:val="23"/>
          <w:szCs w:val="23"/>
          <w:lang w:val="en-US"/>
        </w:rPr>
        <w:t xml:space="preserve"> </w:t>
      </w:r>
      <w:proofErr w:type="gramStart"/>
      <w:r w:rsidRPr="00B803D9">
        <w:rPr>
          <w:sz w:val="23"/>
          <w:szCs w:val="23"/>
          <w:lang w:val="en-US"/>
        </w:rPr>
        <w:t>Comprehensive geriatric assessment.</w:t>
      </w:r>
      <w:proofErr w:type="gramEnd"/>
      <w:r w:rsidRPr="00B803D9">
        <w:rPr>
          <w:sz w:val="23"/>
          <w:szCs w:val="23"/>
          <w:lang w:val="en-US"/>
        </w:rPr>
        <w:t xml:space="preserve"> Helping your elderly patients maintain functional well-being. </w:t>
      </w:r>
      <w:r w:rsidRPr="00511D51">
        <w:rPr>
          <w:i/>
          <w:iCs/>
          <w:sz w:val="23"/>
          <w:szCs w:val="23"/>
          <w:lang w:val="en-US"/>
        </w:rPr>
        <w:t>Postgraduate Medicine</w:t>
      </w:r>
      <w:r w:rsidRPr="00511D51">
        <w:rPr>
          <w:sz w:val="23"/>
          <w:szCs w:val="23"/>
          <w:lang w:val="en-US"/>
        </w:rPr>
        <w:t xml:space="preserve">, </w:t>
      </w:r>
      <w:r w:rsidRPr="00511D51">
        <w:rPr>
          <w:i/>
          <w:iCs/>
          <w:sz w:val="23"/>
          <w:szCs w:val="23"/>
          <w:lang w:val="en-US"/>
        </w:rPr>
        <w:t>103</w:t>
      </w:r>
      <w:r w:rsidRPr="00511D51">
        <w:rPr>
          <w:sz w:val="23"/>
          <w:szCs w:val="23"/>
          <w:lang w:val="en-US"/>
        </w:rPr>
        <w:t>(3), 247–264. https://doi.org/10.3810/PGM.1998.03.424</w:t>
      </w:r>
    </w:p>
    <w:p w:rsidR="00C5558C" w:rsidRDefault="00C5558C" w:rsidP="00223F40">
      <w:pPr>
        <w:rPr>
          <w:lang w:val="en-US"/>
        </w:rPr>
      </w:pPr>
      <w:r w:rsidRPr="00C5558C">
        <w:rPr>
          <w:sz w:val="23"/>
          <w:szCs w:val="23"/>
          <w:lang w:val="en-US"/>
        </w:rPr>
        <w:t xml:space="preserve">Romero-Ortuno, R. (2013). The Frailty Instrument for primary care of the Survey of Health, Ageing and Retirement in Europe predicts mortality similarly to a frailty index based on comprehensive geriatric assessment. </w:t>
      </w:r>
      <w:r w:rsidRPr="00D102A9">
        <w:rPr>
          <w:i/>
          <w:iCs/>
          <w:sz w:val="23"/>
          <w:szCs w:val="23"/>
          <w:lang w:val="en-US"/>
        </w:rPr>
        <w:t>Geriatrics &amp; Gerontology International</w:t>
      </w:r>
      <w:r w:rsidRPr="00D102A9">
        <w:rPr>
          <w:sz w:val="23"/>
          <w:szCs w:val="23"/>
          <w:lang w:val="en-US"/>
        </w:rPr>
        <w:t xml:space="preserve">, </w:t>
      </w:r>
      <w:r w:rsidRPr="00D102A9">
        <w:rPr>
          <w:i/>
          <w:iCs/>
          <w:sz w:val="23"/>
          <w:szCs w:val="23"/>
          <w:lang w:val="en-US"/>
        </w:rPr>
        <w:t>13</w:t>
      </w:r>
      <w:r w:rsidRPr="00D102A9">
        <w:rPr>
          <w:sz w:val="23"/>
          <w:szCs w:val="23"/>
          <w:lang w:val="en-US"/>
        </w:rPr>
        <w:t>(2), 497–504. https://doi.org/10.1111/J.1447-0594.2012.00948.X</w:t>
      </w:r>
    </w:p>
    <w:p w:rsidR="0055617D" w:rsidRDefault="0055617D" w:rsidP="00223F40">
      <w:pPr>
        <w:rPr>
          <w:lang w:val="en-US"/>
        </w:rPr>
      </w:pPr>
      <w:proofErr w:type="gramStart"/>
      <w:r>
        <w:rPr>
          <w:lang w:val="en-US"/>
        </w:rPr>
        <w:t>Romero-Ortuno, R., Walsh C.D., Lawlor, B.A., &amp; Kenny, R.A. (2010)</w:t>
      </w:r>
      <w:r w:rsidR="00DC2E22">
        <w:rPr>
          <w:lang w:val="en-US"/>
        </w:rPr>
        <w:t>.</w:t>
      </w:r>
      <w:proofErr w:type="gramEnd"/>
      <w:r w:rsidR="00DC2E22">
        <w:rPr>
          <w:lang w:val="en-US"/>
        </w:rPr>
        <w:t xml:space="preserve"> A frailty instrument for primary care: findings from the Survey of Health, Ageing and Retirement in Europe (SHARE). </w:t>
      </w:r>
      <w:proofErr w:type="gramStart"/>
      <w:r w:rsidR="00DC2E22" w:rsidRPr="00DC2E22">
        <w:rPr>
          <w:i/>
          <w:lang w:val="en-US"/>
        </w:rPr>
        <w:t>BMC Geriatrics, 10.</w:t>
      </w:r>
      <w:proofErr w:type="gramEnd"/>
      <w:r w:rsidR="00DC2E22">
        <w:rPr>
          <w:lang w:val="en-US"/>
        </w:rPr>
        <w:t xml:space="preserve"> https//doi.org/10.1186/1471-2318-10-57</w:t>
      </w:r>
    </w:p>
    <w:p w:rsidR="00831FC1" w:rsidRPr="00831FC1" w:rsidRDefault="00831FC1" w:rsidP="008976F8">
      <w:pPr>
        <w:rPr>
          <w:lang w:val="en-US"/>
        </w:rPr>
      </w:pPr>
      <w:r w:rsidRPr="00831FC1">
        <w:rPr>
          <w:sz w:val="23"/>
          <w:szCs w:val="23"/>
          <w:lang w:val="en-US"/>
        </w:rPr>
        <w:t xml:space="preserve">Sanford, A. (2017). </w:t>
      </w:r>
      <w:proofErr w:type="gramStart"/>
      <w:r w:rsidRPr="00831FC1">
        <w:rPr>
          <w:sz w:val="23"/>
          <w:szCs w:val="23"/>
          <w:lang w:val="en-US"/>
        </w:rPr>
        <w:t>Anorexia of aging and its role for frailty.</w:t>
      </w:r>
      <w:proofErr w:type="gramEnd"/>
      <w:r w:rsidRPr="00831FC1">
        <w:rPr>
          <w:sz w:val="23"/>
          <w:szCs w:val="23"/>
          <w:lang w:val="en-US"/>
        </w:rPr>
        <w:t xml:space="preserve"> </w:t>
      </w:r>
      <w:r w:rsidRPr="00831FC1">
        <w:rPr>
          <w:i/>
          <w:iCs/>
          <w:sz w:val="23"/>
          <w:szCs w:val="23"/>
          <w:lang w:val="en-US"/>
        </w:rPr>
        <w:t>Current Opinion in Clinical Nutrition and Metabolic Care</w:t>
      </w:r>
      <w:r w:rsidRPr="00831FC1">
        <w:rPr>
          <w:sz w:val="23"/>
          <w:szCs w:val="23"/>
          <w:lang w:val="en-US"/>
        </w:rPr>
        <w:t xml:space="preserve">, </w:t>
      </w:r>
      <w:r w:rsidRPr="00831FC1">
        <w:rPr>
          <w:i/>
          <w:iCs/>
          <w:sz w:val="23"/>
          <w:szCs w:val="23"/>
          <w:lang w:val="en-US"/>
        </w:rPr>
        <w:t>20</w:t>
      </w:r>
      <w:r w:rsidRPr="00831FC1">
        <w:rPr>
          <w:sz w:val="23"/>
          <w:szCs w:val="23"/>
          <w:lang w:val="en-US"/>
        </w:rPr>
        <w:t>(1), 54–60. https://doi.org/10.1097/MCO.0000000000000336</w:t>
      </w:r>
    </w:p>
    <w:p w:rsidR="008976F8" w:rsidRPr="00755533" w:rsidRDefault="008976F8" w:rsidP="008976F8">
      <w:pPr>
        <w:rPr>
          <w:lang w:val="en-US"/>
        </w:rPr>
      </w:pPr>
      <w:proofErr w:type="gramStart"/>
      <w:r w:rsidRPr="008976F8">
        <w:rPr>
          <w:lang w:val="en-US"/>
        </w:rPr>
        <w:t>Santos-Eggimann, B., Cuénoud, P., Spagnoli, J., &amp; Junod, J. (2009).</w:t>
      </w:r>
      <w:proofErr w:type="gramEnd"/>
      <w:r w:rsidRPr="008976F8">
        <w:rPr>
          <w:lang w:val="en-US"/>
        </w:rPr>
        <w:t xml:space="preserve"> </w:t>
      </w:r>
      <w:proofErr w:type="gramStart"/>
      <w:r w:rsidRPr="008976F8">
        <w:rPr>
          <w:lang w:val="en-US"/>
        </w:rPr>
        <w:t>Prevalence of frailty in middle-aged and older community-dwelling Europeans living in 10 countries.</w:t>
      </w:r>
      <w:proofErr w:type="gramEnd"/>
      <w:r w:rsidRPr="008976F8">
        <w:rPr>
          <w:lang w:val="en-US"/>
        </w:rPr>
        <w:t xml:space="preserve"> </w:t>
      </w:r>
      <w:proofErr w:type="gramStart"/>
      <w:r w:rsidRPr="008976F8">
        <w:rPr>
          <w:i/>
          <w:lang w:val="en-US"/>
        </w:rPr>
        <w:t>The Journals of Gerontology.</w:t>
      </w:r>
      <w:proofErr w:type="gramEnd"/>
      <w:r w:rsidRPr="008976F8">
        <w:rPr>
          <w:i/>
          <w:lang w:val="en-US"/>
        </w:rPr>
        <w:t xml:space="preserve"> Series A, Biological Sciences and Medical Sciences, 64(6)</w:t>
      </w:r>
      <w:r>
        <w:rPr>
          <w:lang w:val="en-US"/>
        </w:rPr>
        <w:t>,</w:t>
      </w:r>
      <w:r w:rsidRPr="008976F8">
        <w:rPr>
          <w:lang w:val="en-US"/>
        </w:rPr>
        <w:t xml:space="preserve"> 675–681. https://doi.org/10.1093/GERONA/GLP012</w:t>
      </w:r>
    </w:p>
    <w:p w:rsidR="00C92710" w:rsidRPr="00C92710" w:rsidRDefault="00C92710" w:rsidP="00223F40">
      <w:pPr>
        <w:rPr>
          <w:lang w:val="en-US"/>
        </w:rPr>
      </w:pPr>
      <w:proofErr w:type="gramStart"/>
      <w:r>
        <w:rPr>
          <w:lang w:val="en-US"/>
        </w:rPr>
        <w:t>Satake, S. &amp; Arai, H. (2020).</w:t>
      </w:r>
      <w:proofErr w:type="gramEnd"/>
      <w:r>
        <w:rPr>
          <w:lang w:val="en-US"/>
        </w:rPr>
        <w:t xml:space="preserve"> Chapter 1 Frailty: Definition, diagnosis, epidemiology. </w:t>
      </w:r>
      <w:r w:rsidRPr="006D164E">
        <w:rPr>
          <w:i/>
          <w:lang w:val="en-US"/>
        </w:rPr>
        <w:t>Geriatrics &amp; Gerontology International, 20</w:t>
      </w:r>
      <w:r>
        <w:rPr>
          <w:lang w:val="en-US"/>
        </w:rPr>
        <w:t xml:space="preserve"> Suppl 1(S1), 7-13. https:doi.org/10.1111/GGI.13830</w:t>
      </w:r>
    </w:p>
    <w:p w:rsidR="006D164E" w:rsidRPr="006D164E" w:rsidRDefault="006D164E" w:rsidP="006D164E">
      <w:pPr>
        <w:rPr>
          <w:lang w:val="en-US"/>
        </w:rPr>
      </w:pPr>
      <w:proofErr w:type="gramStart"/>
      <w:r w:rsidRPr="006D164E">
        <w:rPr>
          <w:lang w:val="en-US"/>
        </w:rPr>
        <w:t>Satake, S., Senda, K., Hong, Y. J., Miura, H., Endo, H., Sakurai, T., Kondo, I., &amp; Toba, K. (2016).</w:t>
      </w:r>
      <w:proofErr w:type="gramEnd"/>
      <w:r w:rsidRPr="006D164E">
        <w:rPr>
          <w:lang w:val="en-US"/>
        </w:rPr>
        <w:t xml:space="preserve"> </w:t>
      </w:r>
      <w:proofErr w:type="gramStart"/>
      <w:r w:rsidRPr="006D164E">
        <w:rPr>
          <w:lang w:val="en-US"/>
        </w:rPr>
        <w:t>Validity of the Kihon Checklist for assessing frailty status.</w:t>
      </w:r>
      <w:proofErr w:type="gramEnd"/>
      <w:r w:rsidRPr="006D164E">
        <w:rPr>
          <w:lang w:val="en-US"/>
        </w:rPr>
        <w:t xml:space="preserve"> </w:t>
      </w:r>
      <w:r w:rsidRPr="006D164E">
        <w:rPr>
          <w:i/>
          <w:lang w:val="en-US"/>
        </w:rPr>
        <w:t>Geriatrics &amp; Gerontology International, 16</w:t>
      </w:r>
      <w:r w:rsidRPr="006D164E">
        <w:rPr>
          <w:lang w:val="en-US"/>
        </w:rPr>
        <w:t>(6), 709–715. https://doi.org/10.1111/GGI.12543</w:t>
      </w:r>
    </w:p>
    <w:p w:rsidR="00E10E87" w:rsidRPr="00E10E87" w:rsidRDefault="00E10E87" w:rsidP="00223F40">
      <w:pPr>
        <w:rPr>
          <w:sz w:val="23"/>
          <w:szCs w:val="23"/>
          <w:lang w:val="en-US"/>
        </w:rPr>
      </w:pPr>
      <w:proofErr w:type="gramStart"/>
      <w:r w:rsidRPr="00E10E87">
        <w:rPr>
          <w:sz w:val="23"/>
          <w:szCs w:val="23"/>
          <w:lang w:val="en-US"/>
        </w:rPr>
        <w:t>Scarmeas, N., Stern, Y., Mayeux, R., Manly, J. J., Schupf, N., &amp; Luchsinger, J. A. (2006).</w:t>
      </w:r>
      <w:proofErr w:type="gramEnd"/>
      <w:r w:rsidRPr="00E10E87">
        <w:rPr>
          <w:sz w:val="23"/>
          <w:szCs w:val="23"/>
          <w:lang w:val="en-US"/>
        </w:rPr>
        <w:t xml:space="preserve"> </w:t>
      </w:r>
      <w:proofErr w:type="gramStart"/>
      <w:r w:rsidRPr="00E10E87">
        <w:rPr>
          <w:sz w:val="23"/>
          <w:szCs w:val="23"/>
          <w:lang w:val="en-US"/>
        </w:rPr>
        <w:t>Mediterranean diet and mild cognitive impairment.</w:t>
      </w:r>
      <w:proofErr w:type="gramEnd"/>
      <w:r w:rsidRPr="00E10E87">
        <w:rPr>
          <w:sz w:val="23"/>
          <w:szCs w:val="23"/>
          <w:lang w:val="en-US"/>
        </w:rPr>
        <w:t xml:space="preserve"> </w:t>
      </w:r>
      <w:r w:rsidRPr="00E10E87">
        <w:rPr>
          <w:i/>
          <w:iCs/>
          <w:sz w:val="23"/>
          <w:szCs w:val="23"/>
          <w:lang w:val="en-US"/>
        </w:rPr>
        <w:t>Archives of Neurology, 63</w:t>
      </w:r>
      <w:r w:rsidRPr="00E10E87">
        <w:rPr>
          <w:sz w:val="23"/>
          <w:szCs w:val="23"/>
          <w:lang w:val="en-US"/>
        </w:rPr>
        <w:t>(12), 1709-1717. https://doi.org/10.1001/archneur.63.12.1709</w:t>
      </w:r>
    </w:p>
    <w:p w:rsidR="0018626C" w:rsidRPr="00D102A9" w:rsidRDefault="0018626C" w:rsidP="00223F40">
      <w:pPr>
        <w:rPr>
          <w:lang w:val="en-US"/>
        </w:rPr>
      </w:pPr>
      <w:proofErr w:type="gramStart"/>
      <w:r w:rsidRPr="0018626C">
        <w:rPr>
          <w:sz w:val="23"/>
          <w:szCs w:val="23"/>
          <w:lang w:val="en-US"/>
        </w:rPr>
        <w:lastRenderedPageBreak/>
        <w:t>Seshadri, S., Wolf, P. A., Beiser, A., Au, R., McNulty, K., White, R., &amp; D’Agostino, R. B. (1997).</w:t>
      </w:r>
      <w:proofErr w:type="gramEnd"/>
      <w:r w:rsidRPr="0018626C">
        <w:rPr>
          <w:sz w:val="23"/>
          <w:szCs w:val="23"/>
          <w:lang w:val="en-US"/>
        </w:rPr>
        <w:t xml:space="preserve"> </w:t>
      </w:r>
      <w:proofErr w:type="gramStart"/>
      <w:r w:rsidRPr="0018626C">
        <w:rPr>
          <w:sz w:val="23"/>
          <w:szCs w:val="23"/>
          <w:lang w:val="en-US"/>
        </w:rPr>
        <w:t>Lifetime risk of dementia and Alzheimer’s disease.</w:t>
      </w:r>
      <w:proofErr w:type="gramEnd"/>
      <w:r w:rsidRPr="0018626C">
        <w:rPr>
          <w:sz w:val="23"/>
          <w:szCs w:val="23"/>
          <w:lang w:val="en-US"/>
        </w:rPr>
        <w:t xml:space="preserve"> </w:t>
      </w:r>
      <w:r w:rsidRPr="0018626C">
        <w:rPr>
          <w:i/>
          <w:iCs/>
          <w:sz w:val="23"/>
          <w:szCs w:val="23"/>
          <w:lang w:val="en-US"/>
        </w:rPr>
        <w:t>The American Journal of Medicine, 103</w:t>
      </w:r>
      <w:r w:rsidRPr="0018626C">
        <w:rPr>
          <w:sz w:val="23"/>
          <w:szCs w:val="23"/>
          <w:lang w:val="en-US"/>
        </w:rPr>
        <w:t>(6), 331-337. https://doi.org/10.1016/S0002-</w:t>
      </w:r>
      <w:proofErr w:type="gramStart"/>
      <w:r w:rsidRPr="0018626C">
        <w:rPr>
          <w:sz w:val="23"/>
          <w:szCs w:val="23"/>
          <w:lang w:val="en-US"/>
        </w:rPr>
        <w:t>9343(</w:t>
      </w:r>
      <w:proofErr w:type="gramEnd"/>
      <w:r w:rsidRPr="0018626C">
        <w:rPr>
          <w:sz w:val="23"/>
          <w:szCs w:val="23"/>
          <w:lang w:val="en-US"/>
        </w:rPr>
        <w:t>97)00295-8</w:t>
      </w:r>
      <w:r w:rsidRPr="00D102A9">
        <w:rPr>
          <w:color w:val="0462C1"/>
          <w:sz w:val="23"/>
          <w:szCs w:val="23"/>
          <w:lang w:val="en-US"/>
        </w:rPr>
        <w:t xml:space="preserve"> </w:t>
      </w:r>
    </w:p>
    <w:p w:rsidR="00DD50A4" w:rsidRPr="000805E2" w:rsidRDefault="00DD50A4" w:rsidP="00223F40">
      <w:pPr>
        <w:rPr>
          <w:lang w:val="en-US"/>
        </w:rPr>
      </w:pPr>
      <w:r w:rsidRPr="00DD50A4">
        <w:rPr>
          <w:lang w:val="en-US"/>
        </w:rPr>
        <w:t xml:space="preserve">Siokas V, Aslanidou P, Aloizou AM, Peristeri E, Stamati P, Liampas I, et al. Does the CD33 rs3865444 Polymorphism Confer Susceptibility to Alzheimer's </w:t>
      </w:r>
      <w:proofErr w:type="gramStart"/>
      <w:r w:rsidRPr="00DD50A4">
        <w:rPr>
          <w:lang w:val="en-US"/>
        </w:rPr>
        <w:t>Disease</w:t>
      </w:r>
      <w:proofErr w:type="gramEnd"/>
      <w:r w:rsidRPr="00DD50A4">
        <w:rPr>
          <w:lang w:val="en-US"/>
        </w:rPr>
        <w:t xml:space="preserve">? </w:t>
      </w:r>
      <w:proofErr w:type="gramStart"/>
      <w:r w:rsidRPr="000805E2">
        <w:rPr>
          <w:lang w:val="en-US"/>
        </w:rPr>
        <w:t xml:space="preserve">J </w:t>
      </w:r>
      <w:r w:rsidRPr="000805E2">
        <w:rPr>
          <w:i/>
          <w:lang w:val="en-US"/>
        </w:rPr>
        <w:t>Mol Neurosci.</w:t>
      </w:r>
      <w:proofErr w:type="gramEnd"/>
      <w:r w:rsidRPr="000805E2">
        <w:rPr>
          <w:i/>
          <w:lang w:val="en-US"/>
        </w:rPr>
        <w:t xml:space="preserve"> 2020</w:t>
      </w:r>
      <w:proofErr w:type="gramStart"/>
      <w:r w:rsidRPr="000805E2">
        <w:rPr>
          <w:i/>
          <w:lang w:val="en-US"/>
        </w:rPr>
        <w:t>;70</w:t>
      </w:r>
      <w:proofErr w:type="gramEnd"/>
      <w:r w:rsidRPr="000805E2">
        <w:rPr>
          <w:i/>
          <w:lang w:val="en-US"/>
        </w:rPr>
        <w:t>(</w:t>
      </w:r>
      <w:r w:rsidRPr="000805E2">
        <w:rPr>
          <w:lang w:val="en-US"/>
        </w:rPr>
        <w:t xml:space="preserve">6):851-60. </w:t>
      </w:r>
      <w:proofErr w:type="gramStart"/>
      <w:r w:rsidRPr="000805E2">
        <w:rPr>
          <w:lang w:val="en-US"/>
        </w:rPr>
        <w:t>doi</w:t>
      </w:r>
      <w:proofErr w:type="gramEnd"/>
      <w:r w:rsidRPr="000805E2">
        <w:rPr>
          <w:lang w:val="en-US"/>
        </w:rPr>
        <w:t>: 10.1007/s12031-020-01507-w</w:t>
      </w:r>
    </w:p>
    <w:p w:rsidR="007B4A4C" w:rsidRPr="007B4A4C" w:rsidRDefault="007B4A4C" w:rsidP="007B4A4C">
      <w:pPr>
        <w:rPr>
          <w:sz w:val="23"/>
          <w:szCs w:val="23"/>
          <w:lang w:val="en-US"/>
        </w:rPr>
      </w:pPr>
      <w:r w:rsidRPr="007B4A4C">
        <w:rPr>
          <w:sz w:val="23"/>
          <w:szCs w:val="23"/>
          <w:lang w:val="en-US"/>
        </w:rPr>
        <w:t>Solfrizzi V, Scafato E, Seripa D, et al. Reversib</w:t>
      </w:r>
      <w:r>
        <w:rPr>
          <w:sz w:val="23"/>
          <w:szCs w:val="23"/>
          <w:lang w:val="en-US"/>
        </w:rPr>
        <w:t>le cognitive frailty, dementia,</w:t>
      </w:r>
      <w:r w:rsidRPr="007B4A4C">
        <w:rPr>
          <w:sz w:val="23"/>
          <w:szCs w:val="23"/>
          <w:lang w:val="en-US"/>
        </w:rPr>
        <w:t xml:space="preserve"> and all-cause mortality. </w:t>
      </w:r>
      <w:proofErr w:type="gramStart"/>
      <w:r w:rsidRPr="007B4A4C">
        <w:rPr>
          <w:sz w:val="23"/>
          <w:szCs w:val="23"/>
          <w:lang w:val="en-US"/>
        </w:rPr>
        <w:t>The Itali</w:t>
      </w:r>
      <w:r>
        <w:rPr>
          <w:sz w:val="23"/>
          <w:szCs w:val="23"/>
          <w:lang w:val="en-US"/>
        </w:rPr>
        <w:t>an Longitudinal Study on Aging</w:t>
      </w:r>
      <w:r w:rsidRPr="007B4A4C">
        <w:rPr>
          <w:i/>
          <w:sz w:val="23"/>
          <w:szCs w:val="23"/>
          <w:lang w:val="en-US"/>
        </w:rPr>
        <w:t>.</w:t>
      </w:r>
      <w:proofErr w:type="gramEnd"/>
      <w:r w:rsidRPr="007B4A4C">
        <w:rPr>
          <w:i/>
          <w:sz w:val="23"/>
          <w:szCs w:val="23"/>
          <w:lang w:val="en-US"/>
        </w:rPr>
        <w:t xml:space="preserve"> J Am Med Dir Assoc 2017; 18</w:t>
      </w:r>
      <w:r w:rsidRPr="007B4A4C">
        <w:rPr>
          <w:sz w:val="23"/>
          <w:szCs w:val="23"/>
          <w:lang w:val="en-US"/>
        </w:rPr>
        <w:t>: 89.e1–89.e8.</w:t>
      </w:r>
    </w:p>
    <w:p w:rsidR="00F77F79" w:rsidRPr="00D05D6E" w:rsidRDefault="00F77F79" w:rsidP="00223F40">
      <w:pPr>
        <w:rPr>
          <w:lang w:val="en-US"/>
        </w:rPr>
      </w:pPr>
      <w:proofErr w:type="gramStart"/>
      <w:r w:rsidRPr="00F77F79">
        <w:rPr>
          <w:sz w:val="23"/>
          <w:szCs w:val="23"/>
          <w:lang w:val="en-US"/>
        </w:rPr>
        <w:t>Solomon, A., Kivipelto, M., Wolozin, B., Zhou, J., &amp; Whitmer, R. A. (2009).</w:t>
      </w:r>
      <w:proofErr w:type="gramEnd"/>
      <w:r w:rsidRPr="00F77F79">
        <w:rPr>
          <w:sz w:val="23"/>
          <w:szCs w:val="23"/>
          <w:lang w:val="en-US"/>
        </w:rPr>
        <w:t xml:space="preserve"> </w:t>
      </w:r>
      <w:proofErr w:type="gramStart"/>
      <w:r w:rsidRPr="00F77F79">
        <w:rPr>
          <w:sz w:val="23"/>
          <w:szCs w:val="23"/>
          <w:lang w:val="en-US"/>
        </w:rPr>
        <w:t>Midlife serum cholesterol and increased risk of Alzheimer's and vascular dementia three decades later.</w:t>
      </w:r>
      <w:proofErr w:type="gramEnd"/>
      <w:r w:rsidRPr="00F77F79">
        <w:rPr>
          <w:sz w:val="23"/>
          <w:szCs w:val="23"/>
          <w:lang w:val="en-US"/>
        </w:rPr>
        <w:t xml:space="preserve"> </w:t>
      </w:r>
      <w:r w:rsidRPr="00D05D6E">
        <w:rPr>
          <w:i/>
          <w:iCs/>
          <w:sz w:val="23"/>
          <w:szCs w:val="23"/>
          <w:lang w:val="en-US"/>
        </w:rPr>
        <w:t>Dementia and Geriatric Cognitive Disorders, 28</w:t>
      </w:r>
      <w:r w:rsidRPr="00D05D6E">
        <w:rPr>
          <w:sz w:val="23"/>
          <w:szCs w:val="23"/>
          <w:lang w:val="en-US"/>
        </w:rPr>
        <w:t>(1), 75-80. https://doi.org/10.1159/000234351</w:t>
      </w:r>
    </w:p>
    <w:p w:rsidR="00D05D6E" w:rsidRDefault="00D05D6E" w:rsidP="00D05D6E">
      <w:pPr>
        <w:rPr>
          <w:lang w:val="en-US"/>
        </w:rPr>
      </w:pPr>
      <w:r w:rsidRPr="00D05D6E">
        <w:rPr>
          <w:lang w:val="en-US"/>
        </w:rPr>
        <w:t>Solfrizzi V, Scafato E, Lozupone M, et al.</w:t>
      </w:r>
      <w:r>
        <w:rPr>
          <w:lang w:val="en-US"/>
        </w:rPr>
        <w:t xml:space="preserve"> Additive role of a potentially </w:t>
      </w:r>
      <w:r w:rsidRPr="00D05D6E">
        <w:rPr>
          <w:lang w:val="en-US"/>
        </w:rPr>
        <w:t>reversible cognitive frailty model and in</w:t>
      </w:r>
      <w:r>
        <w:rPr>
          <w:lang w:val="en-US"/>
        </w:rPr>
        <w:t xml:space="preserve">flammatory state on the risk of </w:t>
      </w:r>
      <w:r w:rsidRPr="00D05D6E">
        <w:rPr>
          <w:lang w:val="en-US"/>
        </w:rPr>
        <w:t xml:space="preserve">disability: the Italian Longitudinal Study on Aging. </w:t>
      </w:r>
      <w:proofErr w:type="gramStart"/>
      <w:r w:rsidRPr="00D05D6E">
        <w:rPr>
          <w:i/>
          <w:lang w:val="en-US"/>
        </w:rPr>
        <w:t>Am</w:t>
      </w:r>
      <w:proofErr w:type="gramEnd"/>
      <w:r w:rsidRPr="00D05D6E">
        <w:rPr>
          <w:i/>
          <w:lang w:val="en-US"/>
        </w:rPr>
        <w:t xml:space="preserve"> J Geriatr Psychiatry 2017; 25</w:t>
      </w:r>
      <w:r w:rsidRPr="00D05D6E">
        <w:rPr>
          <w:lang w:val="en-US"/>
        </w:rPr>
        <w:t>: 1236–48.</w:t>
      </w:r>
    </w:p>
    <w:p w:rsidR="000805E2" w:rsidRPr="000805E2" w:rsidRDefault="000805E2" w:rsidP="00223F40">
      <w:pPr>
        <w:rPr>
          <w:lang w:val="en-US"/>
        </w:rPr>
      </w:pPr>
      <w:r w:rsidRPr="000805E2">
        <w:rPr>
          <w:lang w:val="en-US"/>
        </w:rPr>
        <w:t xml:space="preserve">Steultjens E.M., Dekker J., Bouter L.M., Jellema S., Bakker E.B. &amp; van den Ende C.H. (2004). </w:t>
      </w:r>
      <w:proofErr w:type="gramStart"/>
      <w:r w:rsidRPr="000805E2">
        <w:rPr>
          <w:lang w:val="en-US"/>
        </w:rPr>
        <w:t xml:space="preserve">“Occupational therapy for community dwelling elderly people: a systematic review”, </w:t>
      </w:r>
      <w:r w:rsidRPr="000805E2">
        <w:rPr>
          <w:i/>
          <w:lang w:val="en-US"/>
        </w:rPr>
        <w:t xml:space="preserve">Age aging, 33 </w:t>
      </w:r>
      <w:r w:rsidRPr="000805E2">
        <w:rPr>
          <w:lang w:val="en-US"/>
        </w:rPr>
        <w:t>(5), 453-460.</w:t>
      </w:r>
      <w:proofErr w:type="gramEnd"/>
    </w:p>
    <w:p w:rsidR="005B10B2" w:rsidRDefault="005B10B2" w:rsidP="00223F40">
      <w:pPr>
        <w:rPr>
          <w:lang w:val="en-US"/>
        </w:rPr>
      </w:pPr>
      <w:proofErr w:type="gramStart"/>
      <w:r>
        <w:rPr>
          <w:lang w:val="en-US"/>
        </w:rPr>
        <w:t>Strawbridge, W. J., Shema, S.J., Balfour, J.L., Higby, H.R. &amp; Kaplan, G.A. (1998).</w:t>
      </w:r>
      <w:proofErr w:type="gramEnd"/>
      <w:r>
        <w:rPr>
          <w:lang w:val="en-US"/>
        </w:rPr>
        <w:t xml:space="preserve"> </w:t>
      </w:r>
      <w:proofErr w:type="gramStart"/>
      <w:r>
        <w:rPr>
          <w:lang w:val="en-US"/>
        </w:rPr>
        <w:t>Antecedents of frailty over three decades in an older cohort.</w:t>
      </w:r>
      <w:proofErr w:type="gramEnd"/>
      <w:r>
        <w:rPr>
          <w:lang w:val="en-US"/>
        </w:rPr>
        <w:t xml:space="preserve"> </w:t>
      </w:r>
      <w:proofErr w:type="gramStart"/>
      <w:r w:rsidRPr="005B10B2">
        <w:rPr>
          <w:i/>
          <w:lang w:val="en-US"/>
        </w:rPr>
        <w:t>The Journals of Gerontology.</w:t>
      </w:r>
      <w:proofErr w:type="gramEnd"/>
      <w:r w:rsidRPr="005B10B2">
        <w:rPr>
          <w:i/>
          <w:lang w:val="en-US"/>
        </w:rPr>
        <w:t xml:space="preserve"> </w:t>
      </w:r>
      <w:proofErr w:type="gramStart"/>
      <w:r w:rsidRPr="005B10B2">
        <w:rPr>
          <w:i/>
          <w:lang w:val="en-US"/>
        </w:rPr>
        <w:t>Series B, Psychological Sciences and Social Sciences, 53 (1)</w:t>
      </w:r>
      <w:r>
        <w:rPr>
          <w:lang w:val="en-US"/>
        </w:rPr>
        <w:t>, S9-S16.</w:t>
      </w:r>
      <w:proofErr w:type="gramEnd"/>
      <w:r>
        <w:rPr>
          <w:lang w:val="en-US"/>
        </w:rPr>
        <w:t xml:space="preserve"> https://doi.org/10.1093/GERONB/53B.1.S9</w:t>
      </w:r>
    </w:p>
    <w:p w:rsidR="00297722" w:rsidRPr="00297722" w:rsidRDefault="00297722" w:rsidP="00F61D1E">
      <w:pPr>
        <w:rPr>
          <w:lang w:val="en-US"/>
        </w:rPr>
      </w:pPr>
      <w:proofErr w:type="gramStart"/>
      <w:r w:rsidRPr="00297722">
        <w:rPr>
          <w:sz w:val="23"/>
          <w:szCs w:val="23"/>
          <w:lang w:val="en-US"/>
        </w:rPr>
        <w:t>Subra, J., Gillette-Guyonnet, S., Cesari, M., Oustric, S., &amp; VellaS, B. (2012).</w:t>
      </w:r>
      <w:proofErr w:type="gramEnd"/>
      <w:r w:rsidRPr="00297722">
        <w:rPr>
          <w:sz w:val="23"/>
          <w:szCs w:val="23"/>
          <w:lang w:val="en-US"/>
        </w:rPr>
        <w:t xml:space="preserve"> The integration of frailty into clinical practice: preliminary results from the Gérontopôle. </w:t>
      </w:r>
      <w:r w:rsidRPr="00297722">
        <w:rPr>
          <w:i/>
          <w:iCs/>
          <w:sz w:val="23"/>
          <w:szCs w:val="23"/>
          <w:lang w:val="en-US"/>
        </w:rPr>
        <w:t>The Journal of Nutrition, Health &amp; Aging</w:t>
      </w:r>
      <w:r w:rsidRPr="00297722">
        <w:rPr>
          <w:sz w:val="23"/>
          <w:szCs w:val="23"/>
          <w:lang w:val="en-US"/>
        </w:rPr>
        <w:t xml:space="preserve">, </w:t>
      </w:r>
      <w:r w:rsidRPr="00297722">
        <w:rPr>
          <w:i/>
          <w:iCs/>
          <w:sz w:val="23"/>
          <w:szCs w:val="23"/>
          <w:lang w:val="en-US"/>
        </w:rPr>
        <w:t>16</w:t>
      </w:r>
      <w:r w:rsidRPr="00297722">
        <w:rPr>
          <w:sz w:val="23"/>
          <w:szCs w:val="23"/>
          <w:lang w:val="en-US"/>
        </w:rPr>
        <w:t>(8), 714–720. https://doi.org/10.1007/S12603-012-0391-7</w:t>
      </w:r>
    </w:p>
    <w:p w:rsidR="00F61D1E" w:rsidRPr="00F61D1E" w:rsidRDefault="00F61D1E" w:rsidP="00F61D1E">
      <w:pPr>
        <w:rPr>
          <w:lang w:val="en-US"/>
        </w:rPr>
      </w:pPr>
      <w:proofErr w:type="gramStart"/>
      <w:r w:rsidRPr="00F61D1E">
        <w:rPr>
          <w:lang w:val="en-US"/>
        </w:rPr>
        <w:t>Sugimoto, T., Sakurai, T., Ono, R., Kimura, A., Saji, N., Ni</w:t>
      </w:r>
      <w:r>
        <w:rPr>
          <w:lang w:val="en-US"/>
        </w:rPr>
        <w:t>ida, S., Toba, K., Chen, L. K.,</w:t>
      </w:r>
      <w:r w:rsidRPr="00F61D1E">
        <w:rPr>
          <w:lang w:val="en-US"/>
        </w:rPr>
        <w:t xml:space="preserve"> &amp; Arai, H. (2018).</w:t>
      </w:r>
      <w:proofErr w:type="gramEnd"/>
      <w:r w:rsidRPr="00F61D1E">
        <w:rPr>
          <w:lang w:val="en-US"/>
        </w:rPr>
        <w:t xml:space="preserve"> Epidemiological and clinical significance of cognitive frailty: A mini review. </w:t>
      </w:r>
      <w:proofErr w:type="gramStart"/>
      <w:r w:rsidRPr="00D102A9">
        <w:rPr>
          <w:i/>
          <w:lang w:val="en-US"/>
        </w:rPr>
        <w:t>Ageing Research Reviews, 44</w:t>
      </w:r>
      <w:r w:rsidRPr="00D102A9">
        <w:rPr>
          <w:lang w:val="en-US"/>
        </w:rPr>
        <w:t>, 1–7.</w:t>
      </w:r>
      <w:proofErr w:type="gramEnd"/>
      <w:r w:rsidRPr="00D102A9">
        <w:rPr>
          <w:lang w:val="en-US"/>
        </w:rPr>
        <w:t xml:space="preserve"> https://doi.org/10.1016/J.ARR.2018.03.002</w:t>
      </w:r>
    </w:p>
    <w:p w:rsidR="0059741B" w:rsidRPr="003E2056" w:rsidRDefault="0059741B" w:rsidP="00223F40">
      <w:pPr>
        <w:rPr>
          <w:lang w:val="en-US"/>
        </w:rPr>
      </w:pPr>
      <w:r>
        <w:rPr>
          <w:lang w:val="en-US"/>
        </w:rPr>
        <w:t xml:space="preserve">Theou O, RockwoodK. Should frailty status always be considered when treating the elderly patient? </w:t>
      </w:r>
      <w:proofErr w:type="gramStart"/>
      <w:r w:rsidRPr="003B7630">
        <w:rPr>
          <w:i/>
          <w:lang w:val="en-US"/>
        </w:rPr>
        <w:t>Aging Health.</w:t>
      </w:r>
      <w:proofErr w:type="gramEnd"/>
      <w:r>
        <w:rPr>
          <w:lang w:val="en-US"/>
        </w:rPr>
        <w:t xml:space="preserve"> 2021</w:t>
      </w:r>
      <w:proofErr w:type="gramStart"/>
      <w:r>
        <w:rPr>
          <w:lang w:val="en-US"/>
        </w:rPr>
        <w:t>;8</w:t>
      </w:r>
      <w:proofErr w:type="gramEnd"/>
      <w:r>
        <w:rPr>
          <w:lang w:val="en-US"/>
        </w:rPr>
        <w:t xml:space="preserve">(3):261-71. </w:t>
      </w:r>
      <w:r w:rsidRPr="00C92710">
        <w:rPr>
          <w:lang w:val="en-US"/>
        </w:rPr>
        <w:t>https://doi.org/10.2217/ahe.12.8</w:t>
      </w:r>
    </w:p>
    <w:p w:rsidR="008817EC" w:rsidRPr="00D102A9" w:rsidRDefault="008817EC" w:rsidP="004E1255">
      <w:pPr>
        <w:rPr>
          <w:rFonts w:cstheme="minorHAnsi"/>
          <w:lang w:val="en-US"/>
        </w:rPr>
      </w:pPr>
      <w:r w:rsidRPr="008817EC">
        <w:rPr>
          <w:rFonts w:cstheme="minorHAnsi"/>
          <w:lang w:val="en-US"/>
        </w:rPr>
        <w:t xml:space="preserve">Uwagbai, O., &amp; Kalish, V. B. (2022). </w:t>
      </w:r>
      <w:proofErr w:type="gramStart"/>
      <w:r w:rsidRPr="008817EC">
        <w:rPr>
          <w:rFonts w:cstheme="minorHAnsi"/>
          <w:lang w:val="en-US"/>
        </w:rPr>
        <w:t>Vascular dementia.</w:t>
      </w:r>
      <w:proofErr w:type="gramEnd"/>
      <w:r w:rsidRPr="008817EC">
        <w:rPr>
          <w:rFonts w:cstheme="minorHAnsi"/>
          <w:lang w:val="en-US"/>
        </w:rPr>
        <w:t xml:space="preserve"> </w:t>
      </w:r>
      <w:proofErr w:type="gramStart"/>
      <w:r w:rsidRPr="008817EC">
        <w:rPr>
          <w:rFonts w:cstheme="minorHAnsi"/>
          <w:lang w:val="en-US"/>
        </w:rPr>
        <w:t>In StatPearls [Internet].</w:t>
      </w:r>
      <w:proofErr w:type="gramEnd"/>
      <w:r w:rsidRPr="008817EC">
        <w:rPr>
          <w:rFonts w:cstheme="minorHAnsi"/>
          <w:lang w:val="en-US"/>
        </w:rPr>
        <w:t xml:space="preserve"> </w:t>
      </w:r>
      <w:r w:rsidRPr="00D102A9">
        <w:rPr>
          <w:rFonts w:cstheme="minorHAnsi"/>
          <w:lang w:val="en-US"/>
        </w:rPr>
        <w:t>StatPearls Publishing.</w:t>
      </w:r>
    </w:p>
    <w:p w:rsidR="00492C54" w:rsidRPr="00492C54" w:rsidRDefault="00492C54" w:rsidP="004E1255">
      <w:pPr>
        <w:rPr>
          <w:rFonts w:cstheme="minorHAnsi"/>
          <w:lang w:val="en-US"/>
        </w:rPr>
      </w:pPr>
      <w:proofErr w:type="gramStart"/>
      <w:r w:rsidRPr="00492C54">
        <w:rPr>
          <w:rFonts w:cstheme="minorHAnsi"/>
          <w:lang w:val="en-US"/>
        </w:rPr>
        <w:t>Vairaktarakis, C., Tsiamis, V., Soursou, G., Lekkas, F., Nikolopoulou, M., Vasileiadou, E., Premtsis, K., &amp; Alexiou, A. (2015).</w:t>
      </w:r>
      <w:proofErr w:type="gramEnd"/>
      <w:r w:rsidRPr="00492C54">
        <w:rPr>
          <w:rFonts w:cstheme="minorHAnsi"/>
          <w:lang w:val="en-US"/>
        </w:rPr>
        <w:t xml:space="preserve"> </w:t>
      </w:r>
      <w:proofErr w:type="gramStart"/>
      <w:r w:rsidRPr="00492C54">
        <w:rPr>
          <w:rFonts w:cstheme="minorHAnsi"/>
          <w:lang w:val="en-US"/>
        </w:rPr>
        <w:t xml:space="preserve">A computer-aided diagnosis system for geriatrics </w:t>
      </w:r>
      <w:r w:rsidRPr="00492C54">
        <w:rPr>
          <w:rFonts w:cstheme="minorHAnsi"/>
          <w:lang w:val="en-US"/>
        </w:rPr>
        <w:lastRenderedPageBreak/>
        <w:t>assessment and frailty evaluation.</w:t>
      </w:r>
      <w:proofErr w:type="gramEnd"/>
      <w:r w:rsidRPr="00492C54">
        <w:rPr>
          <w:rFonts w:cstheme="minorHAnsi"/>
          <w:lang w:val="en-US"/>
        </w:rPr>
        <w:t xml:space="preserve"> </w:t>
      </w:r>
      <w:r w:rsidRPr="00492C54">
        <w:rPr>
          <w:rFonts w:cstheme="minorHAnsi"/>
          <w:i/>
          <w:lang w:val="en-US"/>
        </w:rPr>
        <w:t>Advances in Experimental Medicine and Biology, 820</w:t>
      </w:r>
      <w:r w:rsidRPr="00492C54">
        <w:rPr>
          <w:rFonts w:cstheme="minorHAnsi"/>
          <w:lang w:val="en-US"/>
        </w:rPr>
        <w:t>, 69–77. https://doi.org/10.1007/978-3-319-09012-2_5</w:t>
      </w:r>
    </w:p>
    <w:p w:rsidR="005B10B2" w:rsidRDefault="00C92710" w:rsidP="004E1255">
      <w:pPr>
        <w:rPr>
          <w:rFonts w:cstheme="minorHAnsi"/>
          <w:lang w:val="en-US"/>
        </w:rPr>
      </w:pPr>
      <w:r>
        <w:rPr>
          <w:rFonts w:cstheme="minorHAnsi"/>
          <w:lang w:val="en-US"/>
        </w:rPr>
        <w:t xml:space="preserve">Van Campen, C. (2012). </w:t>
      </w:r>
      <w:r w:rsidRPr="00176B8A">
        <w:rPr>
          <w:rFonts w:cstheme="minorHAnsi"/>
          <w:i/>
          <w:lang w:val="en-US"/>
        </w:rPr>
        <w:t>Frail older persons in the Netherlands</w:t>
      </w:r>
      <w:r>
        <w:rPr>
          <w:rFonts w:cstheme="minorHAnsi"/>
          <w:lang w:val="en-US"/>
        </w:rPr>
        <w:t xml:space="preserve"> (C. van </w:t>
      </w:r>
      <w:proofErr w:type="gramStart"/>
      <w:r>
        <w:rPr>
          <w:rFonts w:cstheme="minorHAnsi"/>
          <w:lang w:val="en-US"/>
        </w:rPr>
        <w:t>Campen(</w:t>
      </w:r>
      <w:proofErr w:type="gramEnd"/>
      <w:r>
        <w:rPr>
          <w:rFonts w:cstheme="minorHAnsi"/>
          <w:lang w:val="en-US"/>
        </w:rPr>
        <w:t>ed.) 1</w:t>
      </w:r>
      <w:r w:rsidRPr="00C92710">
        <w:rPr>
          <w:rFonts w:cstheme="minorHAnsi"/>
          <w:vertAlign w:val="superscript"/>
          <w:lang w:val="en-US"/>
        </w:rPr>
        <w:t>st</w:t>
      </w:r>
      <w:r>
        <w:rPr>
          <w:rFonts w:cstheme="minorHAnsi"/>
          <w:lang w:val="en-US"/>
        </w:rPr>
        <w:t xml:space="preserve"> ed. Netherlands Institute for Social Re</w:t>
      </w:r>
      <w:r w:rsidR="005B10B2">
        <w:rPr>
          <w:rFonts w:cstheme="minorHAnsi"/>
          <w:lang w:val="en-US"/>
        </w:rPr>
        <w:t xml:space="preserve">search, SCP. </w:t>
      </w:r>
      <w:r w:rsidR="005B10B2" w:rsidRPr="00036E5E">
        <w:rPr>
          <w:rFonts w:cstheme="minorHAnsi"/>
          <w:lang w:val="en-US"/>
        </w:rPr>
        <w:t>https://www.reseachgate.net/publication/281116870_Frail_older_persons_in</w:t>
      </w:r>
      <w:r w:rsidR="00036E5E">
        <w:rPr>
          <w:rFonts w:cstheme="minorHAnsi"/>
          <w:lang w:val="en-US"/>
        </w:rPr>
        <w:t>_</w:t>
      </w:r>
      <w:r w:rsidR="005B10B2">
        <w:rPr>
          <w:rFonts w:cstheme="minorHAnsi"/>
          <w:lang w:val="en-US"/>
        </w:rPr>
        <w:t>the_Netherlands</w:t>
      </w:r>
    </w:p>
    <w:p w:rsidR="00B803D9" w:rsidRPr="00D102A9" w:rsidRDefault="00B803D9" w:rsidP="00B803D9">
      <w:pPr>
        <w:rPr>
          <w:sz w:val="23"/>
          <w:szCs w:val="23"/>
          <w:lang w:val="en-US"/>
        </w:rPr>
      </w:pPr>
      <w:r w:rsidRPr="00B803D9">
        <w:rPr>
          <w:sz w:val="23"/>
          <w:szCs w:val="23"/>
          <w:lang w:val="en-US"/>
        </w:rPr>
        <w:t xml:space="preserve">Veronese, N. (Ed). (2020). Frailty and Cardiovascular Diseases (1st </w:t>
      </w:r>
      <w:proofErr w:type="gramStart"/>
      <w:r w:rsidRPr="00B803D9">
        <w:rPr>
          <w:sz w:val="23"/>
          <w:szCs w:val="23"/>
          <w:lang w:val="en-US"/>
        </w:rPr>
        <w:t>ed</w:t>
      </w:r>
      <w:proofErr w:type="gramEnd"/>
      <w:r w:rsidRPr="00B803D9">
        <w:rPr>
          <w:sz w:val="23"/>
          <w:szCs w:val="23"/>
          <w:lang w:val="en-US"/>
        </w:rPr>
        <w:t xml:space="preserve">.). </w:t>
      </w:r>
      <w:proofErr w:type="gramStart"/>
      <w:r w:rsidRPr="00D102A9">
        <w:rPr>
          <w:sz w:val="23"/>
          <w:szCs w:val="23"/>
          <w:lang w:val="en-US"/>
        </w:rPr>
        <w:t>Springer International Publishing.</w:t>
      </w:r>
      <w:proofErr w:type="gramEnd"/>
      <w:r w:rsidRPr="00D102A9">
        <w:rPr>
          <w:sz w:val="23"/>
          <w:szCs w:val="23"/>
          <w:lang w:val="en-US"/>
        </w:rPr>
        <w:t xml:space="preserve"> https://doi.org/10.1007/978-3-030-33330-0</w:t>
      </w:r>
    </w:p>
    <w:p w:rsidR="00B803D9" w:rsidRPr="00B803D9" w:rsidRDefault="00B803D9" w:rsidP="00B803D9">
      <w:pPr>
        <w:rPr>
          <w:sz w:val="23"/>
          <w:szCs w:val="23"/>
          <w:lang w:val="en-US"/>
        </w:rPr>
      </w:pPr>
      <w:proofErr w:type="gramStart"/>
      <w:r w:rsidRPr="00B803D9">
        <w:rPr>
          <w:sz w:val="23"/>
          <w:szCs w:val="23"/>
          <w:lang w:val="en-US"/>
        </w:rPr>
        <w:t>Veronese, N, Stubbs, B., Fontana, L., Trevisan, C., Bolzetta, F., De Rui, M., Sartori, L., Musacchio, E., Zambon, S., Maggi, S., Perissinotto, E., Corti, M., Crepaldi, G., Manzato, E., &amp; Sergi, G. (2016).</w:t>
      </w:r>
      <w:proofErr w:type="gramEnd"/>
      <w:r w:rsidRPr="00B803D9">
        <w:rPr>
          <w:sz w:val="23"/>
          <w:szCs w:val="23"/>
          <w:lang w:val="en-US"/>
        </w:rPr>
        <w:t xml:space="preserve"> Frailty Is Associated with an Increased Risk of Incident Type 2 Diabetes in the Elderly. Journal of the American Medical Directors Association, 17(10), 902–907. https://doi.org/10.1016/J.JAMDA.2016.04.021</w:t>
      </w:r>
    </w:p>
    <w:p w:rsidR="00B803D9" w:rsidRPr="00D102A9" w:rsidRDefault="00B803D9" w:rsidP="00B803D9">
      <w:pPr>
        <w:rPr>
          <w:sz w:val="23"/>
          <w:szCs w:val="23"/>
          <w:lang w:val="en-US"/>
        </w:rPr>
      </w:pPr>
      <w:r w:rsidRPr="00B803D9">
        <w:rPr>
          <w:sz w:val="23"/>
          <w:szCs w:val="23"/>
          <w:lang w:val="en-US"/>
        </w:rPr>
        <w:t xml:space="preserve">Veronese, Nicola, Kolk, H., &amp; Maggi, S. (2021). </w:t>
      </w:r>
      <w:proofErr w:type="gramStart"/>
      <w:r w:rsidRPr="00B803D9">
        <w:rPr>
          <w:sz w:val="23"/>
          <w:szCs w:val="23"/>
          <w:lang w:val="en-US"/>
        </w:rPr>
        <w:t>Epidemiology of Fragility Fractures and Social Impact.</w:t>
      </w:r>
      <w:proofErr w:type="gramEnd"/>
      <w:r w:rsidRPr="00B803D9">
        <w:rPr>
          <w:sz w:val="23"/>
          <w:szCs w:val="23"/>
          <w:lang w:val="en-US"/>
        </w:rPr>
        <w:t xml:space="preserve"> In P. Falaschi &amp; D. Marsh (Eds.), Orthogeriatrics: The Management of Older Patients with Fragility Fractures (2nd Ed, pp. 19–34). </w:t>
      </w:r>
      <w:proofErr w:type="gramStart"/>
      <w:r w:rsidRPr="00D102A9">
        <w:rPr>
          <w:sz w:val="23"/>
          <w:szCs w:val="23"/>
          <w:lang w:val="en-US"/>
        </w:rPr>
        <w:t>Springer, Cham.</w:t>
      </w:r>
      <w:proofErr w:type="gramEnd"/>
      <w:r w:rsidRPr="00D102A9">
        <w:rPr>
          <w:sz w:val="23"/>
          <w:szCs w:val="23"/>
          <w:lang w:val="en-US"/>
        </w:rPr>
        <w:t xml:space="preserve"> https://doi.org/10.1007/978-3-030-48126-1_2</w:t>
      </w:r>
    </w:p>
    <w:p w:rsidR="00254C2F" w:rsidRPr="00254C2F" w:rsidRDefault="00254C2F" w:rsidP="00254C2F">
      <w:pPr>
        <w:rPr>
          <w:sz w:val="23"/>
          <w:szCs w:val="23"/>
          <w:lang w:val="en-US"/>
        </w:rPr>
      </w:pPr>
      <w:r w:rsidRPr="00254C2F">
        <w:rPr>
          <w:sz w:val="23"/>
          <w:szCs w:val="23"/>
          <w:lang w:val="en-US"/>
        </w:rPr>
        <w:t>Wallace LMK, Theou O, Godin J, et al. Investig</w:t>
      </w:r>
      <w:r>
        <w:rPr>
          <w:sz w:val="23"/>
          <w:szCs w:val="23"/>
          <w:lang w:val="en-US"/>
        </w:rPr>
        <w:t>ation of frailty as a moderator</w:t>
      </w:r>
      <w:r w:rsidRPr="00254C2F">
        <w:rPr>
          <w:sz w:val="23"/>
          <w:szCs w:val="23"/>
          <w:lang w:val="en-US"/>
        </w:rPr>
        <w:t xml:space="preserve"> of the relationship between neuropathol</w:t>
      </w:r>
      <w:r>
        <w:rPr>
          <w:sz w:val="23"/>
          <w:szCs w:val="23"/>
          <w:lang w:val="en-US"/>
        </w:rPr>
        <w:t>ogy and dementia in Alzheimer’s</w:t>
      </w:r>
      <w:r w:rsidRPr="00254C2F">
        <w:rPr>
          <w:sz w:val="23"/>
          <w:szCs w:val="23"/>
          <w:lang w:val="en-US"/>
        </w:rPr>
        <w:t xml:space="preserve"> disease: a cross-sectional analysis o</w:t>
      </w:r>
      <w:r>
        <w:rPr>
          <w:sz w:val="23"/>
          <w:szCs w:val="23"/>
          <w:lang w:val="en-US"/>
        </w:rPr>
        <w:t>f data from the Rush Memory and</w:t>
      </w:r>
      <w:r w:rsidRPr="00254C2F">
        <w:rPr>
          <w:sz w:val="23"/>
          <w:szCs w:val="23"/>
          <w:lang w:val="en-US"/>
        </w:rPr>
        <w:t xml:space="preserve"> Aging Project. </w:t>
      </w:r>
      <w:proofErr w:type="gramStart"/>
      <w:r w:rsidRPr="00254C2F">
        <w:rPr>
          <w:i/>
          <w:sz w:val="23"/>
          <w:szCs w:val="23"/>
          <w:lang w:val="en-US"/>
        </w:rPr>
        <w:t>Lancet Neurol 2018</w:t>
      </w:r>
      <w:r w:rsidRPr="00254C2F">
        <w:rPr>
          <w:sz w:val="23"/>
          <w:szCs w:val="23"/>
          <w:lang w:val="en-US"/>
        </w:rPr>
        <w:t>; publishe</w:t>
      </w:r>
      <w:r>
        <w:rPr>
          <w:sz w:val="23"/>
          <w:szCs w:val="23"/>
          <w:lang w:val="en-US"/>
        </w:rPr>
        <w:t>d online Dec 19.</w:t>
      </w:r>
      <w:proofErr w:type="gramEnd"/>
      <w:r>
        <w:rPr>
          <w:sz w:val="23"/>
          <w:szCs w:val="23"/>
          <w:lang w:val="en-US"/>
        </w:rPr>
        <w:t xml:space="preserve"> http://dx.doi.</w:t>
      </w:r>
      <w:r w:rsidRPr="00254C2F">
        <w:rPr>
          <w:sz w:val="23"/>
          <w:szCs w:val="23"/>
          <w:lang w:val="en-US"/>
        </w:rPr>
        <w:t>org/10.1016/S1474-</w:t>
      </w:r>
      <w:proofErr w:type="gramStart"/>
      <w:r w:rsidRPr="00254C2F">
        <w:rPr>
          <w:sz w:val="23"/>
          <w:szCs w:val="23"/>
          <w:lang w:val="en-US"/>
        </w:rPr>
        <w:t>4422(</w:t>
      </w:r>
      <w:proofErr w:type="gramEnd"/>
      <w:r w:rsidRPr="00254C2F">
        <w:rPr>
          <w:sz w:val="23"/>
          <w:szCs w:val="23"/>
          <w:lang w:val="en-US"/>
        </w:rPr>
        <w:t>18)30371-5.</w:t>
      </w:r>
    </w:p>
    <w:p w:rsidR="00513041" w:rsidRPr="00513041" w:rsidRDefault="00513041" w:rsidP="004E1255">
      <w:pPr>
        <w:rPr>
          <w:rFonts w:cstheme="minorHAnsi"/>
          <w:lang w:val="en-US"/>
        </w:rPr>
      </w:pPr>
      <w:r w:rsidRPr="00513041">
        <w:rPr>
          <w:sz w:val="23"/>
          <w:szCs w:val="23"/>
          <w:lang w:val="en-US"/>
        </w:rPr>
        <w:t xml:space="preserve">Weiss, C. O. (2011). </w:t>
      </w:r>
      <w:proofErr w:type="gramStart"/>
      <w:r w:rsidRPr="00513041">
        <w:rPr>
          <w:sz w:val="23"/>
          <w:szCs w:val="23"/>
          <w:lang w:val="en-US"/>
        </w:rPr>
        <w:t>Frailty and chronic diseases in older adults.</w:t>
      </w:r>
      <w:proofErr w:type="gramEnd"/>
      <w:r w:rsidRPr="00513041">
        <w:rPr>
          <w:sz w:val="23"/>
          <w:szCs w:val="23"/>
          <w:lang w:val="en-US"/>
        </w:rPr>
        <w:t xml:space="preserve"> </w:t>
      </w:r>
      <w:r w:rsidRPr="00513041">
        <w:rPr>
          <w:i/>
          <w:iCs/>
          <w:sz w:val="23"/>
          <w:szCs w:val="23"/>
          <w:lang w:val="en-US"/>
        </w:rPr>
        <w:t>Clinics in Geriatric Medicine</w:t>
      </w:r>
      <w:r w:rsidRPr="00513041">
        <w:rPr>
          <w:sz w:val="23"/>
          <w:szCs w:val="23"/>
          <w:lang w:val="en-US"/>
        </w:rPr>
        <w:t xml:space="preserve">, </w:t>
      </w:r>
      <w:r w:rsidRPr="00513041">
        <w:rPr>
          <w:i/>
          <w:iCs/>
          <w:sz w:val="23"/>
          <w:szCs w:val="23"/>
          <w:lang w:val="en-US"/>
        </w:rPr>
        <w:t>27</w:t>
      </w:r>
      <w:r w:rsidRPr="00513041">
        <w:rPr>
          <w:sz w:val="23"/>
          <w:szCs w:val="23"/>
          <w:lang w:val="en-US"/>
        </w:rPr>
        <w:t xml:space="preserve">(1), 39–52. https://doi.org/10.1016/J.CGER.2010.08.003 </w:t>
      </w:r>
    </w:p>
    <w:p w:rsidR="003E3968" w:rsidRDefault="00F77F79" w:rsidP="004E1255">
      <w:pPr>
        <w:rPr>
          <w:rFonts w:cstheme="minorHAnsi"/>
        </w:rPr>
      </w:pPr>
      <w:r w:rsidRPr="00F77F79">
        <w:rPr>
          <w:sz w:val="23"/>
          <w:szCs w:val="23"/>
          <w:lang w:val="en-US"/>
        </w:rPr>
        <w:t xml:space="preserve">Whitmer, R. A., Gunderson, E. P., Quesenberry, C. P., Zhou, J., &amp; Yaffe, K. (2005). Obesity in middle age and future risk of dementia: A 27-year longitudinal study. </w:t>
      </w:r>
      <w:r>
        <w:rPr>
          <w:i/>
          <w:iCs/>
          <w:sz w:val="23"/>
          <w:szCs w:val="23"/>
        </w:rPr>
        <w:t>BMJ, 330</w:t>
      </w:r>
      <w:r>
        <w:rPr>
          <w:sz w:val="23"/>
          <w:szCs w:val="23"/>
        </w:rPr>
        <w:t>(7504), 1360</w:t>
      </w:r>
      <w:r w:rsidRPr="00F77F79">
        <w:rPr>
          <w:sz w:val="23"/>
          <w:szCs w:val="23"/>
        </w:rPr>
        <w:t>. https://doi.org/10.1136/bmj.38446.466238.E0</w:t>
      </w:r>
    </w:p>
    <w:p w:rsidR="00B85639" w:rsidRPr="004E1255" w:rsidRDefault="00B85639" w:rsidP="004E1255">
      <w:pPr>
        <w:rPr>
          <w:rFonts w:cstheme="minorHAnsi"/>
          <w:lang w:val="en-US"/>
        </w:rPr>
      </w:pPr>
      <w:proofErr w:type="gramStart"/>
      <w:r w:rsidRPr="004E1255">
        <w:rPr>
          <w:rFonts w:cstheme="minorHAnsi"/>
          <w:lang w:val="en-US"/>
        </w:rPr>
        <w:t>WHO</w:t>
      </w:r>
      <w:r w:rsidR="004E1255" w:rsidRPr="004E1255">
        <w:rPr>
          <w:rFonts w:cstheme="minorHAnsi"/>
          <w:lang w:val="en-US"/>
        </w:rPr>
        <w:t>, (1946).</w:t>
      </w:r>
      <w:proofErr w:type="gramEnd"/>
      <w:r w:rsidR="004E1255" w:rsidRPr="004E1255">
        <w:rPr>
          <w:rFonts w:cstheme="minorHAnsi"/>
          <w:lang w:val="en-US"/>
        </w:rPr>
        <w:t xml:space="preserve"> </w:t>
      </w:r>
      <w:proofErr w:type="gramStart"/>
      <w:r w:rsidR="004E1255" w:rsidRPr="004E1255">
        <w:rPr>
          <w:rStyle w:val="dont-break-out"/>
          <w:rFonts w:cstheme="minorHAnsi"/>
          <w:color w:val="212529"/>
          <w:shd w:val="clear" w:color="auto" w:fill="FFFFFF"/>
          <w:lang w:val="en-US"/>
        </w:rPr>
        <w:t>International Health Conference</w:t>
      </w:r>
      <w:r w:rsidR="004E1255" w:rsidRPr="004E1255">
        <w:rPr>
          <w:rStyle w:val="ng-star-inserted"/>
          <w:rFonts w:cstheme="minorHAnsi"/>
          <w:color w:val="212529"/>
          <w:shd w:val="clear" w:color="auto" w:fill="FFFFFF"/>
          <w:lang w:val="en-US"/>
        </w:rPr>
        <w:t> (2002).</w:t>
      </w:r>
      <w:proofErr w:type="gramEnd"/>
      <w:r w:rsidR="004E1255" w:rsidRPr="004E1255">
        <w:rPr>
          <w:rStyle w:val="ng-star-inserted"/>
          <w:rFonts w:cstheme="minorHAnsi"/>
          <w:color w:val="212529"/>
          <w:shd w:val="clear" w:color="auto" w:fill="FFFFFF"/>
          <w:lang w:val="en-US"/>
        </w:rPr>
        <w:t> </w:t>
      </w:r>
      <w:proofErr w:type="gramStart"/>
      <w:r w:rsidR="004E1255" w:rsidRPr="004E1255">
        <w:rPr>
          <w:rStyle w:val="ng-star-inserted"/>
          <w:rFonts w:cstheme="minorHAnsi"/>
          <w:color w:val="212529"/>
          <w:shd w:val="clear" w:color="auto" w:fill="FFFFFF"/>
          <w:lang w:val="en-US"/>
        </w:rPr>
        <w:t>Constitution of the World Health Organization.</w:t>
      </w:r>
      <w:proofErr w:type="gramEnd"/>
      <w:r w:rsidR="004E1255" w:rsidRPr="004E1255">
        <w:rPr>
          <w:rStyle w:val="ng-star-inserted"/>
          <w:rFonts w:cstheme="minorHAnsi"/>
          <w:color w:val="212529"/>
          <w:shd w:val="clear" w:color="auto" w:fill="FFFFFF"/>
          <w:lang w:val="en-US"/>
        </w:rPr>
        <w:t xml:space="preserve"> 1946</w:t>
      </w:r>
      <w:proofErr w:type="gramStart"/>
      <w:r w:rsidR="004E1255" w:rsidRPr="004E1255">
        <w:rPr>
          <w:rStyle w:val="ng-star-inserted"/>
          <w:rFonts w:cstheme="minorHAnsi"/>
          <w:color w:val="212529"/>
          <w:shd w:val="clear" w:color="auto" w:fill="FFFFFF"/>
          <w:lang w:val="en-US"/>
        </w:rPr>
        <w:t>.</w:t>
      </w:r>
      <w:r w:rsidR="004E1255" w:rsidRPr="004E1255">
        <w:rPr>
          <w:rFonts w:cstheme="minorHAnsi"/>
          <w:shd w:val="clear" w:color="auto" w:fill="FFFFFF"/>
          <w:lang w:val="en-US"/>
        </w:rPr>
        <w:t>.</w:t>
      </w:r>
      <w:proofErr w:type="gramEnd"/>
      <w:r w:rsidR="004E1255" w:rsidRPr="004E1255">
        <w:rPr>
          <w:rFonts w:cstheme="minorHAnsi"/>
          <w:shd w:val="clear" w:color="auto" w:fill="FFFFFF"/>
          <w:lang w:val="en-US"/>
        </w:rPr>
        <w:t> </w:t>
      </w:r>
      <w:r w:rsidR="004E1255" w:rsidRPr="004E1255">
        <w:rPr>
          <w:rStyle w:val="Emphasis"/>
          <w:rFonts w:cstheme="minorHAnsi"/>
          <w:color w:val="212529"/>
          <w:shd w:val="clear" w:color="auto" w:fill="FFFFFF"/>
          <w:lang w:val="en-US"/>
        </w:rPr>
        <w:t>Bulletin of the World Health Organization</w:t>
      </w:r>
      <w:r w:rsidR="004E1255" w:rsidRPr="004E1255">
        <w:rPr>
          <w:rStyle w:val="ng-star-inserted"/>
          <w:rFonts w:cstheme="minorHAnsi"/>
          <w:color w:val="212529"/>
          <w:shd w:val="clear" w:color="auto" w:fill="FFFFFF"/>
          <w:lang w:val="en-US"/>
        </w:rPr>
        <w:t>, </w:t>
      </w:r>
      <w:r w:rsidR="004E1255" w:rsidRPr="004E1255">
        <w:rPr>
          <w:rStyle w:val="Emphasis"/>
          <w:rFonts w:cstheme="minorHAnsi"/>
          <w:color w:val="212529"/>
          <w:shd w:val="clear" w:color="auto" w:fill="FFFFFF"/>
          <w:lang w:val="en-US"/>
        </w:rPr>
        <w:t>80</w:t>
      </w:r>
      <w:r w:rsidR="004E1255" w:rsidRPr="004E1255">
        <w:rPr>
          <w:rStyle w:val="ng-star-inserted"/>
          <w:rFonts w:cstheme="minorHAnsi"/>
          <w:color w:val="212529"/>
          <w:shd w:val="clear" w:color="auto" w:fill="FFFFFF"/>
          <w:lang w:val="en-US"/>
        </w:rPr>
        <w:t>(12), 983 - 984. </w:t>
      </w:r>
      <w:proofErr w:type="gramStart"/>
      <w:r w:rsidR="004E1255" w:rsidRPr="004E1255">
        <w:rPr>
          <w:rStyle w:val="ng-star-inserted"/>
          <w:rFonts w:cstheme="minorHAnsi"/>
          <w:color w:val="212529"/>
          <w:shd w:val="clear" w:color="auto" w:fill="FFFFFF"/>
          <w:lang w:val="en-US"/>
        </w:rPr>
        <w:t>World Health Organization.</w:t>
      </w:r>
      <w:proofErr w:type="gramEnd"/>
      <w:r w:rsidR="004E1255" w:rsidRPr="004E1255">
        <w:rPr>
          <w:rStyle w:val="ng-star-inserted"/>
          <w:rFonts w:cstheme="minorHAnsi"/>
          <w:color w:val="212529"/>
          <w:shd w:val="clear" w:color="auto" w:fill="FFFFFF"/>
          <w:lang w:val="en-US"/>
        </w:rPr>
        <w:t> </w:t>
      </w:r>
      <w:r w:rsidR="004E1255" w:rsidRPr="00F043D9">
        <w:rPr>
          <w:rFonts w:cstheme="minorHAnsi"/>
          <w:shd w:val="clear" w:color="auto" w:fill="FFFFFF"/>
          <w:lang w:val="en-US"/>
        </w:rPr>
        <w:t>https://iris.who.int/handle/10665/268688</w:t>
      </w:r>
    </w:p>
    <w:p w:rsidR="00B2297E" w:rsidRPr="0000260D" w:rsidRDefault="00F44708" w:rsidP="00F44708">
      <w:pPr>
        <w:rPr>
          <w:lang w:val="en-US"/>
        </w:rPr>
      </w:pPr>
      <w:proofErr w:type="gramStart"/>
      <w:r>
        <w:rPr>
          <w:lang w:val="en-US"/>
        </w:rPr>
        <w:t>WHO.</w:t>
      </w:r>
      <w:proofErr w:type="gramEnd"/>
      <w:r>
        <w:rPr>
          <w:lang w:val="en-US"/>
        </w:rPr>
        <w:t xml:space="preserve"> </w:t>
      </w:r>
      <w:proofErr w:type="gramStart"/>
      <w:r>
        <w:rPr>
          <w:lang w:val="en-US"/>
        </w:rPr>
        <w:t>(2021). Ageing and Health.</w:t>
      </w:r>
      <w:proofErr w:type="gramEnd"/>
      <w:r>
        <w:rPr>
          <w:lang w:val="en-US"/>
        </w:rPr>
        <w:t xml:space="preserve"> </w:t>
      </w:r>
      <w:proofErr w:type="gramStart"/>
      <w:r>
        <w:rPr>
          <w:lang w:val="en-US"/>
        </w:rPr>
        <w:t>WHO.</w:t>
      </w:r>
      <w:proofErr w:type="gramEnd"/>
      <w:r>
        <w:rPr>
          <w:lang w:val="en-US"/>
        </w:rPr>
        <w:t xml:space="preserve"> </w:t>
      </w:r>
      <w:r w:rsidRPr="0000260D">
        <w:rPr>
          <w:lang w:val="en-US"/>
        </w:rPr>
        <w:t>https://who.int/news-room/fact-sheets/detail/ageing-and-health</w:t>
      </w:r>
    </w:p>
    <w:p w:rsidR="009B26E9" w:rsidRDefault="009B26E9" w:rsidP="00F44708">
      <w:r w:rsidRPr="009B26E9">
        <w:rPr>
          <w:sz w:val="23"/>
          <w:szCs w:val="23"/>
          <w:lang w:val="en-US"/>
        </w:rPr>
        <w:t xml:space="preserve">Wilson, R. S., Mendes de Leon, C. F., Barnes, L. L., Schneider, J. A., Bienias, J. L., Evans, D. A., &amp; Bennett, D. A. (2002). </w:t>
      </w:r>
      <w:proofErr w:type="gramStart"/>
      <w:r w:rsidRPr="009B26E9">
        <w:rPr>
          <w:sz w:val="23"/>
          <w:szCs w:val="23"/>
          <w:lang w:val="en-US"/>
        </w:rPr>
        <w:t>Participation in cognitively stimulating activities and risk of incident Alzheimer disease.</w:t>
      </w:r>
      <w:proofErr w:type="gramEnd"/>
      <w:r w:rsidRPr="009B26E9">
        <w:rPr>
          <w:sz w:val="23"/>
          <w:szCs w:val="23"/>
          <w:lang w:val="en-US"/>
        </w:rPr>
        <w:t xml:space="preserve"> </w:t>
      </w:r>
      <w:r>
        <w:rPr>
          <w:i/>
          <w:iCs/>
          <w:sz w:val="23"/>
          <w:szCs w:val="23"/>
        </w:rPr>
        <w:t>JAMA, 287</w:t>
      </w:r>
      <w:r>
        <w:rPr>
          <w:sz w:val="23"/>
          <w:szCs w:val="23"/>
        </w:rPr>
        <w:t xml:space="preserve">(6), 742-748. </w:t>
      </w:r>
      <w:r w:rsidRPr="009B26E9">
        <w:rPr>
          <w:sz w:val="23"/>
          <w:szCs w:val="23"/>
        </w:rPr>
        <w:t>https://doi.org/10.1001/jama.287.6.742</w:t>
      </w:r>
    </w:p>
    <w:p w:rsidR="00F44708" w:rsidRPr="0055617D" w:rsidRDefault="0055617D" w:rsidP="00F44708">
      <w:pPr>
        <w:rPr>
          <w:lang w:val="en-US"/>
        </w:rPr>
      </w:pPr>
      <w:proofErr w:type="gramStart"/>
      <w:r>
        <w:rPr>
          <w:lang w:val="en-US"/>
        </w:rPr>
        <w:t>Won, C. (2020).</w:t>
      </w:r>
      <w:proofErr w:type="gramEnd"/>
      <w:r>
        <w:rPr>
          <w:lang w:val="en-US"/>
        </w:rPr>
        <w:t xml:space="preserve"> </w:t>
      </w:r>
      <w:proofErr w:type="gramStart"/>
      <w:r>
        <w:rPr>
          <w:lang w:val="en-US"/>
        </w:rPr>
        <w:t>Diagnosis and Management of Frailty in Primary Health Care.</w:t>
      </w:r>
      <w:proofErr w:type="gramEnd"/>
      <w:r>
        <w:rPr>
          <w:lang w:val="en-US"/>
        </w:rPr>
        <w:t xml:space="preserve"> </w:t>
      </w:r>
      <w:r w:rsidRPr="0055617D">
        <w:rPr>
          <w:i/>
          <w:lang w:val="en-US"/>
        </w:rPr>
        <w:t>Korean Journal of Family Medicine, 41(4)</w:t>
      </w:r>
      <w:r>
        <w:rPr>
          <w:lang w:val="en-US"/>
        </w:rPr>
        <w:t>, 207-213. https://doi.org/10.4082/KJFM.20.0122</w:t>
      </w:r>
    </w:p>
    <w:p w:rsidR="002B5737" w:rsidRPr="000805E2" w:rsidRDefault="000805E2" w:rsidP="0000260D">
      <w:pPr>
        <w:rPr>
          <w:lang w:val="en-US"/>
        </w:rPr>
      </w:pPr>
      <w:r w:rsidRPr="000805E2">
        <w:rPr>
          <w:lang w:val="en-US"/>
        </w:rPr>
        <w:lastRenderedPageBreak/>
        <w:t xml:space="preserve">Woods B., Spector A., Jones C., Orrell M. &amp; Davies S. (2005). </w:t>
      </w:r>
      <w:proofErr w:type="gramStart"/>
      <w:r w:rsidRPr="000805E2">
        <w:rPr>
          <w:lang w:val="en-US"/>
        </w:rPr>
        <w:t xml:space="preserve">“Reminiscence Therapy for dementia”, </w:t>
      </w:r>
      <w:r w:rsidRPr="000805E2">
        <w:rPr>
          <w:i/>
          <w:lang w:val="en-US"/>
        </w:rPr>
        <w:t>The Cochrane Library, 18</w:t>
      </w:r>
      <w:r w:rsidRPr="000805E2">
        <w:rPr>
          <w:lang w:val="en-US"/>
        </w:rPr>
        <w:t xml:space="preserve"> (2).</w:t>
      </w:r>
      <w:proofErr w:type="gramEnd"/>
    </w:p>
    <w:p w:rsidR="002B5737" w:rsidRDefault="002B5737" w:rsidP="0000260D">
      <w:pPr>
        <w:rPr>
          <w:lang w:val="en-US"/>
        </w:rPr>
      </w:pPr>
      <w:r w:rsidRPr="002B5737">
        <w:rPr>
          <w:lang w:val="en-US"/>
        </w:rPr>
        <w:t xml:space="preserve">Yaffe, K., Laffan, A. M., Harrison, S. L., Redline, S., Spira, A. P., Ensrud, K. E., Ancoli‐Israel, S., &amp; Stone, K. L. (2011). </w:t>
      </w:r>
      <w:proofErr w:type="gramStart"/>
      <w:r w:rsidRPr="002B5737">
        <w:rPr>
          <w:lang w:val="en-US"/>
        </w:rPr>
        <w:t>Sleep-Disordered breathing, hypoxia, and risk of mild cognitive impairment and dementia women.</w:t>
      </w:r>
      <w:proofErr w:type="gramEnd"/>
      <w:r w:rsidRPr="002B5737">
        <w:rPr>
          <w:lang w:val="en-US"/>
        </w:rPr>
        <w:t xml:space="preserve"> </w:t>
      </w:r>
      <w:proofErr w:type="gramStart"/>
      <w:r w:rsidRPr="002B5737">
        <w:rPr>
          <w:i/>
          <w:lang w:val="en-US"/>
        </w:rPr>
        <w:t>JAMA, 306</w:t>
      </w:r>
      <w:r w:rsidRPr="002B5737">
        <w:rPr>
          <w:lang w:val="en-US"/>
        </w:rPr>
        <w:t>(6).</w:t>
      </w:r>
      <w:proofErr w:type="gramEnd"/>
      <w:r w:rsidRPr="002B5737">
        <w:rPr>
          <w:lang w:val="en-US"/>
        </w:rPr>
        <w:t xml:space="preserve"> https://doi.org/10.1001/jama.2011.1115</w:t>
      </w:r>
    </w:p>
    <w:p w:rsidR="00B2297E" w:rsidRPr="0000260D" w:rsidRDefault="0000260D" w:rsidP="0000260D">
      <w:pPr>
        <w:rPr>
          <w:lang w:val="en-US"/>
        </w:rPr>
      </w:pPr>
      <w:proofErr w:type="gramStart"/>
      <w:r w:rsidRPr="0000260D">
        <w:rPr>
          <w:lang w:val="en-US"/>
        </w:rPr>
        <w:t>Yannakoulia, M., Ntanasi, E., Anastasiou, C. A., &amp; Scarmeas, N. (2017).</w:t>
      </w:r>
      <w:proofErr w:type="gramEnd"/>
      <w:r w:rsidRPr="0000260D">
        <w:rPr>
          <w:lang w:val="en-US"/>
        </w:rPr>
        <w:t xml:space="preserve"> Frailty and nutrition: From epidemiological and clinical evidence to potential mechanisms</w:t>
      </w:r>
      <w:r w:rsidRPr="0000260D">
        <w:rPr>
          <w:i/>
          <w:lang w:val="en-US"/>
        </w:rPr>
        <w:t>. Metabolism: Clinical and Experimental, 68</w:t>
      </w:r>
      <w:r w:rsidRPr="0000260D">
        <w:rPr>
          <w:lang w:val="en-US"/>
        </w:rPr>
        <w:t>, 64–76. https://doi.org/10.1016/J.METABOL.2016.12.005</w:t>
      </w:r>
    </w:p>
    <w:p w:rsidR="006E09E4" w:rsidRPr="00F70AF8" w:rsidRDefault="006E09E4" w:rsidP="00F44708">
      <w:pPr>
        <w:pStyle w:val="Default"/>
        <w:rPr>
          <w:rFonts w:asciiTheme="minorHAnsi" w:hAnsiTheme="minorHAnsi" w:cstheme="minorHAnsi"/>
          <w:sz w:val="22"/>
          <w:szCs w:val="22"/>
          <w:lang w:val="en-US"/>
        </w:rPr>
      </w:pPr>
      <w:proofErr w:type="gramStart"/>
      <w:r w:rsidRPr="006E09E4">
        <w:rPr>
          <w:rFonts w:asciiTheme="minorHAnsi" w:hAnsiTheme="minorHAnsi" w:cstheme="minorHAnsi"/>
          <w:sz w:val="22"/>
          <w:szCs w:val="22"/>
          <w:lang w:val="en-US"/>
        </w:rPr>
        <w:t>Young, J. J., Lavakumar, M., Tampi, D., Balachandran, S., &amp; Tampi, R. R. (2018).</w:t>
      </w:r>
      <w:proofErr w:type="gramEnd"/>
      <w:r w:rsidRPr="006E09E4">
        <w:rPr>
          <w:rFonts w:asciiTheme="minorHAnsi" w:hAnsiTheme="minorHAnsi" w:cstheme="minorHAnsi"/>
          <w:sz w:val="22"/>
          <w:szCs w:val="22"/>
          <w:lang w:val="en-US"/>
        </w:rPr>
        <w:t xml:space="preserve"> Frontotemporal dementia: latest evidence and clinical implications. </w:t>
      </w:r>
      <w:r w:rsidRPr="006E09E4">
        <w:rPr>
          <w:rFonts w:asciiTheme="minorHAnsi" w:hAnsiTheme="minorHAnsi" w:cstheme="minorHAnsi"/>
          <w:i/>
          <w:sz w:val="22"/>
          <w:szCs w:val="22"/>
          <w:lang w:val="en-US"/>
        </w:rPr>
        <w:t>Therapeutic advances in psychopharmacology, 8</w:t>
      </w:r>
      <w:r w:rsidRPr="006E09E4">
        <w:rPr>
          <w:rFonts w:asciiTheme="minorHAnsi" w:hAnsiTheme="minorHAnsi" w:cstheme="minorHAnsi"/>
          <w:sz w:val="22"/>
          <w:szCs w:val="22"/>
          <w:lang w:val="en-US"/>
        </w:rPr>
        <w:t>(1), 33-48.</w:t>
      </w:r>
    </w:p>
    <w:p w:rsidR="009140C8" w:rsidRPr="00F70AF8" w:rsidRDefault="009140C8" w:rsidP="00F44708">
      <w:pPr>
        <w:pStyle w:val="Default"/>
        <w:rPr>
          <w:rFonts w:asciiTheme="minorHAnsi" w:hAnsiTheme="minorHAnsi" w:cstheme="minorHAnsi"/>
          <w:sz w:val="22"/>
          <w:szCs w:val="22"/>
          <w:lang w:val="en-US"/>
        </w:rPr>
      </w:pPr>
    </w:p>
    <w:p w:rsidR="00B2297E" w:rsidRPr="00915581" w:rsidRDefault="00915581" w:rsidP="00F44708">
      <w:pPr>
        <w:pStyle w:val="Default"/>
        <w:rPr>
          <w:rFonts w:asciiTheme="minorHAnsi" w:hAnsiTheme="minorHAnsi" w:cstheme="minorHAnsi"/>
          <w:sz w:val="22"/>
          <w:szCs w:val="22"/>
          <w:lang w:val="en-US"/>
        </w:rPr>
      </w:pPr>
      <w:proofErr w:type="gramStart"/>
      <w:r w:rsidRPr="00915581">
        <w:rPr>
          <w:rFonts w:asciiTheme="minorHAnsi" w:hAnsiTheme="minorHAnsi" w:cstheme="minorHAnsi"/>
          <w:sz w:val="22"/>
          <w:szCs w:val="22"/>
          <w:lang w:val="en-US"/>
        </w:rPr>
        <w:t>Zhang, X., Tan, S. S., Bilajac, L., Alhambra-Borrás, T., Garcés-Ferrer, J., Verma, A., Koppelaar, E., Markaki, A., Mattace-Raso, F., Franse, C. B., &amp; Raat, H. (2020).</w:t>
      </w:r>
      <w:proofErr w:type="gramEnd"/>
      <w:r w:rsidRPr="00915581">
        <w:rPr>
          <w:rFonts w:asciiTheme="minorHAnsi" w:hAnsiTheme="minorHAnsi" w:cstheme="minorHAnsi"/>
          <w:sz w:val="22"/>
          <w:szCs w:val="22"/>
          <w:lang w:val="en-US"/>
        </w:rPr>
        <w:t xml:space="preserve"> </w:t>
      </w:r>
      <w:proofErr w:type="gramStart"/>
      <w:r w:rsidRPr="00915581">
        <w:rPr>
          <w:rFonts w:asciiTheme="minorHAnsi" w:hAnsiTheme="minorHAnsi" w:cstheme="minorHAnsi"/>
          <w:sz w:val="22"/>
          <w:szCs w:val="22"/>
          <w:lang w:val="en-US"/>
        </w:rPr>
        <w:t>Reliability and Validity of the Tilburg Frailty Indicator in 5 European Countries.</w:t>
      </w:r>
      <w:proofErr w:type="gramEnd"/>
      <w:r w:rsidRPr="00915581">
        <w:rPr>
          <w:rFonts w:asciiTheme="minorHAnsi" w:hAnsiTheme="minorHAnsi" w:cstheme="minorHAnsi"/>
          <w:sz w:val="22"/>
          <w:szCs w:val="22"/>
          <w:lang w:val="en-US"/>
        </w:rPr>
        <w:t xml:space="preserve"> </w:t>
      </w:r>
      <w:proofErr w:type="gramStart"/>
      <w:r w:rsidRPr="00915581">
        <w:rPr>
          <w:rFonts w:asciiTheme="minorHAnsi" w:hAnsiTheme="minorHAnsi" w:cstheme="minorHAnsi"/>
          <w:i/>
          <w:iCs/>
          <w:sz w:val="22"/>
          <w:szCs w:val="22"/>
          <w:lang w:val="en-US"/>
        </w:rPr>
        <w:t>Journal of the American Medical Directors Association</w:t>
      </w:r>
      <w:r w:rsidRPr="00915581">
        <w:rPr>
          <w:rFonts w:asciiTheme="minorHAnsi" w:hAnsiTheme="minorHAnsi" w:cstheme="minorHAnsi"/>
          <w:sz w:val="22"/>
          <w:szCs w:val="22"/>
          <w:lang w:val="en-US"/>
        </w:rPr>
        <w:t xml:space="preserve">, </w:t>
      </w:r>
      <w:r w:rsidRPr="00915581">
        <w:rPr>
          <w:rFonts w:asciiTheme="minorHAnsi" w:hAnsiTheme="minorHAnsi" w:cstheme="minorHAnsi"/>
          <w:i/>
          <w:iCs/>
          <w:sz w:val="22"/>
          <w:szCs w:val="22"/>
          <w:lang w:val="en-US"/>
        </w:rPr>
        <w:t>21</w:t>
      </w:r>
      <w:r w:rsidRPr="00915581">
        <w:rPr>
          <w:rFonts w:asciiTheme="minorHAnsi" w:hAnsiTheme="minorHAnsi" w:cstheme="minorHAnsi"/>
          <w:sz w:val="22"/>
          <w:szCs w:val="22"/>
          <w:lang w:val="en-US"/>
        </w:rPr>
        <w:t>(6), 772-779.e6.</w:t>
      </w:r>
      <w:proofErr w:type="gramEnd"/>
      <w:r w:rsidRPr="00915581">
        <w:rPr>
          <w:rFonts w:asciiTheme="minorHAnsi" w:hAnsiTheme="minorHAnsi" w:cstheme="minorHAnsi"/>
          <w:sz w:val="22"/>
          <w:szCs w:val="22"/>
          <w:lang w:val="en-US"/>
        </w:rPr>
        <w:t xml:space="preserve"> https://doi.org/10.1016/J.JAMDA.2020.03.019</w:t>
      </w:r>
    </w:p>
    <w:p w:rsidR="00D12EB9" w:rsidRPr="0055617D" w:rsidRDefault="00D12EB9" w:rsidP="00F44708">
      <w:pPr>
        <w:pStyle w:val="Default"/>
        <w:rPr>
          <w:sz w:val="28"/>
          <w:szCs w:val="28"/>
          <w:lang w:val="en-US"/>
        </w:rPr>
      </w:pPr>
    </w:p>
    <w:p w:rsidR="00D12EB9" w:rsidRPr="0055617D" w:rsidRDefault="00D12EB9" w:rsidP="00F44708">
      <w:pPr>
        <w:pStyle w:val="Default"/>
        <w:rPr>
          <w:sz w:val="28"/>
          <w:szCs w:val="28"/>
          <w:lang w:val="en-US"/>
        </w:rPr>
      </w:pPr>
    </w:p>
    <w:p w:rsidR="00D12EB9" w:rsidRPr="0055617D" w:rsidRDefault="00D12EB9" w:rsidP="00F44708">
      <w:pPr>
        <w:pStyle w:val="Default"/>
        <w:rPr>
          <w:sz w:val="28"/>
          <w:szCs w:val="28"/>
          <w:lang w:val="en-US"/>
        </w:rPr>
      </w:pPr>
    </w:p>
    <w:p w:rsidR="00D12EB9" w:rsidRPr="0055617D" w:rsidRDefault="00D12EB9" w:rsidP="00F44708">
      <w:pPr>
        <w:pStyle w:val="Default"/>
        <w:rPr>
          <w:sz w:val="28"/>
          <w:szCs w:val="28"/>
          <w:lang w:val="en-US"/>
        </w:rPr>
      </w:pPr>
    </w:p>
    <w:p w:rsidR="00D12EB9" w:rsidRPr="0055617D" w:rsidRDefault="00D12EB9" w:rsidP="00F44708">
      <w:pPr>
        <w:pStyle w:val="Default"/>
        <w:rPr>
          <w:sz w:val="28"/>
          <w:szCs w:val="28"/>
          <w:lang w:val="en-US"/>
        </w:rPr>
      </w:pPr>
    </w:p>
    <w:p w:rsidR="00D12EB9" w:rsidRPr="0055617D" w:rsidRDefault="00D12EB9" w:rsidP="00F44708">
      <w:pPr>
        <w:pStyle w:val="Default"/>
        <w:rPr>
          <w:sz w:val="28"/>
          <w:szCs w:val="28"/>
          <w:lang w:val="en-US"/>
        </w:rPr>
      </w:pPr>
    </w:p>
    <w:p w:rsidR="00D12EB9" w:rsidRPr="0055617D" w:rsidRDefault="00D12EB9" w:rsidP="00F44708">
      <w:pPr>
        <w:pStyle w:val="Default"/>
        <w:rPr>
          <w:sz w:val="28"/>
          <w:szCs w:val="28"/>
          <w:lang w:val="en-US"/>
        </w:rPr>
      </w:pPr>
    </w:p>
    <w:p w:rsidR="00B2297E" w:rsidRPr="005254D9" w:rsidRDefault="00B2297E" w:rsidP="00F44708">
      <w:pPr>
        <w:pStyle w:val="Default"/>
        <w:rPr>
          <w:b/>
          <w:bCs/>
          <w:sz w:val="28"/>
          <w:szCs w:val="28"/>
        </w:rPr>
      </w:pPr>
      <w:r w:rsidRPr="00F44708">
        <w:rPr>
          <w:b/>
          <w:bCs/>
          <w:sz w:val="28"/>
          <w:szCs w:val="28"/>
        </w:rPr>
        <w:t>Δ</w:t>
      </w:r>
      <w:r w:rsidRPr="00511D51">
        <w:rPr>
          <w:b/>
          <w:bCs/>
          <w:sz w:val="28"/>
          <w:szCs w:val="28"/>
        </w:rPr>
        <w:t xml:space="preserve">. </w:t>
      </w:r>
      <w:r w:rsidRPr="00F44708">
        <w:rPr>
          <w:b/>
          <w:bCs/>
          <w:sz w:val="28"/>
          <w:szCs w:val="28"/>
        </w:rPr>
        <w:t>Παράρτημα</w:t>
      </w:r>
    </w:p>
    <w:p w:rsidR="00B2297E" w:rsidRDefault="00B2297E" w:rsidP="00F44708">
      <w:pPr>
        <w:pStyle w:val="Default"/>
        <w:rPr>
          <w:b/>
          <w:bCs/>
          <w:sz w:val="28"/>
          <w:szCs w:val="28"/>
        </w:rPr>
      </w:pPr>
      <w:r w:rsidRPr="00F44708">
        <w:rPr>
          <w:b/>
          <w:bCs/>
          <w:sz w:val="28"/>
          <w:szCs w:val="28"/>
        </w:rPr>
        <w:t xml:space="preserve">Παράρτημα Ι </w:t>
      </w:r>
    </w:p>
    <w:p w:rsidR="00D12EB9" w:rsidRPr="000C7DDA" w:rsidRDefault="00D12EB9" w:rsidP="00F44708">
      <w:pPr>
        <w:pStyle w:val="Default"/>
        <w:rPr>
          <w:b/>
          <w:bCs/>
          <w:sz w:val="28"/>
          <w:szCs w:val="28"/>
        </w:rPr>
      </w:pPr>
    </w:p>
    <w:p w:rsidR="00D12EB9" w:rsidRPr="00D12EB9" w:rsidRDefault="00C202F9" w:rsidP="00F44708">
      <w:pPr>
        <w:pStyle w:val="Default"/>
        <w:rPr>
          <w:b/>
          <w:bCs/>
        </w:rPr>
      </w:pPr>
      <w:r>
        <w:rPr>
          <w:b/>
          <w:bCs/>
        </w:rPr>
        <w:t xml:space="preserve">Α. </w:t>
      </w:r>
      <w:r w:rsidR="00D12EB9" w:rsidRPr="00D12EB9">
        <w:rPr>
          <w:b/>
          <w:bCs/>
        </w:rPr>
        <w:t>Έγκριση μελέτης από την Επιτροπή Βιοηθικής και Δεοντολογίας Ιατρικής Σχολής Αθηνών</w:t>
      </w:r>
    </w:p>
    <w:p w:rsidR="00D12EB9" w:rsidRPr="00D12EB9" w:rsidRDefault="00D12EB9" w:rsidP="00F44708">
      <w:pPr>
        <w:pStyle w:val="Default"/>
        <w:rPr>
          <w:b/>
          <w:bCs/>
          <w:sz w:val="28"/>
          <w:szCs w:val="28"/>
        </w:rPr>
      </w:pPr>
    </w:p>
    <w:p w:rsidR="00B2297E" w:rsidRDefault="00F70AF8" w:rsidP="00B2297E">
      <w:pPr>
        <w:pStyle w:val="Default"/>
        <w:rPr>
          <w:b/>
          <w:bCs/>
          <w:sz w:val="22"/>
          <w:szCs w:val="22"/>
        </w:rPr>
      </w:pPr>
      <w:r>
        <w:rPr>
          <w:b/>
          <w:bCs/>
          <w:sz w:val="22"/>
          <w:szCs w:val="22"/>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501.75pt">
            <v:imagedata r:id="rId23" o:title="TapScanner 01-03-2026-21꞉10"/>
          </v:shape>
        </w:pict>
      </w:r>
    </w:p>
    <w:p w:rsidR="00D12EB9" w:rsidRPr="00315140" w:rsidRDefault="00F70AF8" w:rsidP="00B2297E">
      <w:pPr>
        <w:pStyle w:val="Default"/>
        <w:rPr>
          <w:b/>
          <w:bCs/>
          <w:sz w:val="22"/>
          <w:szCs w:val="22"/>
        </w:rPr>
      </w:pPr>
      <w:r>
        <w:rPr>
          <w:b/>
          <w:bCs/>
          <w:sz w:val="22"/>
          <w:szCs w:val="22"/>
        </w:rPr>
        <w:lastRenderedPageBreak/>
        <w:pict>
          <v:shape id="_x0000_i1026" type="#_x0000_t75" style="width:414.75pt;height:219pt">
            <v:imagedata r:id="rId24" o:title="TapScanner 01-03-2026-21꞉10(1)" cropbottom="10419f"/>
          </v:shape>
        </w:pict>
      </w:r>
    </w:p>
    <w:p w:rsidR="00B2297E" w:rsidRPr="00315140" w:rsidRDefault="00B2297E"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Default="00856400"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Default="00C202F9" w:rsidP="00B2297E">
      <w:pPr>
        <w:pStyle w:val="Default"/>
        <w:rPr>
          <w:b/>
          <w:bCs/>
          <w:sz w:val="22"/>
          <w:szCs w:val="22"/>
        </w:rPr>
      </w:pPr>
    </w:p>
    <w:p w:rsidR="00C202F9" w:rsidRPr="00315140" w:rsidRDefault="00C202F9" w:rsidP="00B2297E">
      <w:pPr>
        <w:pStyle w:val="Default"/>
        <w:rPr>
          <w:b/>
          <w:bCs/>
          <w:sz w:val="22"/>
          <w:szCs w:val="22"/>
        </w:rPr>
      </w:pPr>
    </w:p>
    <w:p w:rsidR="00856400" w:rsidRPr="00315140" w:rsidRDefault="00856400" w:rsidP="00B2297E">
      <w:pPr>
        <w:pStyle w:val="Default"/>
        <w:rPr>
          <w:b/>
          <w:bCs/>
          <w:sz w:val="22"/>
          <w:szCs w:val="22"/>
        </w:rPr>
      </w:pPr>
    </w:p>
    <w:p w:rsidR="00856400" w:rsidRPr="00B4690A" w:rsidRDefault="00C202F9" w:rsidP="00B2297E">
      <w:pPr>
        <w:pStyle w:val="Default"/>
        <w:rPr>
          <w:b/>
          <w:bCs/>
          <w:sz w:val="22"/>
          <w:szCs w:val="22"/>
        </w:rPr>
      </w:pPr>
      <w:r>
        <w:rPr>
          <w:b/>
          <w:bCs/>
          <w:sz w:val="22"/>
          <w:szCs w:val="22"/>
        </w:rPr>
        <w:lastRenderedPageBreak/>
        <w:t>Β. Έγκριση μελέτης από την Ψυχογηριατρική Εταιρεία «Ο Νέστωρ»</w:t>
      </w:r>
      <w:r w:rsidR="00B4690A" w:rsidRPr="00B4690A">
        <w:rPr>
          <w:b/>
          <w:bCs/>
          <w:sz w:val="22"/>
          <w:szCs w:val="22"/>
        </w:rPr>
        <w:t>.</w:t>
      </w:r>
    </w:p>
    <w:p w:rsidR="00C202F9" w:rsidRDefault="00C202F9" w:rsidP="00B2297E">
      <w:pPr>
        <w:pStyle w:val="Default"/>
        <w:rPr>
          <w:b/>
          <w:bCs/>
          <w:sz w:val="22"/>
          <w:szCs w:val="22"/>
        </w:rPr>
      </w:pPr>
    </w:p>
    <w:p w:rsidR="00C202F9" w:rsidRPr="00315140" w:rsidRDefault="00F70AF8" w:rsidP="00B2297E">
      <w:pPr>
        <w:pStyle w:val="Default"/>
        <w:rPr>
          <w:b/>
          <w:bCs/>
          <w:sz w:val="22"/>
          <w:szCs w:val="22"/>
        </w:rPr>
      </w:pPr>
      <w:r>
        <w:rPr>
          <w:b/>
          <w:bCs/>
          <w:sz w:val="22"/>
          <w:szCs w:val="22"/>
        </w:rPr>
        <w:pict>
          <v:shape id="_x0000_i1027" type="#_x0000_t75" style="width:414.75pt;height:482.25pt">
            <v:imagedata r:id="rId25" o:title="TapScanner 01-03-2026-21꞉16" cropbottom="5387f" grayscale="t" bilevel="t"/>
          </v:shape>
        </w:pict>
      </w: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315140" w:rsidRDefault="00856400" w:rsidP="00B2297E">
      <w:pPr>
        <w:pStyle w:val="Default"/>
        <w:rPr>
          <w:b/>
          <w:bCs/>
          <w:sz w:val="22"/>
          <w:szCs w:val="22"/>
        </w:rPr>
      </w:pPr>
    </w:p>
    <w:p w:rsidR="00856400" w:rsidRPr="00D12EB9" w:rsidRDefault="00D12EB9" w:rsidP="00B2297E">
      <w:pPr>
        <w:pStyle w:val="Default"/>
        <w:rPr>
          <w:b/>
          <w:bCs/>
          <w:sz w:val="28"/>
          <w:szCs w:val="28"/>
        </w:rPr>
      </w:pPr>
      <w:r w:rsidRPr="00D12EB9">
        <w:rPr>
          <w:b/>
          <w:bCs/>
          <w:sz w:val="28"/>
          <w:szCs w:val="28"/>
        </w:rPr>
        <w:lastRenderedPageBreak/>
        <w:t>Παράρτημα ΙΙ</w:t>
      </w:r>
    </w:p>
    <w:p w:rsidR="00AF76D2" w:rsidRPr="00E45A68" w:rsidRDefault="00AF76D2" w:rsidP="00AF76D2">
      <w:pPr>
        <w:spacing w:after="160" w:line="256" w:lineRule="auto"/>
        <w:jc w:val="center"/>
        <w:rPr>
          <w:b/>
        </w:rPr>
      </w:pPr>
      <w:r w:rsidRPr="00E45A68">
        <w:rPr>
          <w:b/>
        </w:rPr>
        <w:t>ΦΟΡΜΑ ΚΑΤΑΓΡΑΦΗΣ ΣΤΟΙΧΕΙΩΝ</w:t>
      </w:r>
    </w:p>
    <w:p w:rsidR="00AF76D2" w:rsidRDefault="00AF76D2" w:rsidP="00AF76D2">
      <w:r>
        <w:t>ΗΜΕΡΟΜΗΝΙΑ …../……/………..</w:t>
      </w:r>
    </w:p>
    <w:p w:rsidR="00AF76D2" w:rsidRDefault="00AF76D2" w:rsidP="00AF76D2">
      <w:r>
        <w:t>ΑΑ</w:t>
      </w:r>
      <w:r w:rsidRPr="00E45A68">
        <w:t>:</w:t>
      </w:r>
      <w:r>
        <w:t>……………</w:t>
      </w:r>
      <w:r w:rsidRPr="00E45A68">
        <w:t xml:space="preserve"> </w:t>
      </w:r>
      <w:r>
        <w:t>ΑΡ. ΦΑΚΕΛΟΥ……………………….</w:t>
      </w:r>
      <w:r w:rsidRPr="00E45A68">
        <w:t xml:space="preserve">    </w:t>
      </w:r>
      <w:r>
        <w:t>ΦΑΡΜΑΚΑ (ΑΡΙΘΜΟΣ ΚΑΙ ΑΝΑΛΥΤΙΚΑ)</w:t>
      </w:r>
    </w:p>
    <w:p w:rsidR="00AF76D2" w:rsidRDefault="00AF76D2" w:rsidP="00AF76D2">
      <w:pPr>
        <w:rPr>
          <w:b/>
        </w:rPr>
      </w:pPr>
      <w:r>
        <w:t xml:space="preserve">ΒΙΤ. </w:t>
      </w:r>
      <w:r>
        <w:rPr>
          <w:lang w:val="en-US"/>
        </w:rPr>
        <w:t>D</w:t>
      </w:r>
      <w:r w:rsidRPr="00B523FC">
        <w:t xml:space="preserve"> </w:t>
      </w:r>
      <w:r>
        <w:t xml:space="preserve">ΕΛΛΕΙΨΗ    </w:t>
      </w:r>
      <w:r w:rsidRPr="00B523FC">
        <w:rPr>
          <w:b/>
        </w:rPr>
        <w:t xml:space="preserve">ΝΑΙ   </w:t>
      </w:r>
      <w:r>
        <w:rPr>
          <w:b/>
        </w:rPr>
        <w:t xml:space="preserve">ΟΧΙ </w:t>
      </w:r>
    </w:p>
    <w:p w:rsidR="00AF76D2" w:rsidRPr="00B523FC" w:rsidRDefault="00AF76D2" w:rsidP="00AF76D2">
      <w:r>
        <w:t xml:space="preserve">ΔΙΑΤΑΡ. ΟΡΑΣΗΣ    </w:t>
      </w:r>
      <w:r w:rsidRPr="00B523FC">
        <w:rPr>
          <w:b/>
        </w:rPr>
        <w:t xml:space="preserve">ΝΑΙ   </w:t>
      </w:r>
      <w:r>
        <w:rPr>
          <w:b/>
        </w:rPr>
        <w:t xml:space="preserve">ΟΧΙ               </w:t>
      </w:r>
      <w:r>
        <w:t>ΑΝΑΛΥΤΙΚΑ………………………………………………</w:t>
      </w:r>
    </w:p>
    <w:p w:rsidR="00AF76D2" w:rsidRDefault="00AF76D2" w:rsidP="00AF76D2">
      <w:r>
        <w:t xml:space="preserve">ΔΙΑΤΑΡΑΧΕΣ ΑΚΟΗΣ </w:t>
      </w:r>
      <w:r w:rsidRPr="00B523FC">
        <w:rPr>
          <w:b/>
        </w:rPr>
        <w:t xml:space="preserve">ΝΑΙ   </w:t>
      </w:r>
      <w:r>
        <w:rPr>
          <w:b/>
        </w:rPr>
        <w:t xml:space="preserve">ΟΧΙ            </w:t>
      </w:r>
      <w:r>
        <w:t>ΑΝΑΛΥΤΙΚΑ………………………………………………</w:t>
      </w:r>
    </w:p>
    <w:p w:rsidR="00AF76D2" w:rsidRDefault="00AF76D2" w:rsidP="00AF76D2">
      <w:r>
        <w:t xml:space="preserve">ΚΑΠΝΙΣΜΑ </w:t>
      </w:r>
      <w:r w:rsidRPr="00B523FC">
        <w:rPr>
          <w:b/>
        </w:rPr>
        <w:t>ΝΑΙ</w:t>
      </w:r>
      <w:r>
        <w:rPr>
          <w:b/>
        </w:rPr>
        <w:t xml:space="preserve"> (ΠΟΣΟΤΗΤΑ………………)</w:t>
      </w:r>
      <w:r w:rsidRPr="00B523FC">
        <w:rPr>
          <w:b/>
        </w:rPr>
        <w:t xml:space="preserve">   </w:t>
      </w:r>
      <w:r>
        <w:rPr>
          <w:b/>
        </w:rPr>
        <w:t xml:space="preserve">ΟΧΙ     ΠΡΩΗΝ     ΔΙΑΡΚΕΙΑ (ΕΤΗ)……………………       </w:t>
      </w:r>
    </w:p>
    <w:p w:rsidR="00AF76D2" w:rsidRDefault="00AF76D2" w:rsidP="00AF76D2">
      <w:r>
        <w:t xml:space="preserve">ΑΛΚΟΟΛ </w:t>
      </w:r>
      <w:r w:rsidRPr="00B523FC">
        <w:rPr>
          <w:b/>
        </w:rPr>
        <w:t xml:space="preserve">ΝΑΙ   </w:t>
      </w:r>
      <w:r>
        <w:rPr>
          <w:b/>
        </w:rPr>
        <w:t>ΟΧΙ          ΔΙΑΡΚΕΙΑ/ΣΥΧΝΟΤΗΤΑ  …………………….. ΠΟΣΟΤΗΤΑ……………</w:t>
      </w:r>
    </w:p>
    <w:p w:rsidR="00AF76D2" w:rsidRPr="00E45A68" w:rsidRDefault="00AF76D2" w:rsidP="00AF76D2">
      <w:pPr>
        <w:rPr>
          <w:b/>
          <w:lang w:val="en-US"/>
        </w:rPr>
      </w:pPr>
      <w:r>
        <w:t xml:space="preserve">ΟΥΣΙΕΣ  </w:t>
      </w:r>
      <w:r w:rsidRPr="00B523FC">
        <w:rPr>
          <w:b/>
        </w:rPr>
        <w:t xml:space="preserve">ΝΑΙ   </w:t>
      </w:r>
      <w:r>
        <w:rPr>
          <w:b/>
        </w:rPr>
        <w:t>ΟΧΙ            ΔΙΑΡΚΕΙΑ/ΣΥΧΝΟΤΗΤΑ  ……………………….   ΕΙΔΟΣ</w:t>
      </w:r>
      <w:r w:rsidRPr="00E45A68">
        <w:rPr>
          <w:b/>
          <w:lang w:val="en-US"/>
        </w:rPr>
        <w:t>…………………</w:t>
      </w:r>
    </w:p>
    <w:p w:rsidR="00AF76D2" w:rsidRPr="00E45A68" w:rsidRDefault="00AF76D2" w:rsidP="00AF76D2">
      <w:pPr>
        <w:rPr>
          <w:lang w:val="en-US"/>
        </w:rPr>
      </w:pPr>
      <w:r w:rsidRPr="00293A9B">
        <w:t>ΒΑΡΟΣ</w:t>
      </w:r>
      <w:r w:rsidRPr="00E45A68">
        <w:rPr>
          <w:lang w:val="en-US"/>
        </w:rPr>
        <w:t xml:space="preserve">…………………    </w:t>
      </w:r>
      <w:r>
        <w:t>ΥΨΟΣ</w:t>
      </w:r>
      <w:r w:rsidRPr="00E45A68">
        <w:rPr>
          <w:lang w:val="en-US"/>
        </w:rPr>
        <w:t xml:space="preserve">……………    </w:t>
      </w:r>
      <w:r>
        <w:rPr>
          <w:lang w:val="en-US"/>
        </w:rPr>
        <w:t>BMI</w:t>
      </w:r>
      <w:r w:rsidRPr="00E45A68">
        <w:rPr>
          <w:lang w:val="en-US"/>
        </w:rPr>
        <w:t>……………………….</w:t>
      </w:r>
    </w:p>
    <w:p w:rsidR="00AF76D2" w:rsidRDefault="00AF76D2" w:rsidP="00AF76D2">
      <w:pPr>
        <w:rPr>
          <w:lang w:val="en-US"/>
        </w:rPr>
      </w:pPr>
      <w:r>
        <w:rPr>
          <w:lang w:val="en-US"/>
        </w:rPr>
        <w:t>CLINICAL FRAILTY SCALE ………/9</w:t>
      </w:r>
    </w:p>
    <w:p w:rsidR="00AF76D2" w:rsidRPr="00774FCA" w:rsidRDefault="00AF76D2" w:rsidP="00AF76D2">
      <w:r>
        <w:rPr>
          <w:lang w:val="en-US"/>
        </w:rPr>
        <w:t>TFI</w:t>
      </w:r>
      <w:r w:rsidRPr="005252D5">
        <w:t xml:space="preserve">: </w:t>
      </w:r>
      <w:r>
        <w:t>ΣΩΜΑΤ</w:t>
      </w:r>
      <w:r w:rsidRPr="005252D5">
        <w:t xml:space="preserve">…………….  </w:t>
      </w:r>
      <w:r>
        <w:t>ΨΥΧΟΛΟΓΙΚΗ……………..      ΚΟΙΝΩΝΙΚΗ………………</w:t>
      </w:r>
      <w:r w:rsidRPr="00E45A68">
        <w:t xml:space="preserve"> </w:t>
      </w:r>
      <w:r>
        <w:t xml:space="preserve">ΣΥΝΟΛΟ </w:t>
      </w:r>
      <w:r>
        <w:rPr>
          <w:lang w:val="en-US"/>
        </w:rPr>
        <w:t>TFI</w:t>
      </w:r>
      <w:r w:rsidRPr="00774FCA">
        <w:t>……………..</w:t>
      </w:r>
    </w:p>
    <w:p w:rsidR="00AF76D2" w:rsidRPr="00AF76D2" w:rsidRDefault="00AF76D2" w:rsidP="00AF76D2">
      <w:r>
        <w:rPr>
          <w:lang w:val="en-US"/>
        </w:rPr>
        <w:t>PF</w:t>
      </w:r>
      <w:r w:rsidRPr="00AF76D2">
        <w:t xml:space="preserve"> </w:t>
      </w:r>
      <w:r>
        <w:rPr>
          <w:lang w:val="en-US"/>
        </w:rPr>
        <w:t>PHENOTYPE</w:t>
      </w:r>
      <w:r w:rsidRPr="00AF76D2">
        <w:t xml:space="preserve"> </w:t>
      </w:r>
      <w:r>
        <w:rPr>
          <w:lang w:val="en-US"/>
        </w:rPr>
        <w:t>CRITERIA</w:t>
      </w:r>
      <w:r w:rsidRPr="00AF76D2">
        <w:t xml:space="preserve">: </w:t>
      </w:r>
    </w:p>
    <w:p w:rsidR="00AF76D2" w:rsidRPr="00774FCA" w:rsidRDefault="00AF76D2" w:rsidP="00AF76D2">
      <w:pPr>
        <w:pStyle w:val="ListParagraph"/>
        <w:numPr>
          <w:ilvl w:val="0"/>
          <w:numId w:val="2"/>
        </w:numPr>
        <w:spacing w:after="200" w:line="276" w:lineRule="auto"/>
        <w:contextualSpacing/>
      </w:pPr>
      <w:r w:rsidRPr="00C67537">
        <w:t xml:space="preserve">&gt;5% </w:t>
      </w:r>
      <w:r>
        <w:t>ΑΠΩΛΕΙΑ ΒΑΡΟΥΣ Ή ΒΜΙ 18,5</w:t>
      </w:r>
      <w:r w:rsidRPr="00774FCA">
        <w:rPr>
          <w:lang w:val="en-US"/>
        </w:rPr>
        <w:t>kg</w:t>
      </w:r>
      <w:r w:rsidRPr="00C67537">
        <w:t>/</w:t>
      </w:r>
      <w:r w:rsidRPr="00774FCA">
        <w:rPr>
          <w:lang w:val="en-US"/>
        </w:rPr>
        <w:t>m</w:t>
      </w:r>
      <w:r w:rsidRPr="00774FCA">
        <w:rPr>
          <w:vertAlign w:val="superscript"/>
        </w:rPr>
        <w:t xml:space="preserve">2  </w:t>
      </w:r>
      <w:r>
        <w:t xml:space="preserve"> </w:t>
      </w:r>
      <w:r w:rsidRPr="00C67537">
        <w:t>(</w:t>
      </w:r>
      <w:r>
        <w:rPr>
          <w:lang w:val="en-US"/>
        </w:rPr>
        <w:t>MNA</w:t>
      </w:r>
      <w:r w:rsidRPr="00C67537">
        <w:t xml:space="preserve"> ……………………….)</w:t>
      </w:r>
    </w:p>
    <w:p w:rsidR="00AF76D2" w:rsidRPr="00774FCA" w:rsidRDefault="00AF76D2" w:rsidP="00AF76D2">
      <w:pPr>
        <w:pStyle w:val="ListParagraph"/>
        <w:numPr>
          <w:ilvl w:val="0"/>
          <w:numId w:val="2"/>
        </w:numPr>
        <w:spacing w:after="200" w:line="276" w:lineRule="auto"/>
        <w:contextualSpacing/>
      </w:pPr>
      <w:r>
        <w:t>ΚΟΠΩΣΗ/ΕΞΑΝΤΛΗΣΗ</w:t>
      </w:r>
    </w:p>
    <w:p w:rsidR="00AF76D2" w:rsidRPr="00774FCA" w:rsidRDefault="00AF76D2" w:rsidP="00AF76D2">
      <w:pPr>
        <w:ind w:left="284"/>
      </w:pPr>
      <w:r>
        <w:t>1</w:t>
      </w:r>
      <w:r w:rsidRPr="00774FCA">
        <w:rPr>
          <w:lang w:val="en-US"/>
        </w:rPr>
        <w:t>a</w:t>
      </w:r>
      <w:r>
        <w:t>.</w:t>
      </w:r>
      <w:r w:rsidRPr="00774FCA">
        <w:t xml:space="preserve"> </w:t>
      </w:r>
      <w:r>
        <w:t xml:space="preserve">Τελευταίος μήνας νιώσατε κόπωση </w:t>
      </w:r>
      <w:r w:rsidRPr="00B523FC">
        <w:rPr>
          <w:b/>
        </w:rPr>
        <w:t xml:space="preserve">ΝΑΙ   </w:t>
      </w:r>
      <w:r>
        <w:rPr>
          <w:b/>
        </w:rPr>
        <w:t xml:space="preserve">ΕΑΝ     ΔΕΝ ΞΕΡΩ   ΔΕΝ ΑΠΑΝΤΩ   </w:t>
      </w:r>
    </w:p>
    <w:p w:rsidR="00AF76D2" w:rsidRPr="00774FCA" w:rsidRDefault="00AF76D2" w:rsidP="00AF76D2">
      <w:pPr>
        <w:ind w:left="284"/>
      </w:pPr>
      <w:r w:rsidRPr="00774FCA">
        <w:t>1</w:t>
      </w:r>
      <w:r>
        <w:rPr>
          <w:lang w:val="en-US"/>
        </w:rPr>
        <w:t>b</w:t>
      </w:r>
      <w:r>
        <w:t>.</w:t>
      </w:r>
      <w:r w:rsidRPr="00774FCA">
        <w:t xml:space="preserve"> </w:t>
      </w:r>
      <w:r>
        <w:t>ΕΑΝ ΝΑΙ ΠΟΣΟ ΣΥΧΝΑ</w:t>
      </w:r>
      <w:r w:rsidRPr="00774FCA">
        <w:t xml:space="preserve">: </w:t>
      </w:r>
      <w:r w:rsidRPr="00774FCA">
        <w:rPr>
          <w:b/>
        </w:rPr>
        <w:t>ΣΥΝΕΧΕΙΑ  ΜΕΡΙΚ. ΦΟΡΕΣ  ΛΙΓΕΣ ΦΟΡΕΣ  ΔΕΝ ΞΕΡΩ/ΑΠΑΝΤΩ</w:t>
      </w:r>
    </w:p>
    <w:p w:rsidR="00AF76D2" w:rsidRPr="00774FCA" w:rsidRDefault="00AF76D2" w:rsidP="00AF76D2">
      <w:pPr>
        <w:ind w:left="284"/>
      </w:pPr>
      <w:r w:rsidRPr="00774FCA">
        <w:t>2</w:t>
      </w:r>
      <w:r>
        <w:rPr>
          <w:lang w:val="en-US"/>
        </w:rPr>
        <w:t>a</w:t>
      </w:r>
      <w:r>
        <w:t>.</w:t>
      </w:r>
      <w:r w:rsidRPr="00774FCA">
        <w:t xml:space="preserve"> </w:t>
      </w:r>
      <w:r>
        <w:t xml:space="preserve">Τελευταίος μήνας νιώσατε αδυναμία </w:t>
      </w:r>
      <w:r w:rsidRPr="00B523FC">
        <w:rPr>
          <w:b/>
        </w:rPr>
        <w:t xml:space="preserve">ΝΑΙ   </w:t>
      </w:r>
      <w:r>
        <w:rPr>
          <w:b/>
        </w:rPr>
        <w:t xml:space="preserve">ΕΑΝ     ΔΕΝ ΞΕΡΩ   ΔΕΝ ΑΠΑΝΤΩ   </w:t>
      </w:r>
    </w:p>
    <w:p w:rsidR="00AF76D2" w:rsidRPr="00774FCA" w:rsidRDefault="00AF76D2" w:rsidP="00AF76D2">
      <w:pPr>
        <w:ind w:left="284"/>
      </w:pPr>
      <w:r w:rsidRPr="00774FCA">
        <w:t>2</w:t>
      </w:r>
      <w:r>
        <w:rPr>
          <w:lang w:val="en-US"/>
        </w:rPr>
        <w:t>b</w:t>
      </w:r>
      <w:r>
        <w:t>. ΕΑΝ ΝΑΙ ΠΟΣΟ ΣΥΧΝΑ</w:t>
      </w:r>
      <w:r w:rsidRPr="00774FCA">
        <w:t xml:space="preserve">: </w:t>
      </w:r>
      <w:r w:rsidRPr="00774FCA">
        <w:rPr>
          <w:b/>
        </w:rPr>
        <w:t>ΣΥΝΕΧΕΙΑ  ΜΕΡΙΚ. ΦΟΡΕΣ  ΛΙΓΕΣ ΦΟΡΕΣ  ΔΕΝ ΞΕΡΩ/ΑΠΑΝΤΩ</w:t>
      </w:r>
      <w:r>
        <w:rPr>
          <w:b/>
        </w:rPr>
        <w:t xml:space="preserve"> </w:t>
      </w:r>
    </w:p>
    <w:p w:rsidR="00AF76D2" w:rsidRDefault="00AF76D2" w:rsidP="00AF76D2">
      <w:pPr>
        <w:ind w:left="284"/>
      </w:pPr>
      <w:r>
        <w:rPr>
          <w:lang w:val="en-US"/>
        </w:rPr>
        <w:t>Energy level ……. /10</w:t>
      </w:r>
    </w:p>
    <w:p w:rsidR="00AF76D2" w:rsidRPr="00E20293" w:rsidRDefault="00AF76D2" w:rsidP="00AF76D2">
      <w:pPr>
        <w:pStyle w:val="ListParagraph"/>
        <w:numPr>
          <w:ilvl w:val="0"/>
          <w:numId w:val="2"/>
        </w:numPr>
        <w:spacing w:after="200" w:line="276" w:lineRule="auto"/>
        <w:contextualSpacing/>
      </w:pPr>
      <w:r>
        <w:t xml:space="preserve">ΠΕΡΠΑΤΗΜΑ 4 </w:t>
      </w:r>
      <w:r>
        <w:rPr>
          <w:lang w:val="en-US"/>
        </w:rPr>
        <w:t>m    1…………….’’  2 ……………’’</w:t>
      </w:r>
    </w:p>
    <w:p w:rsidR="00AF76D2" w:rsidRPr="00E20293" w:rsidRDefault="00AF76D2" w:rsidP="00AF76D2">
      <w:pPr>
        <w:pStyle w:val="ListParagraph"/>
        <w:numPr>
          <w:ilvl w:val="0"/>
          <w:numId w:val="2"/>
        </w:numPr>
        <w:spacing w:after="200" w:line="276" w:lineRule="auto"/>
        <w:contextualSpacing/>
      </w:pPr>
      <w:r>
        <w:t>ΓΥΜΝΑΣΤΙΚΗ</w:t>
      </w:r>
      <w:r w:rsidRPr="00E20293">
        <w:t>:</w:t>
      </w:r>
      <w:r>
        <w:t xml:space="preserve"> ΕΙΔΟΣ…………………………….. ΣΥΧΝΟΤΗΤΑ/ΕΒΔ …………… ΔΙΑΡΚΕΙΑ….………</w:t>
      </w:r>
      <w:r w:rsidRPr="00E45A68">
        <w:t>..</w:t>
      </w:r>
    </w:p>
    <w:p w:rsidR="00AF76D2" w:rsidRPr="00E20293" w:rsidRDefault="00AF76D2" w:rsidP="00AF76D2">
      <w:pPr>
        <w:pStyle w:val="ListParagraph"/>
        <w:numPr>
          <w:ilvl w:val="0"/>
          <w:numId w:val="2"/>
        </w:numPr>
        <w:spacing w:after="200" w:line="276" w:lineRule="auto"/>
        <w:contextualSpacing/>
      </w:pPr>
      <w:r>
        <w:t>ΔΥΝΑΜΗ ΔΡΑΓΜΟΥ</w:t>
      </w:r>
      <w:r w:rsidRPr="00E20293">
        <w:t>:   1</w:t>
      </w:r>
      <w:r>
        <w:t>η……….</w:t>
      </w:r>
      <w:r>
        <w:rPr>
          <w:lang w:val="en-US"/>
        </w:rPr>
        <w:t>kg</w:t>
      </w:r>
      <w:r w:rsidRPr="00E20293">
        <w:t xml:space="preserve">  </w:t>
      </w:r>
      <w:r>
        <w:t xml:space="preserve"> 2</w:t>
      </w:r>
      <w:r w:rsidRPr="00E20293">
        <w:rPr>
          <w:vertAlign w:val="superscript"/>
        </w:rPr>
        <w:t>η</w:t>
      </w:r>
      <w:r>
        <w:t>…………..</w:t>
      </w:r>
      <w:r>
        <w:rPr>
          <w:lang w:val="en-US"/>
        </w:rPr>
        <w:t>kg</w:t>
      </w:r>
      <w:r w:rsidRPr="00E20293">
        <w:t xml:space="preserve">   3</w:t>
      </w:r>
      <w:r w:rsidRPr="00E20293">
        <w:rPr>
          <w:vertAlign w:val="superscript"/>
        </w:rPr>
        <w:t>η</w:t>
      </w:r>
      <w:r>
        <w:t>……………..</w:t>
      </w:r>
      <w:r>
        <w:rPr>
          <w:lang w:val="en-US"/>
        </w:rPr>
        <w:t>kg</w:t>
      </w:r>
    </w:p>
    <w:p w:rsidR="00AF76D2" w:rsidRDefault="00AF76D2" w:rsidP="00AF76D2">
      <w:pPr>
        <w:rPr>
          <w:lang w:val="en-US"/>
        </w:rPr>
      </w:pPr>
      <w:r>
        <w:t>ΣΥΝΟΛΟ</w:t>
      </w:r>
      <w:r>
        <w:rPr>
          <w:lang w:val="en-US"/>
        </w:rPr>
        <w:t>: ……….</w:t>
      </w:r>
      <w:r w:rsidRPr="00E45A68">
        <w:rPr>
          <w:lang w:val="en-US"/>
        </w:rPr>
        <w:t xml:space="preserve"> /5</w:t>
      </w:r>
    </w:p>
    <w:p w:rsidR="00AF76D2" w:rsidRDefault="00AF76D2" w:rsidP="00AF76D2">
      <w:pPr>
        <w:rPr>
          <w:lang w:val="en-US"/>
        </w:rPr>
      </w:pPr>
      <w:r>
        <w:rPr>
          <w:lang w:val="en-US"/>
        </w:rPr>
        <w:t xml:space="preserve">SPPB: </w:t>
      </w:r>
      <w:r w:rsidRPr="00E20293">
        <w:rPr>
          <w:lang w:val="en-US"/>
        </w:rPr>
        <w:tab/>
      </w:r>
      <w:r>
        <w:rPr>
          <w:lang w:val="en-US"/>
        </w:rPr>
        <w:t>BALANCE TEST:   ONE FOOT………’’  SEMI…………”   TANDEM……….’’</w:t>
      </w:r>
    </w:p>
    <w:p w:rsidR="00AF76D2" w:rsidRDefault="00AF76D2" w:rsidP="00AF76D2">
      <w:pPr>
        <w:rPr>
          <w:lang w:val="en-US"/>
        </w:rPr>
      </w:pPr>
      <w:r>
        <w:rPr>
          <w:lang w:val="en-US"/>
        </w:rPr>
        <w:t>CHAIR STAND TEST ……………’’</w:t>
      </w:r>
    </w:p>
    <w:p w:rsidR="00AF76D2" w:rsidRPr="00FC1F18" w:rsidRDefault="00AF76D2" w:rsidP="00AF76D2">
      <w:r w:rsidRPr="00FC1F18">
        <w:t xml:space="preserve">ΠΕΡΠΑΤΗΜΑ 4 </w:t>
      </w:r>
      <w:r>
        <w:rPr>
          <w:lang w:val="en-US"/>
        </w:rPr>
        <w:t>m</w:t>
      </w:r>
      <w:r w:rsidRPr="00FC1F18">
        <w:t xml:space="preserve">    1…………….’’ 2 ……………’’</w:t>
      </w:r>
    </w:p>
    <w:p w:rsidR="00D12EB9" w:rsidRPr="00AF76D2" w:rsidRDefault="00AF76D2" w:rsidP="00AF76D2">
      <w:r>
        <w:t>ΣΥΝΟΛΟ</w:t>
      </w:r>
      <w:r w:rsidRPr="00FC1F18">
        <w:t>:    ……………/12</w:t>
      </w:r>
    </w:p>
    <w:p w:rsidR="00856400" w:rsidRPr="00D12EB9" w:rsidRDefault="00B2297E" w:rsidP="00D12EB9">
      <w:pPr>
        <w:pStyle w:val="Default"/>
        <w:rPr>
          <w:rFonts w:ascii="Katsoulidis" w:hAnsi="Katsoulidis" w:cs="Arial"/>
          <w:b/>
          <w:sz w:val="28"/>
          <w:szCs w:val="28"/>
        </w:rPr>
      </w:pPr>
      <w:r w:rsidRPr="00D12EB9">
        <w:rPr>
          <w:b/>
          <w:bCs/>
          <w:sz w:val="28"/>
          <w:szCs w:val="28"/>
        </w:rPr>
        <w:lastRenderedPageBreak/>
        <w:t>Παράρτημα ΙΙ</w:t>
      </w:r>
      <w:r w:rsidR="00D12EB9" w:rsidRPr="00D12EB9">
        <w:rPr>
          <w:b/>
          <w:bCs/>
          <w:sz w:val="28"/>
          <w:szCs w:val="28"/>
          <w:lang w:val="en-US"/>
        </w:rPr>
        <w:t>I</w:t>
      </w:r>
    </w:p>
    <w:p w:rsidR="00856400" w:rsidRDefault="00856400" w:rsidP="00856400">
      <w:pPr>
        <w:jc w:val="center"/>
        <w:rPr>
          <w:rFonts w:ascii="Katsoulidis" w:hAnsi="Katsoulidis" w:cs="Arial"/>
          <w:b/>
          <w:sz w:val="21"/>
          <w:szCs w:val="21"/>
        </w:rPr>
      </w:pPr>
      <w:r>
        <w:rPr>
          <w:rFonts w:ascii="Katsoulidis" w:hAnsi="Katsoulidis" w:cs="Arial"/>
          <w:b/>
          <w:sz w:val="21"/>
          <w:szCs w:val="21"/>
        </w:rPr>
        <w:t>ΕΝΤΥΠΟ ΕΝΗΜΕΡΩΣΗΣ</w:t>
      </w:r>
    </w:p>
    <w:p w:rsidR="00856400" w:rsidRDefault="00856400" w:rsidP="00856400">
      <w:pPr>
        <w:spacing w:line="360" w:lineRule="auto"/>
        <w:jc w:val="center"/>
        <w:rPr>
          <w:rFonts w:ascii="Katsoulidis" w:hAnsi="Katsoulidis" w:cs="Arial"/>
          <w:sz w:val="21"/>
          <w:szCs w:val="21"/>
        </w:rPr>
      </w:pPr>
      <w:r>
        <w:rPr>
          <w:rFonts w:ascii="Katsoulidis" w:hAnsi="Katsoulidis" w:cs="Arial"/>
          <w:b/>
          <w:sz w:val="21"/>
          <w:szCs w:val="21"/>
        </w:rPr>
        <w:t>ΓΙΑ ΤΟΝ ΣΥΜΜΕΤΕΧΟΝΤΑ ΣΤΗ ΜΕΛΕΤΗ</w:t>
      </w:r>
    </w:p>
    <w:p w:rsidR="00856400" w:rsidRDefault="00856400" w:rsidP="00856400">
      <w:pPr>
        <w:spacing w:line="360" w:lineRule="auto"/>
        <w:jc w:val="center"/>
        <w:rPr>
          <w:rFonts w:ascii="Katsoulidis" w:hAnsi="Katsoulidis" w:cs="Arial"/>
          <w:sz w:val="21"/>
          <w:szCs w:val="21"/>
        </w:rPr>
      </w:pPr>
    </w:p>
    <w:p w:rsidR="00856400" w:rsidRDefault="00856400" w:rsidP="00856400">
      <w:pPr>
        <w:spacing w:line="360" w:lineRule="auto"/>
        <w:jc w:val="both"/>
        <w:rPr>
          <w:rFonts w:ascii="Katsoulidis" w:hAnsi="Katsoulidis" w:cs="Arial"/>
          <w:b/>
          <w:sz w:val="21"/>
          <w:szCs w:val="21"/>
        </w:rPr>
      </w:pPr>
      <w:r>
        <w:rPr>
          <w:rFonts w:ascii="Katsoulidis" w:hAnsi="Katsoulidis" w:cs="Arial"/>
          <w:b/>
          <w:sz w:val="21"/>
          <w:szCs w:val="21"/>
        </w:rPr>
        <w:t>Τίτλος  Μελέτης:</w:t>
      </w:r>
    </w:p>
    <w:p w:rsidR="00856400" w:rsidRPr="00315140" w:rsidRDefault="00856400" w:rsidP="00856400">
      <w:pPr>
        <w:spacing w:line="360" w:lineRule="auto"/>
        <w:jc w:val="both"/>
        <w:rPr>
          <w:rFonts w:ascii="Katsoulidis" w:hAnsi="Katsoulidis" w:cs="Arial"/>
          <w:b/>
          <w:i/>
          <w:sz w:val="21"/>
          <w:szCs w:val="21"/>
        </w:rPr>
      </w:pPr>
      <w:r>
        <w:rPr>
          <w:rFonts w:ascii="Katsoulidis" w:hAnsi="Katsoulidis" w:cs="Arial"/>
          <w:i/>
          <w:sz w:val="21"/>
          <w:szCs w:val="21"/>
        </w:rPr>
        <w:t>«Το σύνδρομο της ευπάθειας σε άτομα με φυσιολογική  γνωστική λειτουργία, ήπια νευρογνωστική διαταραχή και ήπια άνοια.»</w:t>
      </w:r>
    </w:p>
    <w:p w:rsidR="00856400" w:rsidRDefault="00856400" w:rsidP="00856400">
      <w:pPr>
        <w:spacing w:line="360" w:lineRule="auto"/>
        <w:jc w:val="both"/>
        <w:rPr>
          <w:rFonts w:ascii="Katsoulidis" w:hAnsi="Katsoulidis" w:cs="Arial"/>
          <w:sz w:val="21"/>
          <w:szCs w:val="21"/>
        </w:rPr>
      </w:pPr>
      <w:bookmarkStart w:id="1" w:name="_Hlk117591287"/>
      <w:r>
        <w:rPr>
          <w:rFonts w:ascii="Katsoulidis" w:hAnsi="Katsoulidis" w:cs="Arial"/>
          <w:b/>
          <w:sz w:val="21"/>
          <w:szCs w:val="21"/>
        </w:rPr>
        <w:t>Επιστημονικά Υπεύθυνος: Κραββαρίτη Ευρυδίκη</w:t>
      </w:r>
      <w:r>
        <w:rPr>
          <w:rFonts w:ascii="Katsoulidis" w:hAnsi="Katsoulidis" w:cs="Arial"/>
          <w:sz w:val="21"/>
          <w:szCs w:val="21"/>
        </w:rPr>
        <w:t xml:space="preserve"> </w:t>
      </w:r>
    </w:p>
    <w:p w:rsidR="00856400" w:rsidRPr="007B4A4C" w:rsidRDefault="00856400" w:rsidP="00856400">
      <w:pPr>
        <w:spacing w:line="360" w:lineRule="auto"/>
        <w:jc w:val="both"/>
        <w:rPr>
          <w:rFonts w:ascii="Katsoulidis" w:hAnsi="Katsoulidis" w:cs="Arial"/>
          <w:sz w:val="21"/>
          <w:szCs w:val="21"/>
          <w:lang w:val="en-US"/>
        </w:rPr>
      </w:pPr>
      <w:proofErr w:type="gramStart"/>
      <w:r>
        <w:rPr>
          <w:rFonts w:ascii="Katsoulidis" w:hAnsi="Katsoulidis" w:cs="Arial"/>
          <w:sz w:val="21"/>
          <w:szCs w:val="21"/>
          <w:lang w:val="en-US"/>
        </w:rPr>
        <w:t>e</w:t>
      </w:r>
      <w:r w:rsidRPr="007B4A4C">
        <w:rPr>
          <w:rFonts w:ascii="Katsoulidis" w:hAnsi="Katsoulidis" w:cs="Arial"/>
          <w:sz w:val="21"/>
          <w:szCs w:val="21"/>
          <w:lang w:val="en-US"/>
        </w:rPr>
        <w:t>-</w:t>
      </w:r>
      <w:r>
        <w:rPr>
          <w:rFonts w:ascii="Katsoulidis" w:hAnsi="Katsoulidis" w:cs="Arial"/>
          <w:sz w:val="21"/>
          <w:szCs w:val="21"/>
          <w:lang w:val="en-US"/>
        </w:rPr>
        <w:t>mail</w:t>
      </w:r>
      <w:proofErr w:type="gramEnd"/>
      <w:r w:rsidRPr="007B4A4C">
        <w:rPr>
          <w:rFonts w:ascii="Katsoulidis" w:hAnsi="Katsoulidis" w:cs="Arial"/>
          <w:sz w:val="21"/>
          <w:szCs w:val="21"/>
          <w:lang w:val="en-US"/>
        </w:rPr>
        <w:t>:</w:t>
      </w:r>
      <w:r w:rsidRPr="007B4A4C">
        <w:rPr>
          <w:lang w:val="en-US"/>
        </w:rPr>
        <w:t xml:space="preserve"> </w:t>
      </w:r>
      <w:r>
        <w:rPr>
          <w:rFonts w:ascii="Katsoulidis" w:hAnsi="Katsoulidis" w:cs="Arial"/>
          <w:sz w:val="21"/>
          <w:szCs w:val="21"/>
          <w:lang w:val="en-US"/>
        </w:rPr>
        <w:t>ev</w:t>
      </w:r>
      <w:r w:rsidRPr="007B4A4C">
        <w:rPr>
          <w:rFonts w:ascii="Katsoulidis" w:hAnsi="Katsoulidis" w:cs="Arial"/>
          <w:sz w:val="21"/>
          <w:szCs w:val="21"/>
          <w:lang w:val="en-US"/>
        </w:rPr>
        <w:t>.</w:t>
      </w:r>
      <w:r>
        <w:rPr>
          <w:rFonts w:ascii="Katsoulidis" w:hAnsi="Katsoulidis" w:cs="Arial"/>
          <w:sz w:val="21"/>
          <w:szCs w:val="21"/>
          <w:lang w:val="en-US"/>
        </w:rPr>
        <w:t>kravvariti</w:t>
      </w:r>
      <w:r w:rsidRPr="007B4A4C">
        <w:rPr>
          <w:rFonts w:ascii="Katsoulidis" w:hAnsi="Katsoulidis" w:cs="Arial"/>
          <w:sz w:val="21"/>
          <w:szCs w:val="21"/>
          <w:lang w:val="en-US"/>
        </w:rPr>
        <w:t>@</w:t>
      </w:r>
      <w:r>
        <w:rPr>
          <w:rFonts w:ascii="Katsoulidis" w:hAnsi="Katsoulidis" w:cs="Arial"/>
          <w:sz w:val="21"/>
          <w:szCs w:val="21"/>
          <w:lang w:val="en-US"/>
        </w:rPr>
        <w:t>gmail</w:t>
      </w:r>
      <w:r w:rsidRPr="007B4A4C">
        <w:rPr>
          <w:rFonts w:ascii="Katsoulidis" w:hAnsi="Katsoulidis" w:cs="Arial"/>
          <w:sz w:val="21"/>
          <w:szCs w:val="21"/>
          <w:lang w:val="en-US"/>
        </w:rPr>
        <w:t>.</w:t>
      </w:r>
      <w:r>
        <w:rPr>
          <w:rFonts w:ascii="Katsoulidis" w:hAnsi="Katsoulidis" w:cs="Arial"/>
          <w:sz w:val="21"/>
          <w:szCs w:val="21"/>
          <w:lang w:val="en-US"/>
        </w:rPr>
        <w:t>com</w:t>
      </w:r>
    </w:p>
    <w:p w:rsidR="00856400" w:rsidRPr="00315140" w:rsidRDefault="00856400" w:rsidP="00856400">
      <w:pPr>
        <w:spacing w:line="360" w:lineRule="auto"/>
        <w:jc w:val="both"/>
        <w:rPr>
          <w:rFonts w:ascii="Katsoulidis" w:hAnsi="Katsoulidis" w:cs="Arial"/>
          <w:b/>
          <w:sz w:val="21"/>
          <w:szCs w:val="21"/>
        </w:rPr>
      </w:pPr>
      <w:r>
        <w:rPr>
          <w:rFonts w:ascii="Katsoulidis" w:hAnsi="Katsoulidis" w:cs="Arial"/>
          <w:sz w:val="21"/>
          <w:szCs w:val="21"/>
        </w:rPr>
        <w:t>Τηλέφωνο: 69</w:t>
      </w:r>
      <w:bookmarkEnd w:id="1"/>
      <w:r w:rsidR="00210B4D">
        <w:rPr>
          <w:rFonts w:ascii="Katsoulidis" w:hAnsi="Katsoulidis" w:cs="Arial"/>
          <w:sz w:val="21"/>
          <w:szCs w:val="21"/>
        </w:rPr>
        <w:t>******************</w:t>
      </w:r>
    </w:p>
    <w:p w:rsidR="00856400" w:rsidRDefault="00856400" w:rsidP="00856400">
      <w:pPr>
        <w:spacing w:line="360" w:lineRule="auto"/>
        <w:jc w:val="both"/>
        <w:rPr>
          <w:rFonts w:ascii="Katsoulidis" w:hAnsi="Katsoulidis" w:cs="Arial"/>
          <w:b/>
          <w:sz w:val="21"/>
          <w:szCs w:val="21"/>
        </w:rPr>
      </w:pPr>
      <w:r>
        <w:rPr>
          <w:rFonts w:ascii="Katsoulidis" w:hAnsi="Katsoulidis" w:cs="Arial"/>
          <w:b/>
          <w:sz w:val="21"/>
          <w:szCs w:val="21"/>
        </w:rPr>
        <w:t xml:space="preserve">Φορέας Χρηματοδότησης: </w:t>
      </w:r>
      <w:r>
        <w:rPr>
          <w:rFonts w:ascii="Katsoulidis" w:hAnsi="Katsoulidis" w:cs="Arial"/>
          <w:sz w:val="21"/>
          <w:szCs w:val="21"/>
        </w:rPr>
        <w:t>ΕΚΠΑ</w:t>
      </w:r>
    </w:p>
    <w:p w:rsidR="00856400" w:rsidRPr="00315140" w:rsidRDefault="00856400" w:rsidP="00856400">
      <w:pPr>
        <w:spacing w:line="360" w:lineRule="auto"/>
        <w:jc w:val="both"/>
        <w:rPr>
          <w:rFonts w:ascii="Katsoulidis" w:hAnsi="Katsoulidis" w:cs="Arial"/>
          <w:sz w:val="21"/>
          <w:szCs w:val="21"/>
        </w:rPr>
      </w:pPr>
      <w:r>
        <w:rPr>
          <w:rFonts w:ascii="Katsoulidis" w:hAnsi="Katsoulidis" w:cs="Arial"/>
          <w:sz w:val="21"/>
          <w:szCs w:val="21"/>
        </w:rPr>
        <w:t>Η έρευνα θα υλοποιηθεί με πόρους της ιδίας της ερευνήτριας.</w:t>
      </w:r>
    </w:p>
    <w:p w:rsidR="00856400" w:rsidRPr="00315140" w:rsidRDefault="00856400" w:rsidP="00856400">
      <w:pPr>
        <w:keepNext/>
        <w:keepLines/>
        <w:spacing w:line="360" w:lineRule="auto"/>
        <w:rPr>
          <w:rFonts w:ascii="Katsoulidis" w:hAnsi="Katsoulidis" w:cs="Arial"/>
          <w:sz w:val="21"/>
          <w:szCs w:val="21"/>
        </w:rPr>
      </w:pPr>
      <w:r>
        <w:rPr>
          <w:rFonts w:ascii="Katsoulidis" w:hAnsi="Katsoulidis" w:cs="Arial"/>
          <w:sz w:val="21"/>
          <w:szCs w:val="21"/>
        </w:rPr>
        <w:t>Η μελέτη πραγματοποιείται στα πλαίσια Διπλωματικής εργασίας του ΠΜΣ ΦΥΣΙΟΛΟΓΙΑ ΤΗΣ ΓΗΡΑΝΣΗΣ ΚΑΙ ΓΗΡΙΑΤΡΙΚΑ ΣΥΝΔΡΟΜΑ της Ιατρικής Σχολής του ΕΚΠΑ.</w:t>
      </w:r>
    </w:p>
    <w:p w:rsidR="00856400" w:rsidRDefault="00856400" w:rsidP="00856400">
      <w:pPr>
        <w:spacing w:line="360" w:lineRule="auto"/>
        <w:jc w:val="both"/>
        <w:rPr>
          <w:rFonts w:ascii="Katsoulidis" w:hAnsi="Katsoulidis" w:cs="Arial"/>
          <w:sz w:val="21"/>
          <w:szCs w:val="21"/>
        </w:rPr>
      </w:pPr>
      <w:r>
        <w:rPr>
          <w:rFonts w:ascii="Katsoulidis" w:hAnsi="Katsoulidis" w:cs="Arial"/>
          <w:b/>
          <w:sz w:val="21"/>
          <w:szCs w:val="21"/>
        </w:rPr>
        <w:t xml:space="preserve">Λοιπά μέλη Επιστημονικής Ομάδας: </w:t>
      </w:r>
      <w:r>
        <w:rPr>
          <w:rFonts w:ascii="Katsoulidis" w:hAnsi="Katsoulidis" w:cs="Arial"/>
          <w:sz w:val="21"/>
          <w:szCs w:val="21"/>
        </w:rPr>
        <w:t>(Ο</w:t>
      </w:r>
      <w:r>
        <w:rPr>
          <w:rFonts w:ascii="Katsoulidis" w:hAnsi="Katsoulidis" w:cs="Arial"/>
          <w:i/>
          <w:sz w:val="21"/>
          <w:szCs w:val="21"/>
        </w:rPr>
        <w:t>νοματεπώνυμο /Διεύθυνση/</w:t>
      </w:r>
      <w:r>
        <w:rPr>
          <w:rFonts w:ascii="Katsoulidis" w:hAnsi="Katsoulidis" w:cs="Arial"/>
          <w:i/>
          <w:sz w:val="21"/>
          <w:szCs w:val="21"/>
          <w:lang w:val="en-US"/>
        </w:rPr>
        <w:t>e</w:t>
      </w:r>
      <w:r>
        <w:rPr>
          <w:rFonts w:ascii="Katsoulidis" w:hAnsi="Katsoulidis" w:cs="Arial"/>
          <w:i/>
          <w:sz w:val="21"/>
          <w:szCs w:val="21"/>
        </w:rPr>
        <w:t>-</w:t>
      </w:r>
      <w:r>
        <w:rPr>
          <w:rFonts w:ascii="Katsoulidis" w:hAnsi="Katsoulidis" w:cs="Arial"/>
          <w:i/>
          <w:sz w:val="21"/>
          <w:szCs w:val="21"/>
          <w:lang w:val="en-US"/>
        </w:rPr>
        <w:t>mail</w:t>
      </w:r>
      <w:r>
        <w:rPr>
          <w:rFonts w:ascii="Katsoulidis" w:hAnsi="Katsoulidis" w:cs="Arial"/>
          <w:sz w:val="21"/>
          <w:szCs w:val="21"/>
        </w:rPr>
        <w:t>)</w:t>
      </w:r>
    </w:p>
    <w:p w:rsidR="00856400" w:rsidRDefault="00856400" w:rsidP="00856400">
      <w:pPr>
        <w:pStyle w:val="ListParagraph"/>
        <w:numPr>
          <w:ilvl w:val="0"/>
          <w:numId w:val="1"/>
        </w:numPr>
        <w:spacing w:line="360" w:lineRule="auto"/>
        <w:jc w:val="both"/>
        <w:rPr>
          <w:rFonts w:ascii="Katsoulidis" w:hAnsi="Katsoulidis" w:cs="Arial"/>
          <w:sz w:val="21"/>
          <w:szCs w:val="21"/>
        </w:rPr>
      </w:pPr>
      <w:r>
        <w:rPr>
          <w:rFonts w:ascii="Katsoulidis" w:hAnsi="Katsoulidis" w:cs="Arial"/>
          <w:sz w:val="21"/>
          <w:szCs w:val="21"/>
        </w:rPr>
        <w:t xml:space="preserve">Σφηκάκης Πέτρος, </w:t>
      </w:r>
      <w:hyperlink r:id="rId26" w:history="1">
        <w:r>
          <w:rPr>
            <w:rStyle w:val="Hyperlink"/>
            <w:rFonts w:ascii="Katsoulidis" w:hAnsi="Katsoulidis" w:cs="Arial"/>
            <w:sz w:val="21"/>
            <w:szCs w:val="21"/>
          </w:rPr>
          <w:t>psfikakis@med.uoa.g</w:t>
        </w:r>
        <w:r>
          <w:rPr>
            <w:rStyle w:val="Hyperlink"/>
            <w:rFonts w:ascii="Katsoulidis" w:hAnsi="Katsoulidis" w:cs="Arial"/>
            <w:sz w:val="21"/>
            <w:szCs w:val="21"/>
            <w:lang w:val="en-US"/>
          </w:rPr>
          <w:t>r</w:t>
        </w:r>
      </w:hyperlink>
      <w:r w:rsidRPr="00856400">
        <w:rPr>
          <w:rFonts w:ascii="Katsoulidis" w:hAnsi="Katsoulidis" w:cs="Arial"/>
          <w:sz w:val="21"/>
          <w:szCs w:val="21"/>
        </w:rPr>
        <w:t xml:space="preserve"> </w:t>
      </w:r>
    </w:p>
    <w:p w:rsidR="00856400" w:rsidRDefault="00856400" w:rsidP="00856400">
      <w:pPr>
        <w:pStyle w:val="ListParagraph"/>
        <w:numPr>
          <w:ilvl w:val="0"/>
          <w:numId w:val="1"/>
        </w:numPr>
        <w:spacing w:line="360" w:lineRule="auto"/>
        <w:jc w:val="both"/>
        <w:rPr>
          <w:rFonts w:ascii="Katsoulidis" w:hAnsi="Katsoulidis" w:cs="Arial"/>
          <w:sz w:val="21"/>
          <w:szCs w:val="21"/>
        </w:rPr>
      </w:pPr>
      <w:r>
        <w:rPr>
          <w:rFonts w:ascii="Katsoulidis" w:hAnsi="Katsoulidis" w:cs="Arial"/>
          <w:sz w:val="21"/>
          <w:szCs w:val="21"/>
        </w:rPr>
        <w:t xml:space="preserve">Αναγνώστου Ευάγγελος , </w:t>
      </w:r>
      <w:hyperlink r:id="rId27" w:history="1">
        <w:r>
          <w:rPr>
            <w:rStyle w:val="Hyperlink"/>
            <w:rFonts w:ascii="Katsoulidis" w:hAnsi="Katsoulidis" w:cs="Arial"/>
            <w:sz w:val="21"/>
            <w:szCs w:val="21"/>
          </w:rPr>
          <w:t>eanagnost@eginitio.uoa.g</w:t>
        </w:r>
        <w:r>
          <w:rPr>
            <w:rStyle w:val="Hyperlink"/>
            <w:rFonts w:ascii="Katsoulidis" w:hAnsi="Katsoulidis" w:cs="Arial"/>
            <w:sz w:val="21"/>
            <w:szCs w:val="21"/>
            <w:lang w:val="en-US"/>
          </w:rPr>
          <w:t>r</w:t>
        </w:r>
      </w:hyperlink>
    </w:p>
    <w:p w:rsidR="00856400" w:rsidRDefault="00856400" w:rsidP="00856400">
      <w:pPr>
        <w:pStyle w:val="ListParagraph"/>
        <w:spacing w:line="360" w:lineRule="auto"/>
        <w:jc w:val="both"/>
        <w:rPr>
          <w:rFonts w:ascii="Katsoulidis" w:hAnsi="Katsoulidis" w:cs="Arial"/>
          <w:sz w:val="21"/>
          <w:szCs w:val="21"/>
        </w:rPr>
      </w:pPr>
    </w:p>
    <w:p w:rsidR="00856400" w:rsidRDefault="00856400" w:rsidP="00856400">
      <w:pPr>
        <w:spacing w:line="360" w:lineRule="auto"/>
        <w:jc w:val="both"/>
        <w:rPr>
          <w:rFonts w:ascii="Katsoulidis" w:hAnsi="Katsoulidis" w:cs="Arial"/>
          <w:b/>
          <w:sz w:val="21"/>
          <w:szCs w:val="21"/>
        </w:rPr>
      </w:pPr>
      <w:r>
        <w:rPr>
          <w:rFonts w:ascii="Katsoulidis" w:hAnsi="Katsoulidis" w:cs="Arial"/>
          <w:b/>
          <w:sz w:val="21"/>
          <w:szCs w:val="21"/>
        </w:rPr>
        <w:t>Υπεύθυνος Προστασίας Δεδομένων (</w:t>
      </w:r>
      <w:r>
        <w:rPr>
          <w:rFonts w:ascii="Katsoulidis" w:hAnsi="Katsoulidis" w:cs="Arial"/>
          <w:b/>
          <w:sz w:val="21"/>
          <w:szCs w:val="21"/>
          <w:lang w:val="en-US"/>
        </w:rPr>
        <w:t>DPO</w:t>
      </w:r>
      <w:r>
        <w:rPr>
          <w:rFonts w:ascii="Katsoulidis" w:hAnsi="Katsoulidis" w:cs="Arial"/>
          <w:b/>
          <w:sz w:val="21"/>
          <w:szCs w:val="21"/>
        </w:rPr>
        <w:t xml:space="preserve">) ΕΚΠΑ: </w:t>
      </w:r>
    </w:p>
    <w:p w:rsidR="00856400" w:rsidRDefault="00856400" w:rsidP="00856400">
      <w:pPr>
        <w:spacing w:line="360" w:lineRule="auto"/>
        <w:jc w:val="both"/>
        <w:rPr>
          <w:rFonts w:ascii="Katsoulidis" w:hAnsi="Katsoulidis" w:cs="Arial"/>
          <w:i/>
          <w:sz w:val="21"/>
          <w:szCs w:val="21"/>
          <w:lang w:val="de-DE"/>
        </w:rPr>
      </w:pPr>
      <w:r>
        <w:rPr>
          <w:rFonts w:ascii="Katsoulidis" w:hAnsi="Katsoulidis" w:cs="Arial"/>
          <w:i/>
          <w:sz w:val="21"/>
          <w:szCs w:val="21"/>
          <w:lang w:val="de-DE"/>
        </w:rPr>
        <w:t xml:space="preserve">(e-mail: </w:t>
      </w:r>
      <w:r w:rsidR="00F70AF8">
        <w:fldChar w:fldCharType="begin"/>
      </w:r>
      <w:r w:rsidR="00F70AF8" w:rsidRPr="00F70AF8">
        <w:rPr>
          <w:lang w:val="en-US"/>
        </w:rPr>
        <w:instrText xml:space="preserve"> HYPERLINK "mailto:dpo@uoa.gr" </w:instrText>
      </w:r>
      <w:r w:rsidR="00F70AF8">
        <w:fldChar w:fldCharType="separate"/>
      </w:r>
      <w:r>
        <w:rPr>
          <w:rStyle w:val="Hyperlink"/>
          <w:rFonts w:ascii="Katsoulidis" w:hAnsi="Katsoulidis" w:cs="Arial"/>
          <w:i/>
          <w:sz w:val="21"/>
          <w:szCs w:val="21"/>
          <w:lang w:val="de-DE"/>
        </w:rPr>
        <w:t>dpo@uoa.gr</w:t>
      </w:r>
      <w:r w:rsidR="00F70AF8">
        <w:rPr>
          <w:rStyle w:val="Hyperlink"/>
          <w:rFonts w:ascii="Katsoulidis" w:hAnsi="Katsoulidis" w:cs="Arial"/>
          <w:i/>
          <w:sz w:val="21"/>
          <w:szCs w:val="21"/>
          <w:lang w:val="de-DE"/>
        </w:rPr>
        <w:fldChar w:fldCharType="end"/>
      </w:r>
      <w:r>
        <w:rPr>
          <w:rFonts w:ascii="Katsoulidis" w:hAnsi="Katsoulidis" w:cs="Arial"/>
          <w:i/>
          <w:sz w:val="21"/>
          <w:szCs w:val="21"/>
          <w:lang w:val="de-DE"/>
        </w:rPr>
        <w:t xml:space="preserve"> / </w:t>
      </w:r>
      <w:r>
        <w:rPr>
          <w:rFonts w:ascii="Katsoulidis" w:hAnsi="Katsoulidis" w:cs="Arial"/>
          <w:i/>
          <w:sz w:val="21"/>
          <w:szCs w:val="21"/>
        </w:rPr>
        <w:t>τηλέφωνο</w:t>
      </w:r>
      <w:r>
        <w:rPr>
          <w:rFonts w:ascii="Katsoulidis" w:hAnsi="Katsoulidis" w:cs="Arial"/>
          <w:i/>
          <w:sz w:val="21"/>
          <w:szCs w:val="21"/>
          <w:lang w:val="de-DE"/>
        </w:rPr>
        <w:t xml:space="preserve"> 210-3689771</w:t>
      </w:r>
      <w:r>
        <w:rPr>
          <w:rFonts w:ascii="Katsoulidis" w:hAnsi="Katsoulidis" w:cs="Arial"/>
          <w:i/>
          <w:color w:val="365F91"/>
          <w:sz w:val="21"/>
          <w:szCs w:val="21"/>
          <w:lang w:val="de-DE"/>
        </w:rPr>
        <w:t>)</w:t>
      </w:r>
    </w:p>
    <w:p w:rsidR="00856400" w:rsidRDefault="00856400" w:rsidP="00856400">
      <w:pPr>
        <w:spacing w:line="360" w:lineRule="auto"/>
        <w:jc w:val="both"/>
        <w:rPr>
          <w:rFonts w:ascii="Katsoulidis" w:hAnsi="Katsoulidis" w:cs="Arial"/>
          <w:i/>
          <w:sz w:val="21"/>
          <w:szCs w:val="21"/>
          <w:lang w:val="de-DE"/>
        </w:rPr>
      </w:pPr>
      <w:r>
        <w:rPr>
          <w:rFonts w:ascii="Katsoulidis" w:hAnsi="Katsoulidis" w:cs="Arial"/>
          <w:b/>
          <w:sz w:val="21"/>
          <w:szCs w:val="21"/>
        </w:rPr>
        <w:t>Σημαντικές Πληροφορίες:</w:t>
      </w:r>
    </w:p>
    <w:p w:rsidR="00856400" w:rsidRDefault="00856400" w:rsidP="00856400">
      <w:pPr>
        <w:spacing w:line="360" w:lineRule="auto"/>
        <w:jc w:val="both"/>
        <w:rPr>
          <w:rFonts w:ascii="Katsoulidis" w:hAnsi="Katsoulidis" w:cs="Arial"/>
          <w:i/>
          <w:sz w:val="21"/>
          <w:szCs w:val="21"/>
          <w:lang w:val="de-DE"/>
        </w:rPr>
      </w:pPr>
      <w:r>
        <w:rPr>
          <w:rFonts w:ascii="Katsoulidis" w:hAnsi="Katsoulidis" w:cs="Arial"/>
          <w:sz w:val="21"/>
          <w:szCs w:val="21"/>
        </w:rPr>
        <w:t>Από ποιόν φορέα  διεξάγεται η μελέτη: (</w:t>
      </w:r>
      <w:r>
        <w:rPr>
          <w:rFonts w:ascii="Katsoulidis" w:hAnsi="Katsoulidis" w:cs="Arial"/>
          <w:i/>
          <w:iCs/>
          <w:sz w:val="18"/>
          <w:szCs w:val="18"/>
        </w:rPr>
        <w:t xml:space="preserve">π.χ. ΕΚΠΑ, </w:t>
      </w:r>
      <w:r>
        <w:rPr>
          <w:rFonts w:ascii="Katsoulidis" w:hAnsi="Katsoulidis" w:cs="Arial"/>
          <w:i/>
          <w:iCs/>
          <w:sz w:val="18"/>
          <w:szCs w:val="18"/>
          <w:lang w:val="en-US"/>
        </w:rPr>
        <w:t>Pasteur</w:t>
      </w:r>
      <w:r>
        <w:rPr>
          <w:rFonts w:ascii="Katsoulidis" w:hAnsi="Katsoulidis" w:cs="Arial"/>
          <w:i/>
          <w:iCs/>
          <w:sz w:val="18"/>
          <w:szCs w:val="18"/>
        </w:rPr>
        <w:t>, Ίδρυμα Ακαδημίας κ.α.) ΕΚΠΑ, Τμήμα Ιατρικής</w:t>
      </w:r>
      <w:r w:rsidRPr="00856400">
        <w:rPr>
          <w:rFonts w:ascii="Katsoulidis" w:hAnsi="Katsoulidis" w:cs="Arial"/>
          <w:sz w:val="21"/>
          <w:szCs w:val="21"/>
        </w:rPr>
        <w:t xml:space="preserve"> </w:t>
      </w:r>
      <w:r>
        <w:rPr>
          <w:rFonts w:ascii="Katsoulidis" w:hAnsi="Katsoulidis" w:cs="Arial"/>
          <w:sz w:val="21"/>
          <w:szCs w:val="21"/>
        </w:rPr>
        <w:t>Τόπος διεξαγωγής της μελέτης:Ψυχογηριατρικής Εταιρεία «Ο Νέστωρ»</w:t>
      </w:r>
    </w:p>
    <w:p w:rsidR="00856400" w:rsidRPr="00856400" w:rsidRDefault="00856400" w:rsidP="00856400">
      <w:pPr>
        <w:spacing w:line="360" w:lineRule="auto"/>
        <w:jc w:val="both"/>
        <w:rPr>
          <w:rFonts w:ascii="Katsoulidis" w:hAnsi="Katsoulidis" w:cs="Arial"/>
          <w:i/>
          <w:sz w:val="21"/>
          <w:szCs w:val="21"/>
          <w:lang w:val="de-DE"/>
        </w:rPr>
      </w:pPr>
      <w:r>
        <w:rPr>
          <w:rFonts w:ascii="Katsoulidis" w:hAnsi="Katsoulidis" w:cs="Arial"/>
          <w:sz w:val="21"/>
          <w:szCs w:val="21"/>
        </w:rPr>
        <w:t>Διάρκεια διεξαγωγής της μελέτης:09/2025-01/2026</w:t>
      </w:r>
    </w:p>
    <w:p w:rsidR="00856400" w:rsidRDefault="00856400" w:rsidP="00856400">
      <w:pPr>
        <w:keepNext/>
        <w:keepLines/>
        <w:rPr>
          <w:rFonts w:ascii="Katsoulidis" w:hAnsi="Katsoulidis" w:cs="Arial"/>
          <w:sz w:val="21"/>
          <w:szCs w:val="21"/>
        </w:rPr>
      </w:pPr>
      <w:r>
        <w:rPr>
          <w:rFonts w:ascii="Katsoulidis" w:hAnsi="Katsoulidis" w:cs="Arial"/>
          <w:sz w:val="21"/>
          <w:szCs w:val="21"/>
        </w:rPr>
        <w:lastRenderedPageBreak/>
        <w:t>Αξιολόγηση της γνωστικής, σωματικής και συναισθηματικής σας κατάστασης ασθενών και τη διερεύνηση ή μη Νευρογνωστικής Διαταραχής καθώς και της συσχέτισης των αποτελεσμάτων με το επίπεδο ευαλωτότητας, παράγοντες που επηρεάζονται με την ηλικία.</w:t>
      </w:r>
    </w:p>
    <w:p w:rsidR="00856400" w:rsidRPr="00841DE4" w:rsidRDefault="00856400" w:rsidP="00856400">
      <w:pPr>
        <w:keepNext/>
        <w:keepLines/>
        <w:rPr>
          <w:rFonts w:ascii="Katsoulidis" w:hAnsi="Katsoulidis" w:cs="Arial"/>
          <w:sz w:val="21"/>
          <w:szCs w:val="21"/>
        </w:rPr>
      </w:pPr>
      <w:r>
        <w:rPr>
          <w:rFonts w:ascii="Katsoulidis" w:hAnsi="Katsoulidis" w:cs="Arial"/>
          <w:sz w:val="21"/>
          <w:szCs w:val="21"/>
        </w:rPr>
        <w:t>Σ</w:t>
      </w:r>
      <w:r w:rsidR="00841DE4">
        <w:rPr>
          <w:rFonts w:ascii="Katsoulidis" w:hAnsi="Katsoulidis" w:cs="Arial"/>
          <w:sz w:val="21"/>
          <w:szCs w:val="21"/>
        </w:rPr>
        <w:t>ας προσκαλούμε να λάβετε μέρος.</w:t>
      </w:r>
      <w:r w:rsidR="00841DE4" w:rsidRPr="00841DE4">
        <w:rPr>
          <w:rFonts w:ascii="Katsoulidis" w:hAnsi="Katsoulidis" w:cs="Arial"/>
          <w:sz w:val="21"/>
          <w:szCs w:val="21"/>
        </w:rPr>
        <w:t xml:space="preserve"> </w:t>
      </w:r>
      <w:proofErr w:type="gramStart"/>
      <w:r>
        <w:rPr>
          <w:rFonts w:ascii="Katsoulidis" w:hAnsi="Katsoulidis" w:cs="Arial"/>
          <w:sz w:val="21"/>
          <w:szCs w:val="21"/>
          <w:lang w:val="en-US"/>
        </w:rPr>
        <w:t>H</w:t>
      </w:r>
      <w:r>
        <w:rPr>
          <w:rFonts w:ascii="Katsoulidis" w:hAnsi="Katsoulidis" w:cs="Arial"/>
          <w:sz w:val="21"/>
          <w:szCs w:val="21"/>
        </w:rPr>
        <w:t xml:space="preserve"> συμμετοχή σας στη μελέτη αυτή είναι εθελοντική.</w:t>
      </w:r>
      <w:proofErr w:type="gramEnd"/>
      <w:r>
        <w:rPr>
          <w:rFonts w:ascii="Katsoulidis" w:hAnsi="Katsoulidis" w:cs="Arial"/>
          <w:sz w:val="21"/>
          <w:szCs w:val="21"/>
        </w:rPr>
        <w:t xml:space="preserve"> </w:t>
      </w:r>
    </w:p>
    <w:p w:rsidR="00856400" w:rsidRPr="00315140" w:rsidRDefault="00856400" w:rsidP="00856400">
      <w:pPr>
        <w:keepNext/>
        <w:keepLines/>
        <w:jc w:val="both"/>
        <w:rPr>
          <w:rFonts w:ascii="Katsoulidis" w:hAnsi="Katsoulidis" w:cs="Arial"/>
          <w:sz w:val="21"/>
          <w:szCs w:val="21"/>
        </w:rPr>
      </w:pPr>
      <w:r>
        <w:rPr>
          <w:rFonts w:ascii="Katsoulidis" w:hAnsi="Katsoulidis" w:cs="Arial"/>
          <w:sz w:val="21"/>
          <w:szCs w:val="21"/>
        </w:rPr>
        <w:t>Σας παρακαλούμε να μελετήσετε προσεκτικά τις πληροφορίες αυτού του εντύπου και να μη διστάσετε να επικοινωνήσετε με τους παραπάνω υπεύθυνους μελέτης για περισσότερες πληροφορίες ή διευκρινήσεις, Προκειμένου να αποφασίσετε αν επιθυμείτε να συμμετάσχετε στη μελέτη, μπορείτε να συζητήσετε τις πληροφορίες αυτού του εντύπου με κάποιον από την οικογένεια σας, και τον/την ιατρό σας, Επιπλέον, για οποιοδήποτε λόγο χρειασθεί, μπορούμε να συναντηθούμε από κοντά.</w:t>
      </w:r>
    </w:p>
    <w:p w:rsidR="00856400" w:rsidRPr="00315140" w:rsidRDefault="00856400" w:rsidP="00856400">
      <w:pPr>
        <w:keepNext/>
        <w:keepLines/>
        <w:jc w:val="both"/>
        <w:rPr>
          <w:rFonts w:ascii="Katsoulidis" w:hAnsi="Katsoulidis" w:cs="Arial"/>
          <w:b/>
          <w:bCs/>
          <w:sz w:val="21"/>
          <w:szCs w:val="21"/>
        </w:rPr>
      </w:pPr>
      <w:r>
        <w:rPr>
          <w:rFonts w:ascii="Katsoulidis" w:hAnsi="Katsoulidis" w:cs="Arial"/>
          <w:b/>
          <w:bCs/>
          <w:sz w:val="21"/>
          <w:szCs w:val="21"/>
        </w:rPr>
        <w:t xml:space="preserve">Σκοπός της μελέτης: </w:t>
      </w:r>
      <w:r>
        <w:rPr>
          <w:rFonts w:ascii="Katsoulidis" w:hAnsi="Katsoulidis" w:cs="Arial"/>
          <w:sz w:val="21"/>
          <w:szCs w:val="21"/>
        </w:rPr>
        <w:t xml:space="preserve">Κατά την μελέτη θα διεξάγεται ατομική συνέντευξη με τους επωφελούμενους και φροντιστές αυτών μέσω σταθμισμένων κλιμάκων αξιολόγησης της λειτουργικότητας, της γνωστικής, συναισθηματικής και σωματικής κατάστασης τους. </w:t>
      </w:r>
      <w:bookmarkStart w:id="2" w:name="_Hlk523231501"/>
    </w:p>
    <w:p w:rsidR="00856400" w:rsidRDefault="00856400" w:rsidP="00856400">
      <w:pPr>
        <w:keepNext/>
        <w:keepLines/>
        <w:rPr>
          <w:rFonts w:ascii="Katsoulidis" w:hAnsi="Katsoulidis" w:cs="Arial"/>
          <w:b/>
          <w:bCs/>
          <w:sz w:val="21"/>
          <w:szCs w:val="21"/>
        </w:rPr>
      </w:pPr>
      <w:r>
        <w:rPr>
          <w:rFonts w:ascii="Katsoulidis" w:hAnsi="Katsoulidis" w:cs="Arial"/>
          <w:b/>
          <w:bCs/>
          <w:sz w:val="21"/>
          <w:szCs w:val="21"/>
        </w:rPr>
        <w:t>Επιλογή συμμετεχόντων: γιατί σας ζητάμε να συμμετέχετε;</w:t>
      </w:r>
      <w:r>
        <w:rPr>
          <w:rFonts w:ascii="Katsoulidis" w:hAnsi="Katsoulidis" w:cs="Arial"/>
          <w:sz w:val="21"/>
          <w:szCs w:val="21"/>
        </w:rPr>
        <w:t xml:space="preserve"> </w:t>
      </w:r>
      <w:bookmarkEnd w:id="2"/>
    </w:p>
    <w:p w:rsidR="00856400" w:rsidRPr="00315140" w:rsidRDefault="00856400" w:rsidP="00856400">
      <w:pPr>
        <w:keepNext/>
        <w:keepLines/>
        <w:rPr>
          <w:rFonts w:ascii="Katsoulidis" w:hAnsi="Katsoulidis" w:cs="Arial"/>
          <w:sz w:val="21"/>
          <w:szCs w:val="21"/>
        </w:rPr>
      </w:pPr>
      <w:r>
        <w:rPr>
          <w:rFonts w:ascii="Katsoulidis" w:hAnsi="Katsoulidis" w:cs="Arial"/>
          <w:sz w:val="21"/>
          <w:szCs w:val="21"/>
        </w:rPr>
        <w:t>Στη μελέτη καλούνται να συμμετέχουν άτομα ηλικίας 70+ που παρουσιάζουν ή μη νευρογνωστικές διαταραχές.</w:t>
      </w:r>
    </w:p>
    <w:p w:rsidR="00856400" w:rsidRDefault="00856400" w:rsidP="00856400">
      <w:pPr>
        <w:keepNext/>
        <w:keepLines/>
        <w:jc w:val="both"/>
        <w:rPr>
          <w:rFonts w:ascii="Katsoulidis" w:hAnsi="Katsoulidis" w:cs="Arial"/>
          <w:b/>
          <w:bCs/>
          <w:sz w:val="21"/>
          <w:szCs w:val="21"/>
        </w:rPr>
      </w:pPr>
      <w:r>
        <w:rPr>
          <w:rFonts w:ascii="Katsoulidis" w:hAnsi="Katsoulidis" w:cs="Arial"/>
          <w:b/>
          <w:bCs/>
          <w:sz w:val="21"/>
          <w:szCs w:val="21"/>
        </w:rPr>
        <w:t>Η συμμετοχή είναι εθελοντική:</w:t>
      </w:r>
    </w:p>
    <w:p w:rsidR="00856400" w:rsidRPr="00315140" w:rsidRDefault="00856400" w:rsidP="00856400">
      <w:pPr>
        <w:keepNext/>
        <w:keepLines/>
        <w:jc w:val="both"/>
        <w:rPr>
          <w:rFonts w:ascii="Katsoulidis" w:hAnsi="Katsoulidis" w:cs="Arial"/>
          <w:iCs/>
          <w:sz w:val="21"/>
          <w:szCs w:val="21"/>
        </w:rPr>
      </w:pPr>
      <w:r>
        <w:rPr>
          <w:rFonts w:ascii="Katsoulidis" w:hAnsi="Katsoulidis" w:cs="Arial"/>
          <w:iCs/>
          <w:sz w:val="21"/>
          <w:szCs w:val="21"/>
        </w:rPr>
        <w:t>Δεν χρειάζεται να συμμετέχετε στη μελέτη, εφόσον δεν το επιθυμείτε. Ακόμα και αν τώρα απαντήσετε θετικά, στην συνέχεια, μπορείτε οποιαδήποτε στιγμή να αλλάξετε γνώμη και να αποσυρθείτε από τη μελέτη χωρίς αυτό να επηρεάσει τη φροντίδα και τις υπηρεσίες που λαμβάνετε για την πάθησή σας.</w:t>
      </w:r>
    </w:p>
    <w:p w:rsidR="00856400" w:rsidRDefault="00856400" w:rsidP="00856400">
      <w:pPr>
        <w:keepNext/>
        <w:keepLines/>
        <w:jc w:val="both"/>
        <w:rPr>
          <w:rFonts w:ascii="Katsoulidis" w:hAnsi="Katsoulidis" w:cs="Arial"/>
          <w:bCs/>
          <w:sz w:val="21"/>
          <w:szCs w:val="21"/>
        </w:rPr>
      </w:pPr>
      <w:r>
        <w:rPr>
          <w:rFonts w:ascii="Katsoulidis" w:hAnsi="Katsoulidis" w:cs="Arial"/>
          <w:b/>
          <w:bCs/>
          <w:sz w:val="21"/>
          <w:szCs w:val="21"/>
        </w:rPr>
        <w:t>Κόστος συμμετοχής:</w:t>
      </w:r>
      <w:r>
        <w:rPr>
          <w:rFonts w:ascii="Katsoulidis" w:hAnsi="Katsoulidis" w:cs="Arial"/>
          <w:sz w:val="21"/>
          <w:szCs w:val="21"/>
        </w:rPr>
        <w:t xml:space="preserve"> </w:t>
      </w:r>
    </w:p>
    <w:p w:rsidR="00856400" w:rsidRPr="00315140" w:rsidRDefault="00856400" w:rsidP="00856400">
      <w:pPr>
        <w:keepNext/>
        <w:keepLines/>
        <w:jc w:val="both"/>
        <w:rPr>
          <w:rFonts w:ascii="Katsoulidis" w:hAnsi="Katsoulidis" w:cs="Arial"/>
          <w:bCs/>
          <w:i/>
          <w:sz w:val="21"/>
          <w:szCs w:val="21"/>
        </w:rPr>
      </w:pPr>
      <w:r>
        <w:rPr>
          <w:rFonts w:ascii="Katsoulidis" w:hAnsi="Katsoulidis" w:cs="Arial"/>
          <w:bCs/>
          <w:i/>
          <w:sz w:val="21"/>
          <w:szCs w:val="21"/>
        </w:rPr>
        <w:t xml:space="preserve">Η  συμμετοχή σας στη μελέτη δεν θα επιβαρύνει οικονομικά ούτε εσας τον ίδιο, ούτε τον ασφαλιστικό σας φορέα, ούτε το κένρο στο οποίο αξιολογείστε. </w:t>
      </w:r>
    </w:p>
    <w:p w:rsidR="00856400" w:rsidRDefault="00856400" w:rsidP="00856400">
      <w:pPr>
        <w:keepNext/>
        <w:keepLines/>
        <w:jc w:val="both"/>
        <w:rPr>
          <w:rFonts w:ascii="Katsoulidis" w:hAnsi="Katsoulidis" w:cs="Arial"/>
          <w:b/>
          <w:bCs/>
          <w:sz w:val="21"/>
          <w:szCs w:val="21"/>
        </w:rPr>
      </w:pPr>
      <w:r>
        <w:rPr>
          <w:rFonts w:ascii="Katsoulidis" w:hAnsi="Katsoulidis" w:cs="Arial"/>
          <w:b/>
          <w:bCs/>
          <w:sz w:val="21"/>
          <w:szCs w:val="21"/>
        </w:rPr>
        <w:t>Διαδικασία-διάρκεια έρευνας:</w:t>
      </w:r>
      <w:r>
        <w:rPr>
          <w:rFonts w:ascii="Katsoulidis" w:hAnsi="Katsoulidis" w:cs="Arial"/>
          <w:sz w:val="21"/>
          <w:szCs w:val="21"/>
        </w:rPr>
        <w:t xml:space="preserve"> </w:t>
      </w:r>
      <w:r>
        <w:rPr>
          <w:rFonts w:ascii="Katsoulidis" w:hAnsi="Katsoulidis" w:cs="Arial"/>
          <w:b/>
          <w:bCs/>
          <w:sz w:val="21"/>
          <w:szCs w:val="21"/>
        </w:rPr>
        <w:t xml:space="preserve"> </w:t>
      </w:r>
    </w:p>
    <w:p w:rsidR="00856400" w:rsidRPr="00315140" w:rsidRDefault="00856400" w:rsidP="00856400">
      <w:pPr>
        <w:rPr>
          <w:rFonts w:ascii="Times New Roman" w:hAnsi="Times New Roman" w:cs="Times New Roman"/>
          <w:sz w:val="20"/>
          <w:szCs w:val="20"/>
        </w:rPr>
      </w:pPr>
      <w:r>
        <w:t>Κατά την μελέτη θα διεξάγεται ατομική συνέντευξη με τους επωφελούμενους και φροντιστές αυτών μέσω σταθμισμένων κλιμάκων αξιολόγησης της λειτουργικότητας, της γνωστικής, συναισθηματικής και σωματικής κατάστασης τους.</w:t>
      </w:r>
    </w:p>
    <w:p w:rsidR="00856400" w:rsidRPr="00856400" w:rsidRDefault="00856400" w:rsidP="00856400">
      <w:pPr>
        <w:rPr>
          <w:rFonts w:ascii="Times New Roman" w:hAnsi="Times New Roman" w:cs="Times New Roman"/>
          <w:sz w:val="20"/>
          <w:szCs w:val="20"/>
        </w:rPr>
      </w:pPr>
      <w:r>
        <w:rPr>
          <w:rFonts w:ascii="Katsoulidis" w:hAnsi="Katsoulidis" w:cs="Arial"/>
          <w:b/>
          <w:bCs/>
          <w:sz w:val="21"/>
          <w:szCs w:val="21"/>
        </w:rPr>
        <w:t>Κίνδυνοι: Η συμμετοχή μου ενέχει κινδύνους για εμένα; (Περιγραφή των κινδύνων ή επεξήγηση του γιατί δεν υπάρχουν. Περιγραφή πιθανού πόνου σωματικού ή μη κατά τη διάρκεια συμμετοχής του συμμετέχοντα  στη μελέτη).</w:t>
      </w:r>
    </w:p>
    <w:p w:rsidR="00856400" w:rsidRPr="00315140" w:rsidRDefault="00856400" w:rsidP="00856400">
      <w:pPr>
        <w:rPr>
          <w:rFonts w:ascii="Times New Roman" w:hAnsi="Times New Roman" w:cs="Times New Roman"/>
          <w:sz w:val="20"/>
          <w:szCs w:val="20"/>
        </w:rPr>
      </w:pPr>
      <w:r>
        <w:t>Δεν υπάρχουν προβλέψιμοι κίνδυνοι που προκύπτουν από τη συμμετοχή σας στην παρούσα έρευνα, καθώς οι κλίμακες έχουν δοκιμαστεί και χρησιμοποιηθεί σε ποικίλες έρευνες και θεωρούνται ασφαλείς.</w:t>
      </w:r>
    </w:p>
    <w:p w:rsidR="00856400" w:rsidRPr="00856400" w:rsidRDefault="00856400" w:rsidP="00856400">
      <w:pPr>
        <w:rPr>
          <w:rFonts w:ascii="Times New Roman" w:hAnsi="Times New Roman" w:cs="Times New Roman"/>
          <w:sz w:val="20"/>
          <w:szCs w:val="20"/>
        </w:rPr>
      </w:pPr>
      <w:r>
        <w:rPr>
          <w:rFonts w:ascii="Katsoulidis" w:hAnsi="Katsoulidis" w:cs="Arial"/>
          <w:b/>
          <w:bCs/>
          <w:sz w:val="21"/>
          <w:szCs w:val="21"/>
        </w:rPr>
        <w:t>Οφέλη από τη συμμετοχή μου στη μελέτη: Θα συμβεί κάτι ευεργετικό σε εμένα; (Σύντομη περιγραφή του πιθανού οφέλους που θα έχει η συμμετέχουσα/ο συμμετέχων)</w:t>
      </w:r>
    </w:p>
    <w:p w:rsidR="00856400" w:rsidRPr="00315140" w:rsidRDefault="00856400" w:rsidP="00856400">
      <w:pPr>
        <w:rPr>
          <w:rFonts w:ascii="Times New Roman" w:hAnsi="Times New Roman" w:cs="Times New Roman"/>
          <w:sz w:val="20"/>
          <w:szCs w:val="20"/>
        </w:rPr>
      </w:pPr>
      <w:r>
        <w:lastRenderedPageBreak/>
        <w:t>Η μελέτη θα προσφέρει νέα γνώση στο πεδίο μελέτης της ευπάθειας,  της γνωστικής, συναισθηματικής και σωματικής κατάστασης των ατόμων μεγάλης ηλικίας με απώτερο σκοπό την δημιουργία μελλοντικών παρεμβάσεων.</w:t>
      </w:r>
    </w:p>
    <w:p w:rsidR="00856400" w:rsidRDefault="00856400" w:rsidP="00856400">
      <w:pPr>
        <w:keepNext/>
        <w:keepLines/>
        <w:jc w:val="both"/>
        <w:rPr>
          <w:rFonts w:ascii="Katsoulidis" w:hAnsi="Katsoulidis" w:cs="Arial"/>
          <w:b/>
          <w:bCs/>
          <w:sz w:val="21"/>
          <w:szCs w:val="21"/>
        </w:rPr>
      </w:pPr>
      <w:r>
        <w:rPr>
          <w:rFonts w:ascii="Katsoulidis" w:hAnsi="Katsoulidis" w:cs="Arial"/>
          <w:b/>
          <w:bCs/>
          <w:sz w:val="21"/>
          <w:szCs w:val="21"/>
        </w:rPr>
        <w:t xml:space="preserve">Δεδομένα: Τι δεδομένα θα συλλεχθούν και θα διατηρηθούν; </w:t>
      </w:r>
      <w:r>
        <w:rPr>
          <w:rFonts w:ascii="Katsoulidis" w:hAnsi="Katsoulidis" w:cs="Arial"/>
          <w:bCs/>
          <w:i/>
          <w:sz w:val="21"/>
          <w:szCs w:val="21"/>
        </w:rPr>
        <w:t>(αναλυτική περιγραφή του τι θα καταγραφεί/συλλεχθεί και πώς (</w:t>
      </w:r>
      <w:r>
        <w:rPr>
          <w:rFonts w:ascii="Katsoulidis" w:hAnsi="Katsoulidis" w:cs="Arial"/>
          <w:bCs/>
          <w:i/>
          <w:sz w:val="18"/>
          <w:szCs w:val="18"/>
        </w:rPr>
        <w:t xml:space="preserve">π.χ. </w:t>
      </w:r>
      <w:r>
        <w:rPr>
          <w:rFonts w:ascii="Katsoulidis" w:hAnsi="Katsoulidis" w:cs="Arial"/>
          <w:i/>
          <w:sz w:val="18"/>
          <w:szCs w:val="18"/>
        </w:rPr>
        <w:t xml:space="preserve"> Τα δεδομένα που σας αφορούν θα καταστραφούν και δεν θα χρησιμοποιηθούν ή εναλλακτικά θα αποθηκευτούν και θα γίνει χρήση τους αυστηρώς εμπιστευτικά.</w:t>
      </w:r>
      <w:r>
        <w:rPr>
          <w:rFonts w:ascii="Katsoulidis" w:hAnsi="Katsoulidis" w:cs="Arial"/>
          <w:i/>
          <w:sz w:val="21"/>
          <w:szCs w:val="21"/>
        </w:rPr>
        <w:t xml:space="preserve"> </w:t>
      </w:r>
      <w:r>
        <w:rPr>
          <w:rFonts w:ascii="Katsoulidis" w:hAnsi="Katsoulidis" w:cs="Arial"/>
          <w:b/>
          <w:i/>
          <w:sz w:val="21"/>
          <w:szCs w:val="21"/>
        </w:rPr>
        <w:t>Αν αποθηκευθούν</w:t>
      </w:r>
      <w:r>
        <w:rPr>
          <w:rFonts w:ascii="Katsoulidis" w:hAnsi="Katsoulidis" w:cs="Arial"/>
          <w:i/>
          <w:sz w:val="21"/>
          <w:szCs w:val="21"/>
        </w:rPr>
        <w:t>:  να αναφερθεί ο τόπος, η χρονική διάρκεια και ο Υπεύθυνος αποθήκευσης και να αναφερθεί ότι θα γίνει ανωνυμοποίηση των δεδομένων ώστε να μην είναι δυνατόν τα ταυτοποιηθεί το φυσικό πρόσωπο του συμμετέχοντα).</w:t>
      </w:r>
    </w:p>
    <w:p w:rsidR="00856400" w:rsidRPr="00315140" w:rsidRDefault="00856400" w:rsidP="00856400">
      <w:pPr>
        <w:jc w:val="both"/>
        <w:rPr>
          <w:rFonts w:ascii="Katsoulidis" w:hAnsi="Katsoulidis" w:cs="Arial"/>
          <w:i/>
        </w:rPr>
      </w:pPr>
      <w:r>
        <w:rPr>
          <w:rFonts w:ascii="Katsoulidis" w:hAnsi="Katsoulidis" w:cs="Arial"/>
          <w:i/>
        </w:rPr>
        <w:t>Τα δεδομένα που σας αφορούν θα αποθηκευτούν και θα γίνει χρήση τους αυστηρώς εμπιστευτικά για 12 μήνες από την ερευνήτρια.</w:t>
      </w:r>
    </w:p>
    <w:p w:rsidR="00856400" w:rsidRDefault="00856400" w:rsidP="00856400">
      <w:pPr>
        <w:jc w:val="both"/>
        <w:rPr>
          <w:rFonts w:ascii="Katsoulidis" w:hAnsi="Katsoulidis" w:cs="Arial"/>
          <w:b/>
          <w:bCs/>
          <w:sz w:val="21"/>
          <w:szCs w:val="21"/>
        </w:rPr>
      </w:pPr>
      <w:r>
        <w:rPr>
          <w:rFonts w:ascii="Katsoulidis" w:hAnsi="Katsoulidis" w:cs="Arial"/>
          <w:b/>
          <w:bCs/>
          <w:sz w:val="21"/>
          <w:szCs w:val="21"/>
        </w:rPr>
        <w:t xml:space="preserve">Ποιός θα παραλάβει ή/και θα καταχωρήσει και ποιος θα έχει πρόσβαση; </w:t>
      </w:r>
    </w:p>
    <w:p w:rsidR="00856400" w:rsidRPr="00315140" w:rsidRDefault="00856400" w:rsidP="00856400">
      <w:pPr>
        <w:keepNext/>
        <w:keepLines/>
        <w:rPr>
          <w:rFonts w:ascii="Katsoulidis" w:hAnsi="Katsoulidis" w:cs="Arial"/>
          <w:sz w:val="21"/>
          <w:szCs w:val="21"/>
        </w:rPr>
      </w:pPr>
      <w:r>
        <w:rPr>
          <w:rFonts w:ascii="Katsoulidis" w:hAnsi="Katsoulidis" w:cs="Arial"/>
          <w:sz w:val="21"/>
          <w:szCs w:val="21"/>
        </w:rPr>
        <w:t xml:space="preserve">Τα δεδομένα από την παρούσα έρευνα θα παραλάβει και καταχωρίσει η ερευνήτρια, όπου θα είναι και η μόνη που θα έχει πρόσβαση σε αυτά. </w:t>
      </w:r>
    </w:p>
    <w:p w:rsidR="00856400" w:rsidRDefault="00856400" w:rsidP="00856400">
      <w:pPr>
        <w:keepNext/>
        <w:keepLines/>
        <w:jc w:val="both"/>
        <w:rPr>
          <w:rFonts w:ascii="Katsoulidis" w:hAnsi="Katsoulidis" w:cs="Arial"/>
          <w:sz w:val="21"/>
          <w:szCs w:val="21"/>
        </w:rPr>
      </w:pPr>
      <w:r>
        <w:rPr>
          <w:rFonts w:ascii="Katsoulidis" w:hAnsi="Katsoulidis" w:cs="Arial"/>
          <w:b/>
          <w:bCs/>
          <w:sz w:val="21"/>
          <w:szCs w:val="21"/>
        </w:rPr>
        <w:t>Τα προσωπικά δεδομένα προβλέπεται να διαβιβασθούν σε τρίτη χώρα ή σε διεθνή οργανισμό;</w:t>
      </w:r>
      <w:r>
        <w:rPr>
          <w:rFonts w:ascii="Katsoulidis" w:hAnsi="Katsoulidis" w:cs="Arial"/>
          <w:sz w:val="21"/>
          <w:szCs w:val="21"/>
        </w:rPr>
        <w:t xml:space="preserve"> </w:t>
      </w:r>
    </w:p>
    <w:p w:rsidR="00856400" w:rsidRPr="00315140" w:rsidRDefault="00856400" w:rsidP="00856400">
      <w:pPr>
        <w:jc w:val="both"/>
        <w:rPr>
          <w:rFonts w:ascii="Katsoulidis" w:hAnsi="Katsoulidis" w:cs="Arial"/>
          <w:b/>
          <w:bCs/>
          <w:sz w:val="21"/>
          <w:szCs w:val="21"/>
        </w:rPr>
      </w:pPr>
      <w:r>
        <w:rPr>
          <w:rFonts w:ascii="Katsoulidis" w:hAnsi="Katsoulidis" w:cs="Arial"/>
          <w:sz w:val="21"/>
          <w:szCs w:val="21"/>
        </w:rPr>
        <w:t>Τα προσωπικά σας δεδομένα δεν προβλέπεται να διαβιβασθούν σε τρίτη χώρα ή σε διεθνή οργανισμό.</w:t>
      </w:r>
    </w:p>
    <w:p w:rsidR="00856400" w:rsidRDefault="00856400" w:rsidP="00856400">
      <w:pPr>
        <w:jc w:val="both"/>
        <w:rPr>
          <w:rFonts w:ascii="Katsoulidis" w:hAnsi="Katsoulidis" w:cs="Arial"/>
          <w:b/>
          <w:bCs/>
          <w:sz w:val="21"/>
          <w:szCs w:val="21"/>
        </w:rPr>
      </w:pPr>
      <w:r>
        <w:rPr>
          <w:rFonts w:ascii="Katsoulidis" w:hAnsi="Katsoulidis" w:cs="Arial"/>
          <w:b/>
          <w:bCs/>
          <w:sz w:val="21"/>
          <w:szCs w:val="21"/>
        </w:rPr>
        <w:t>Κοινοποιώντας τα αποτελέσματα: Μπορώ να έχω ενημέρωση για τα αποτελέσματα της μελέτης;</w:t>
      </w:r>
    </w:p>
    <w:p w:rsidR="00856400" w:rsidRPr="00315140" w:rsidRDefault="00856400" w:rsidP="00856400">
      <w:pPr>
        <w:jc w:val="both"/>
        <w:rPr>
          <w:rFonts w:ascii="Katsoulidis" w:hAnsi="Katsoulidis" w:cs="Arial"/>
          <w:sz w:val="21"/>
          <w:szCs w:val="21"/>
        </w:rPr>
      </w:pPr>
      <w:r>
        <w:rPr>
          <w:rFonts w:ascii="Katsoulidis" w:hAnsi="Katsoulidis" w:cs="Arial"/>
          <w:sz w:val="21"/>
          <w:szCs w:val="21"/>
        </w:rPr>
        <w:t xml:space="preserve">Όταν η μελέτη ολοκληρωθεί, θα μπορώ η ίδια/ο ίδιος να σας εξηγήσω τι αποκομίσαμε από τα αποτελέσματά της. Τα επιστημονικά αποτελέσματα της μελέτης θα παρουσιαστούν σε ερευνητικά περιοδικά, βιβλία, καθώς και σε επιστημονικά συνέδρια με ή ανωνυμοποιημένα ή κωδικοποιημένα στοιχεία των συμμετεχόντων. </w:t>
      </w:r>
    </w:p>
    <w:p w:rsidR="00856400" w:rsidRDefault="00856400" w:rsidP="00856400">
      <w:pPr>
        <w:keepNext/>
        <w:keepLines/>
        <w:jc w:val="both"/>
        <w:rPr>
          <w:rFonts w:ascii="Katsoulidis" w:hAnsi="Katsoulidis" w:cs="Arial"/>
          <w:b/>
          <w:bCs/>
          <w:sz w:val="21"/>
          <w:szCs w:val="21"/>
        </w:rPr>
      </w:pPr>
      <w:r>
        <w:rPr>
          <w:rFonts w:ascii="Katsoulidis" w:hAnsi="Katsoulidis" w:cs="Arial"/>
          <w:b/>
          <w:bCs/>
          <w:sz w:val="21"/>
          <w:szCs w:val="21"/>
        </w:rPr>
        <w:t xml:space="preserve">Μπορώ να μη συμμετέχω στη μελέτη; Μπορώ να αλλάξω γνώμη; </w:t>
      </w:r>
    </w:p>
    <w:p w:rsidR="00856400" w:rsidRDefault="00856400" w:rsidP="00856400">
      <w:pPr>
        <w:keepNext/>
        <w:keepLines/>
        <w:jc w:val="both"/>
        <w:rPr>
          <w:rFonts w:ascii="Katsoulidis" w:hAnsi="Katsoulidis" w:cs="Arial"/>
          <w:sz w:val="21"/>
          <w:szCs w:val="21"/>
        </w:rPr>
      </w:pPr>
      <w:r>
        <w:rPr>
          <w:rFonts w:ascii="Katsoulidis" w:hAnsi="Katsoulidis" w:cs="Arial"/>
          <w:sz w:val="21"/>
          <w:szCs w:val="21"/>
        </w:rPr>
        <w:t xml:space="preserve">Η συμμετοχή σας δεν επιβάλλεται. Οποιαδήποτε στιγμή μπορείτε να αποσυρθείτε από τη μελέτη. </w:t>
      </w:r>
    </w:p>
    <w:p w:rsidR="00856400" w:rsidRDefault="00856400" w:rsidP="00856400">
      <w:pPr>
        <w:keepNext/>
        <w:keepLines/>
        <w:jc w:val="both"/>
        <w:rPr>
          <w:rFonts w:ascii="Katsoulidis" w:hAnsi="Katsoulidis" w:cs="Arial"/>
          <w:sz w:val="21"/>
          <w:szCs w:val="21"/>
        </w:rPr>
      </w:pPr>
      <w:r>
        <w:rPr>
          <w:rFonts w:ascii="Katsoulidis" w:hAnsi="Katsoulidis" w:cs="Arial"/>
          <w:sz w:val="21"/>
          <w:szCs w:val="21"/>
        </w:rPr>
        <w:t xml:space="preserve">Η συγκατάθεση δίνεται για </w:t>
      </w:r>
      <w:r>
        <w:rPr>
          <w:rFonts w:ascii="Katsoulidis" w:hAnsi="Katsoulidis" w:cs="Arial"/>
          <w:i/>
          <w:sz w:val="21"/>
          <w:szCs w:val="21"/>
        </w:rPr>
        <w:t xml:space="preserve">12 μήνες </w:t>
      </w:r>
      <w:r>
        <w:rPr>
          <w:rFonts w:ascii="Katsoulidis" w:hAnsi="Katsoulidis" w:cs="Arial"/>
          <w:sz w:val="21"/>
          <w:szCs w:val="21"/>
        </w:rPr>
        <w:t xml:space="preserve">ή μέχρι να ανακληθεί στέλνοντας ένα ηλεκτρονικό μήνυμα στο </w:t>
      </w:r>
      <w:r>
        <w:rPr>
          <w:rFonts w:ascii="Katsoulidis" w:hAnsi="Katsoulidis" w:cs="Arial"/>
          <w:i/>
          <w:sz w:val="21"/>
          <w:szCs w:val="21"/>
          <w:lang w:val="en-US"/>
        </w:rPr>
        <w:t>chrysarmata</w:t>
      </w:r>
      <w:r>
        <w:rPr>
          <w:rFonts w:ascii="Katsoulidis" w:hAnsi="Katsoulidis" w:cs="Arial"/>
          <w:i/>
          <w:sz w:val="21"/>
          <w:szCs w:val="21"/>
        </w:rPr>
        <w:t>@</w:t>
      </w:r>
      <w:r>
        <w:rPr>
          <w:rFonts w:ascii="Katsoulidis" w:hAnsi="Katsoulidis" w:cs="Arial"/>
          <w:i/>
          <w:sz w:val="21"/>
          <w:szCs w:val="21"/>
          <w:lang w:val="en-US"/>
        </w:rPr>
        <w:t>hotmail</w:t>
      </w:r>
      <w:r>
        <w:rPr>
          <w:rFonts w:ascii="Katsoulidis" w:hAnsi="Katsoulidis" w:cs="Arial"/>
          <w:i/>
          <w:sz w:val="21"/>
          <w:szCs w:val="21"/>
        </w:rPr>
        <w:t>.</w:t>
      </w:r>
      <w:r>
        <w:rPr>
          <w:rFonts w:ascii="Katsoulidis" w:hAnsi="Katsoulidis" w:cs="Arial"/>
          <w:i/>
          <w:sz w:val="21"/>
          <w:szCs w:val="21"/>
          <w:lang w:val="en-US"/>
        </w:rPr>
        <w:t>com</w:t>
      </w:r>
      <w:r w:rsidRPr="00856400">
        <w:rPr>
          <w:rFonts w:ascii="Katsoulidis" w:hAnsi="Katsoulidis" w:cs="Arial"/>
          <w:sz w:val="21"/>
          <w:szCs w:val="21"/>
        </w:rPr>
        <w:t xml:space="preserve"> </w:t>
      </w:r>
      <w:r>
        <w:rPr>
          <w:rFonts w:ascii="Katsoulidis" w:hAnsi="Katsoulidis" w:cs="Arial"/>
          <w:sz w:val="21"/>
          <w:szCs w:val="21"/>
        </w:rPr>
        <w:t xml:space="preserve">ή συμπληρώνοντας την αίτηση που βρίσκεται στο τέλος του εντύπου αυτού χρησιμοποιώντας την ταχυδρομική διεύθυνση του υπεύθυνου της μελέτης. Σε περίπτωση που ανακαλέσετε την συγκατάθεσή σας, θα διαγραφούν όλα τα δεδομένα που συλλέξαμε. Το δικαίωμα να ανακαλέσετε οποτεδήποτε τη συγκατάθεσή σας δεν επηρεάζει τη νομιμότητα της επεξεργασίας των προσωπικών δεδομένων, που έγινε βάσει της σχετικής συγκατάθεσης πριν την ανάκληση της τελευταίας. </w:t>
      </w:r>
    </w:p>
    <w:p w:rsidR="00856400" w:rsidRDefault="00856400" w:rsidP="00856400">
      <w:pPr>
        <w:jc w:val="both"/>
        <w:rPr>
          <w:rFonts w:ascii="Katsoulidis" w:hAnsi="Katsoulidis" w:cs="Arial"/>
          <w:b/>
          <w:bCs/>
          <w:sz w:val="21"/>
          <w:szCs w:val="21"/>
        </w:rPr>
      </w:pPr>
    </w:p>
    <w:p w:rsidR="00856400" w:rsidRDefault="00856400" w:rsidP="00856400">
      <w:pPr>
        <w:keepNext/>
        <w:keepLines/>
        <w:jc w:val="both"/>
        <w:rPr>
          <w:rFonts w:ascii="Katsoulidis" w:hAnsi="Katsoulidis" w:cs="Arial"/>
          <w:b/>
          <w:bCs/>
          <w:sz w:val="18"/>
          <w:szCs w:val="18"/>
        </w:rPr>
      </w:pPr>
      <w:r>
        <w:rPr>
          <w:rFonts w:ascii="Katsoulidis" w:hAnsi="Katsoulidis" w:cs="Arial"/>
          <w:b/>
          <w:bCs/>
          <w:sz w:val="21"/>
          <w:szCs w:val="21"/>
        </w:rPr>
        <w:lastRenderedPageBreak/>
        <w:t xml:space="preserve">Πως διαχειριζόμαστε τα προσωπικά σας δεδομένα και ποια είναι τα δικαιώματά σας: </w:t>
      </w:r>
    </w:p>
    <w:p w:rsidR="00856400" w:rsidRPr="00315140" w:rsidRDefault="00856400" w:rsidP="00856400">
      <w:pPr>
        <w:keepNext/>
        <w:keepLines/>
        <w:jc w:val="both"/>
        <w:rPr>
          <w:rFonts w:ascii="Katsoulidis" w:hAnsi="Katsoulidis" w:cs="Arial"/>
          <w:i/>
          <w:sz w:val="21"/>
          <w:szCs w:val="21"/>
        </w:rPr>
      </w:pPr>
      <w:r>
        <w:rPr>
          <w:rFonts w:ascii="Katsoulidis" w:hAnsi="Katsoulidis" w:cs="Arial"/>
          <w:sz w:val="21"/>
          <w:szCs w:val="21"/>
        </w:rPr>
        <w:t>Η επεξεργασία των προσωπικών σας δεδομένων βασίζεται στην συγκατάθεσή σας. Καθ’ όλη την διάρκεια της μελέτης, καθώς και στη συνέχεια, τα προσωπικά στοιχεία σας θα παραμείνουν κωδικοποιημένα (δηλ. δεν θα αναφέρεται το όνομα σας) και προστατευμένα σε ηλεκτρονικό υπολογιστή. Δηλαδή, για την ανάλυση των αποτελεσμάτων, δεν θα χρησιμοποιηθεί το όνομα σας, αλλά ένας κωδικός αριθμός, με τον οποίο δεν θα είναι δυνατόν σε καμία στιγμή της μελέτης να διαπιστωθεί η ταυτότητα σας ή τα προσωπικά στοιχεία σας</w:t>
      </w:r>
      <w:r>
        <w:rPr>
          <w:rFonts w:ascii="Katsoulidis" w:hAnsi="Katsoulidis" w:cs="Arial"/>
          <w:i/>
          <w:sz w:val="21"/>
          <w:szCs w:val="21"/>
        </w:rPr>
        <w:t xml:space="preserve">. </w:t>
      </w:r>
    </w:p>
    <w:p w:rsidR="00856400" w:rsidRPr="00315140" w:rsidRDefault="00856400" w:rsidP="00856400">
      <w:pPr>
        <w:keepNext/>
        <w:keepLines/>
        <w:jc w:val="both"/>
        <w:rPr>
          <w:rFonts w:ascii="Katsoulidis" w:hAnsi="Katsoulidis" w:cs="Arial"/>
          <w:sz w:val="21"/>
          <w:szCs w:val="21"/>
        </w:rPr>
      </w:pPr>
      <w:r>
        <w:rPr>
          <w:rFonts w:ascii="Katsoulidis" w:hAnsi="Katsoulidis" w:cs="Arial"/>
          <w:sz w:val="21"/>
          <w:szCs w:val="21"/>
        </w:rPr>
        <w:t xml:space="preserve">Έχετε το δικαίωμα να ζητήσετε από τον Επιστημονικό Υπεύθυνο την πρόσβαση, την διόρθωση ή την διαγραφή των προσωπικών σας δεδομένων ή τον περιορισμό της επεξεργασίας τους. Επιπλέον, μπορείτε να προβάλλετε αντίρρηση στην επεξεργασία αυτών ή να ασκήσετε το δικαίωμα μεταφοράς των προσωπικών σας δεδομένων </w:t>
      </w:r>
    </w:p>
    <w:p w:rsidR="00856400" w:rsidRPr="00315140" w:rsidRDefault="00856400" w:rsidP="00856400">
      <w:pPr>
        <w:jc w:val="both"/>
        <w:rPr>
          <w:rFonts w:ascii="Katsoulidis" w:hAnsi="Katsoulidis" w:cs="Arial"/>
          <w:sz w:val="21"/>
          <w:szCs w:val="21"/>
        </w:rPr>
      </w:pPr>
      <w:r>
        <w:rPr>
          <w:rFonts w:ascii="Katsoulidis" w:hAnsi="Katsoulidis" w:cs="Arial"/>
          <w:sz w:val="21"/>
          <w:szCs w:val="21"/>
        </w:rPr>
        <w:t xml:space="preserve">Για οποιαδήποτε παρατήρηση ή καθοδήγηση όσον αφορά στα δικαιώματά σας, θα μπορείτε να επικοινωνήσετε με τον Επιστημονικό Υπεύθυνο, στέλνοντας ηλεκτρονικό μήνυμα στο </w:t>
      </w:r>
      <w:r>
        <w:rPr>
          <w:rFonts w:ascii="Katsoulidis" w:hAnsi="Katsoulidis" w:cs="Arial"/>
          <w:i/>
          <w:sz w:val="21"/>
          <w:szCs w:val="21"/>
          <w:lang w:val="en-US"/>
        </w:rPr>
        <w:t>chrysarmata</w:t>
      </w:r>
      <w:r>
        <w:rPr>
          <w:rFonts w:ascii="Katsoulidis" w:hAnsi="Katsoulidis" w:cs="Arial"/>
          <w:i/>
          <w:sz w:val="21"/>
          <w:szCs w:val="21"/>
        </w:rPr>
        <w:t>@</w:t>
      </w:r>
      <w:r>
        <w:rPr>
          <w:rFonts w:ascii="Katsoulidis" w:hAnsi="Katsoulidis" w:cs="Arial"/>
          <w:i/>
          <w:sz w:val="21"/>
          <w:szCs w:val="21"/>
          <w:lang w:val="en-US"/>
        </w:rPr>
        <w:t>hotmail</w:t>
      </w:r>
      <w:r>
        <w:rPr>
          <w:rFonts w:ascii="Katsoulidis" w:hAnsi="Katsoulidis" w:cs="Arial"/>
          <w:i/>
          <w:sz w:val="21"/>
          <w:szCs w:val="21"/>
        </w:rPr>
        <w:t>.</w:t>
      </w:r>
      <w:r>
        <w:rPr>
          <w:rFonts w:ascii="Katsoulidis" w:hAnsi="Katsoulidis" w:cs="Arial"/>
          <w:i/>
          <w:sz w:val="21"/>
          <w:szCs w:val="21"/>
          <w:lang w:val="en-US"/>
        </w:rPr>
        <w:t>com</w:t>
      </w:r>
      <w:r>
        <w:rPr>
          <w:rFonts w:ascii="Katsoulidis" w:hAnsi="Katsoulidis" w:cs="Arial"/>
          <w:sz w:val="21"/>
          <w:szCs w:val="21"/>
        </w:rPr>
        <w:t xml:space="preserve"> ή τηλεφωνώντας στο </w:t>
      </w:r>
      <w:r>
        <w:rPr>
          <w:rFonts w:ascii="Katsoulidis" w:hAnsi="Katsoulidis" w:cs="Arial"/>
          <w:i/>
          <w:sz w:val="21"/>
          <w:szCs w:val="21"/>
        </w:rPr>
        <w:t>210-8235050</w:t>
      </w:r>
      <w:r>
        <w:rPr>
          <w:rFonts w:ascii="Katsoulidis" w:hAnsi="Katsoulidis" w:cs="Arial"/>
          <w:sz w:val="21"/>
          <w:szCs w:val="21"/>
        </w:rPr>
        <w:t xml:space="preserve"> . Με τον τρόπο αυτό, οποιαδήποτε αιτούμενη μεταβολή στα προσωπικά σας δεδομένα θα ολοκληρωθεί μέσα σε 30 ημέρες από την ημέρα επικοινωνίας σας με τον Επιστημονικό Υπεύθυνο. </w:t>
      </w:r>
    </w:p>
    <w:p w:rsidR="00856400" w:rsidRPr="00315140" w:rsidRDefault="00856400" w:rsidP="00856400">
      <w:pPr>
        <w:jc w:val="both"/>
        <w:rPr>
          <w:rFonts w:ascii="Katsoulidis" w:hAnsi="Katsoulidis" w:cs="Arial"/>
          <w:iCs/>
          <w:sz w:val="21"/>
          <w:szCs w:val="21"/>
        </w:rPr>
      </w:pPr>
      <w:r>
        <w:rPr>
          <w:rFonts w:ascii="Katsoulidis" w:hAnsi="Katsoulidis" w:cs="Arial"/>
          <w:iCs/>
          <w:sz w:val="21"/>
          <w:szCs w:val="21"/>
        </w:rPr>
        <w:t xml:space="preserve">Αν έχετε ερωτήσεις για τα προσωπικά σας δεδομένα και τα δικαιώματά σας ή πιστεύετε ότι αυτά παραβιάζονται μπορείτε να επικοινωνήσετε με τον/την Υπεύθυνο Προστασίας Δεδομένων του ΕΚΠΑ (στο ηλεκτρονικό ταχυδρομείο: </w:t>
      </w:r>
      <w:hyperlink r:id="rId28" w:history="1">
        <w:r>
          <w:rPr>
            <w:rStyle w:val="Hyperlink"/>
            <w:rFonts w:ascii="Katsoulidis" w:hAnsi="Katsoulidis" w:cs="Arial"/>
            <w:iCs/>
            <w:sz w:val="21"/>
            <w:szCs w:val="21"/>
            <w:lang w:val="en-US"/>
          </w:rPr>
          <w:t>dpo</w:t>
        </w:r>
        <w:r>
          <w:rPr>
            <w:rStyle w:val="Hyperlink"/>
            <w:rFonts w:ascii="Katsoulidis" w:hAnsi="Katsoulidis" w:cs="Arial"/>
            <w:iCs/>
            <w:sz w:val="21"/>
            <w:szCs w:val="21"/>
          </w:rPr>
          <w:t>@</w:t>
        </w:r>
        <w:r>
          <w:rPr>
            <w:rStyle w:val="Hyperlink"/>
            <w:rFonts w:ascii="Katsoulidis" w:hAnsi="Katsoulidis" w:cs="Arial"/>
            <w:iCs/>
            <w:sz w:val="21"/>
            <w:szCs w:val="21"/>
            <w:lang w:val="en-US"/>
          </w:rPr>
          <w:t>uoa</w:t>
        </w:r>
        <w:r>
          <w:rPr>
            <w:rStyle w:val="Hyperlink"/>
            <w:rFonts w:ascii="Katsoulidis" w:hAnsi="Katsoulidis" w:cs="Arial"/>
            <w:iCs/>
            <w:sz w:val="21"/>
            <w:szCs w:val="21"/>
          </w:rPr>
          <w:t>.</w:t>
        </w:r>
        <w:r>
          <w:rPr>
            <w:rStyle w:val="Hyperlink"/>
            <w:rFonts w:ascii="Katsoulidis" w:hAnsi="Katsoulidis" w:cs="Arial"/>
            <w:iCs/>
            <w:sz w:val="21"/>
            <w:szCs w:val="21"/>
            <w:lang w:val="en-US"/>
          </w:rPr>
          <w:t>gr</w:t>
        </w:r>
      </w:hyperlink>
      <w:r>
        <w:rPr>
          <w:rFonts w:ascii="Katsoulidis" w:hAnsi="Katsoulidis" w:cs="Arial"/>
          <w:iCs/>
          <w:sz w:val="21"/>
          <w:szCs w:val="21"/>
        </w:rPr>
        <w:t xml:space="preserve">). </w:t>
      </w:r>
    </w:p>
    <w:p w:rsidR="00856400" w:rsidRPr="00315140" w:rsidRDefault="00856400" w:rsidP="00856400">
      <w:pPr>
        <w:jc w:val="both"/>
        <w:rPr>
          <w:rFonts w:ascii="Katsoulidis" w:hAnsi="Katsoulidis" w:cs="Arial"/>
          <w:i/>
          <w:iCs/>
          <w:sz w:val="21"/>
          <w:szCs w:val="21"/>
        </w:rPr>
      </w:pPr>
      <w:r>
        <w:rPr>
          <w:rFonts w:ascii="Katsoulidis" w:hAnsi="Katsoulidis" w:cs="Arial"/>
          <w:iCs/>
          <w:sz w:val="21"/>
          <w:szCs w:val="21"/>
        </w:rPr>
        <w:t xml:space="preserve">Αν δεν λάβετε ικανοποιητικές απαντήσεις μπορείτε να υποβάλλετε καταγγελία στην Αρχή Προστασίας Προσωπικών Δεδομένων, επισκεπτόμενοι την ιστοσελίδα </w:t>
      </w:r>
      <w:hyperlink r:id="rId29" w:history="1">
        <w:r>
          <w:rPr>
            <w:rStyle w:val="Hyperlink"/>
            <w:rFonts w:ascii="Katsoulidis" w:hAnsi="Katsoulidis" w:cs="Arial"/>
            <w:iCs/>
            <w:sz w:val="21"/>
            <w:szCs w:val="21"/>
          </w:rPr>
          <w:t>www.dpa.gr</w:t>
        </w:r>
      </w:hyperlink>
      <w:r>
        <w:rPr>
          <w:rFonts w:ascii="Katsoulidis" w:hAnsi="Katsoulidis" w:cs="Arial"/>
          <w:iCs/>
          <w:sz w:val="21"/>
          <w:szCs w:val="21"/>
        </w:rPr>
        <w:t xml:space="preserve"> </w:t>
      </w:r>
      <w:r>
        <w:rPr>
          <w:rFonts w:ascii="Katsoulidis" w:hAnsi="Katsoulidis" w:cs="Arial"/>
          <w:i/>
          <w:iCs/>
          <w:sz w:val="21"/>
          <w:szCs w:val="21"/>
        </w:rPr>
        <w:t>.</w:t>
      </w:r>
    </w:p>
    <w:p w:rsidR="00856400" w:rsidRDefault="00856400" w:rsidP="00856400">
      <w:pPr>
        <w:jc w:val="both"/>
        <w:rPr>
          <w:rFonts w:ascii="Katsoulidis" w:hAnsi="Katsoulidis" w:cs="Arial"/>
          <w:b/>
          <w:bCs/>
          <w:sz w:val="21"/>
          <w:szCs w:val="21"/>
        </w:rPr>
      </w:pPr>
      <w:r>
        <w:rPr>
          <w:rFonts w:ascii="Katsoulidis" w:hAnsi="Katsoulidis" w:cs="Arial"/>
          <w:b/>
          <w:bCs/>
          <w:sz w:val="21"/>
          <w:szCs w:val="21"/>
          <w:u w:val="single"/>
        </w:rPr>
        <w:t>ΣΗΜΕΙΩΣΗ</w:t>
      </w:r>
      <w:r>
        <w:rPr>
          <w:rFonts w:ascii="Katsoulidis" w:hAnsi="Katsoulidis" w:cs="Arial"/>
          <w:b/>
          <w:bCs/>
          <w:sz w:val="21"/>
          <w:szCs w:val="21"/>
        </w:rPr>
        <w:t>: Αν τελικά αποφασίσετε να λάβετε μέρος σε αυτή τη μελέτη θα λάβετε ένα αντίγραφου αυτού του εντύπου.</w:t>
      </w:r>
    </w:p>
    <w:p w:rsidR="00856400" w:rsidRPr="00315140" w:rsidRDefault="00856400" w:rsidP="00856400">
      <w:pPr>
        <w:jc w:val="both"/>
        <w:rPr>
          <w:rFonts w:ascii="Katsoulidis" w:hAnsi="Katsoulidis" w:cs="Arial"/>
          <w:sz w:val="21"/>
          <w:szCs w:val="21"/>
        </w:rPr>
      </w:pPr>
    </w:p>
    <w:p w:rsidR="00856400" w:rsidRDefault="00856400" w:rsidP="00856400">
      <w:pPr>
        <w:jc w:val="both"/>
        <w:rPr>
          <w:rFonts w:ascii="Katsoulidis" w:hAnsi="Katsoulidis" w:cs="Arial"/>
          <w:i/>
          <w:sz w:val="21"/>
          <w:szCs w:val="21"/>
        </w:rPr>
      </w:pPr>
      <w:r>
        <w:rPr>
          <w:rFonts w:ascii="Katsoulidis" w:hAnsi="Katsoulidis" w:cs="Arial"/>
          <w:b/>
          <w:sz w:val="21"/>
          <w:szCs w:val="21"/>
        </w:rPr>
        <w:t xml:space="preserve">Επιστημονικά Υπεύθυνος: </w:t>
      </w:r>
      <w:r>
        <w:rPr>
          <w:rFonts w:ascii="Katsoulidis" w:hAnsi="Katsoulidis" w:cs="Arial"/>
          <w:i/>
          <w:sz w:val="21"/>
          <w:szCs w:val="21"/>
        </w:rPr>
        <w:t xml:space="preserve">Κραββαρίτη Ευρυδίκη </w:t>
      </w:r>
    </w:p>
    <w:p w:rsidR="00856400" w:rsidRDefault="00856400" w:rsidP="00856400">
      <w:pPr>
        <w:jc w:val="both"/>
        <w:rPr>
          <w:rFonts w:ascii="Katsoulidis" w:hAnsi="Katsoulidis" w:cs="Arial"/>
          <w:b/>
          <w:sz w:val="21"/>
          <w:szCs w:val="21"/>
        </w:rPr>
      </w:pPr>
    </w:p>
    <w:p w:rsidR="00856400" w:rsidRDefault="00856400" w:rsidP="00856400">
      <w:pPr>
        <w:jc w:val="both"/>
        <w:rPr>
          <w:rFonts w:ascii="Katsoulidis" w:hAnsi="Katsoulidis" w:cs="Arial"/>
          <w:b/>
          <w:sz w:val="21"/>
          <w:szCs w:val="21"/>
        </w:rPr>
      </w:pPr>
      <w:r>
        <w:rPr>
          <w:rFonts w:ascii="Katsoulidis" w:hAnsi="Katsoulidis" w:cs="Arial"/>
          <w:b/>
          <w:sz w:val="21"/>
          <w:szCs w:val="21"/>
        </w:rPr>
        <w:t>Υπογραφή:</w:t>
      </w:r>
    </w:p>
    <w:p w:rsidR="00856400" w:rsidRDefault="00856400" w:rsidP="00856400">
      <w:pPr>
        <w:jc w:val="both"/>
        <w:rPr>
          <w:rFonts w:ascii="Katsoulidis" w:hAnsi="Katsoulidis" w:cs="Arial"/>
          <w:b/>
          <w:sz w:val="21"/>
          <w:szCs w:val="21"/>
        </w:rPr>
      </w:pPr>
    </w:p>
    <w:p w:rsidR="00856400" w:rsidRDefault="00856400" w:rsidP="00856400">
      <w:pPr>
        <w:outlineLvl w:val="0"/>
        <w:rPr>
          <w:rFonts w:ascii="Katsoulidis" w:hAnsi="Katsoulidis" w:cs="Arial"/>
          <w:sz w:val="21"/>
          <w:szCs w:val="21"/>
        </w:rPr>
      </w:pPr>
      <w:r>
        <w:rPr>
          <w:rFonts w:ascii="Katsoulidis" w:hAnsi="Katsoulidis" w:cs="Arial"/>
          <w:b/>
          <w:sz w:val="21"/>
          <w:szCs w:val="21"/>
        </w:rPr>
        <w:t xml:space="preserve">Ημερομηνία: </w:t>
      </w:r>
      <w:r>
        <w:rPr>
          <w:rFonts w:ascii="Katsoulidis" w:hAnsi="Katsoulidis" w:cs="Arial"/>
          <w:sz w:val="21"/>
          <w:szCs w:val="21"/>
        </w:rPr>
        <w:t>……/……/………</w:t>
      </w:r>
      <w:r>
        <w:rPr>
          <w:rFonts w:ascii="Katsoulidis" w:hAnsi="Katsoulidis" w:cs="Arial"/>
          <w:sz w:val="21"/>
          <w:szCs w:val="21"/>
        </w:rPr>
        <w:br w:type="page"/>
      </w:r>
    </w:p>
    <w:p w:rsidR="00856400" w:rsidRDefault="00856400" w:rsidP="00856400">
      <w:pPr>
        <w:jc w:val="center"/>
        <w:rPr>
          <w:rFonts w:ascii="Katsoulidis" w:hAnsi="Katsoulidis" w:cs="Arial"/>
          <w:b/>
          <w:sz w:val="21"/>
          <w:szCs w:val="21"/>
        </w:rPr>
      </w:pPr>
      <w:r>
        <w:rPr>
          <w:rFonts w:ascii="Katsoulidis" w:hAnsi="Katsoulidis" w:cs="Arial"/>
          <w:b/>
          <w:sz w:val="21"/>
          <w:szCs w:val="21"/>
        </w:rPr>
        <w:lastRenderedPageBreak/>
        <w:t xml:space="preserve">ΕΝΤΥΠΟ ΣΥΓΚΑΤΑΘΕΣΗΣ </w:t>
      </w:r>
    </w:p>
    <w:p w:rsidR="00856400" w:rsidRDefault="00856400" w:rsidP="00856400">
      <w:pPr>
        <w:jc w:val="center"/>
        <w:rPr>
          <w:rFonts w:ascii="Katsoulidis" w:hAnsi="Katsoulidis" w:cs="Arial"/>
          <w:sz w:val="21"/>
          <w:szCs w:val="21"/>
        </w:rPr>
      </w:pPr>
      <w:r>
        <w:rPr>
          <w:rFonts w:ascii="Katsoulidis" w:hAnsi="Katsoulidis" w:cs="Arial"/>
          <w:b/>
          <w:sz w:val="21"/>
          <w:szCs w:val="21"/>
        </w:rPr>
        <w:t>ΓΙΑ ΣΥΜΜΕΤΕΧΟΝΤΑ ΣΤΗ ΜΕΛΕΤΗ</w:t>
      </w:r>
    </w:p>
    <w:p w:rsidR="00856400" w:rsidRDefault="00856400" w:rsidP="00856400">
      <w:pPr>
        <w:jc w:val="center"/>
        <w:rPr>
          <w:rFonts w:ascii="Katsoulidis" w:hAnsi="Katsoulidis" w:cs="Arial"/>
          <w:b/>
          <w:i/>
          <w:sz w:val="21"/>
          <w:szCs w:val="21"/>
        </w:rPr>
      </w:pPr>
      <w:bookmarkStart w:id="3" w:name="_Hlk117591959"/>
      <w:r>
        <w:rPr>
          <w:rFonts w:ascii="Katsoulidis" w:hAnsi="Katsoulidis" w:cs="Arial"/>
          <w:b/>
          <w:i/>
          <w:sz w:val="21"/>
          <w:szCs w:val="21"/>
        </w:rPr>
        <w:t>«Το σύνδρομο της ευπάθειας σε άτομα με φυσιολογική  γνωστική λειτουργία, ήπια νευρογνωστική διαταραχή και ήπια άνοια.»</w:t>
      </w:r>
    </w:p>
    <w:p w:rsidR="00856400" w:rsidRPr="00315140" w:rsidRDefault="00856400" w:rsidP="00856400">
      <w:pPr>
        <w:jc w:val="both"/>
        <w:rPr>
          <w:rFonts w:ascii="Katsoulidis" w:hAnsi="Katsoulidis" w:cs="Arial"/>
          <w:sz w:val="21"/>
          <w:szCs w:val="21"/>
        </w:rPr>
      </w:pPr>
    </w:p>
    <w:p w:rsidR="00856400" w:rsidRDefault="00856400" w:rsidP="00856400">
      <w:pPr>
        <w:spacing w:line="360" w:lineRule="auto"/>
        <w:jc w:val="both"/>
        <w:rPr>
          <w:rFonts w:ascii="Katsoulidis" w:hAnsi="Katsoulidis" w:cs="Arial"/>
          <w:sz w:val="21"/>
          <w:szCs w:val="21"/>
        </w:rPr>
      </w:pPr>
      <w:r>
        <w:rPr>
          <w:rFonts w:ascii="Katsoulidis" w:hAnsi="Katsoulidis" w:cs="Arial"/>
          <w:b/>
          <w:sz w:val="21"/>
          <w:szCs w:val="21"/>
        </w:rPr>
        <w:t>Επιστημονικά Υπεύθυνος: Κραββαρίτη Ευρυδίκη</w:t>
      </w:r>
    </w:p>
    <w:p w:rsidR="00856400" w:rsidRPr="007B4A4C" w:rsidRDefault="00856400" w:rsidP="00856400">
      <w:pPr>
        <w:spacing w:line="360" w:lineRule="auto"/>
        <w:jc w:val="both"/>
        <w:rPr>
          <w:rFonts w:ascii="Katsoulidis" w:hAnsi="Katsoulidis" w:cs="Arial"/>
          <w:sz w:val="21"/>
          <w:szCs w:val="21"/>
          <w:lang w:val="en-US"/>
        </w:rPr>
      </w:pPr>
      <w:proofErr w:type="gramStart"/>
      <w:r>
        <w:rPr>
          <w:rFonts w:ascii="Katsoulidis" w:hAnsi="Katsoulidis" w:cs="Arial"/>
          <w:sz w:val="21"/>
          <w:szCs w:val="21"/>
          <w:lang w:val="en-US"/>
        </w:rPr>
        <w:t>e</w:t>
      </w:r>
      <w:r w:rsidRPr="007B4A4C">
        <w:rPr>
          <w:rFonts w:ascii="Katsoulidis" w:hAnsi="Katsoulidis" w:cs="Arial"/>
          <w:sz w:val="21"/>
          <w:szCs w:val="21"/>
          <w:lang w:val="en-US"/>
        </w:rPr>
        <w:t>-</w:t>
      </w:r>
      <w:r>
        <w:rPr>
          <w:rFonts w:ascii="Katsoulidis" w:hAnsi="Katsoulidis" w:cs="Arial"/>
          <w:sz w:val="21"/>
          <w:szCs w:val="21"/>
          <w:lang w:val="en-US"/>
        </w:rPr>
        <w:t>mail</w:t>
      </w:r>
      <w:proofErr w:type="gramEnd"/>
      <w:r w:rsidRPr="007B4A4C">
        <w:rPr>
          <w:rFonts w:ascii="Katsoulidis" w:hAnsi="Katsoulidis" w:cs="Arial"/>
          <w:sz w:val="21"/>
          <w:szCs w:val="21"/>
          <w:lang w:val="en-US"/>
        </w:rPr>
        <w:t>:</w:t>
      </w:r>
      <w:r w:rsidRPr="007B4A4C">
        <w:rPr>
          <w:rFonts w:ascii="Katsoulidis" w:hAnsi="Katsoulidis" w:cs="Arial"/>
          <w:color w:val="365F91"/>
          <w:sz w:val="21"/>
          <w:szCs w:val="21"/>
          <w:lang w:val="en-US"/>
        </w:rPr>
        <w:t xml:space="preserve"> </w:t>
      </w:r>
      <w:r>
        <w:rPr>
          <w:rFonts w:ascii="Katsoulidis" w:hAnsi="Katsoulidis" w:cs="Arial"/>
          <w:sz w:val="21"/>
          <w:szCs w:val="21"/>
          <w:lang w:val="en-US"/>
        </w:rPr>
        <w:t>ev</w:t>
      </w:r>
      <w:r w:rsidRPr="007B4A4C">
        <w:rPr>
          <w:rFonts w:ascii="Katsoulidis" w:hAnsi="Katsoulidis" w:cs="Arial"/>
          <w:sz w:val="21"/>
          <w:szCs w:val="21"/>
          <w:lang w:val="en-US"/>
        </w:rPr>
        <w:t>.</w:t>
      </w:r>
      <w:r>
        <w:rPr>
          <w:rFonts w:ascii="Katsoulidis" w:hAnsi="Katsoulidis" w:cs="Arial"/>
          <w:sz w:val="21"/>
          <w:szCs w:val="21"/>
          <w:lang w:val="en-US"/>
        </w:rPr>
        <w:t>kravvariti</w:t>
      </w:r>
      <w:r w:rsidRPr="007B4A4C">
        <w:rPr>
          <w:rFonts w:ascii="Katsoulidis" w:hAnsi="Katsoulidis" w:cs="Arial"/>
          <w:sz w:val="21"/>
          <w:szCs w:val="21"/>
          <w:lang w:val="en-US"/>
        </w:rPr>
        <w:t>@</w:t>
      </w:r>
      <w:r>
        <w:rPr>
          <w:rFonts w:ascii="Katsoulidis" w:hAnsi="Katsoulidis" w:cs="Arial"/>
          <w:sz w:val="21"/>
          <w:szCs w:val="21"/>
          <w:lang w:val="en-US"/>
        </w:rPr>
        <w:t>gmail</w:t>
      </w:r>
      <w:r w:rsidRPr="007B4A4C">
        <w:rPr>
          <w:rFonts w:ascii="Katsoulidis" w:hAnsi="Katsoulidis" w:cs="Arial"/>
          <w:sz w:val="21"/>
          <w:szCs w:val="21"/>
          <w:lang w:val="en-US"/>
        </w:rPr>
        <w:t>.</w:t>
      </w:r>
      <w:r>
        <w:rPr>
          <w:rFonts w:ascii="Katsoulidis" w:hAnsi="Katsoulidis" w:cs="Arial"/>
          <w:sz w:val="21"/>
          <w:szCs w:val="21"/>
          <w:lang w:val="en-US"/>
        </w:rPr>
        <w:t>com</w:t>
      </w:r>
    </w:p>
    <w:p w:rsidR="00856400" w:rsidRDefault="00210B4D" w:rsidP="00856400">
      <w:pPr>
        <w:spacing w:line="360" w:lineRule="auto"/>
        <w:jc w:val="both"/>
        <w:rPr>
          <w:rFonts w:ascii="Katsoulidis" w:hAnsi="Katsoulidis" w:cs="Arial"/>
          <w:b/>
          <w:sz w:val="21"/>
          <w:szCs w:val="21"/>
        </w:rPr>
      </w:pPr>
      <w:r>
        <w:rPr>
          <w:rFonts w:ascii="Katsoulidis" w:hAnsi="Katsoulidis" w:cs="Arial"/>
          <w:sz w:val="21"/>
          <w:szCs w:val="21"/>
        </w:rPr>
        <w:t>Τηλέφωνο: 6************</w:t>
      </w:r>
    </w:p>
    <w:p w:rsidR="00856400" w:rsidRDefault="00856400" w:rsidP="00856400">
      <w:pPr>
        <w:spacing w:line="360" w:lineRule="auto"/>
        <w:jc w:val="both"/>
        <w:rPr>
          <w:rFonts w:ascii="Katsoulidis" w:hAnsi="Katsoulidis" w:cs="Arial"/>
          <w:sz w:val="21"/>
          <w:szCs w:val="21"/>
        </w:rPr>
      </w:pPr>
      <w:r>
        <w:rPr>
          <w:rFonts w:ascii="Katsoulidis" w:hAnsi="Katsoulidis" w:cs="Arial"/>
          <w:b/>
          <w:sz w:val="21"/>
          <w:szCs w:val="21"/>
        </w:rPr>
        <w:t>Ερευνητής: Αρματά Χρυσούλα</w:t>
      </w:r>
      <w:r>
        <w:rPr>
          <w:rFonts w:ascii="Katsoulidis" w:hAnsi="Katsoulidis" w:cs="Arial"/>
          <w:sz w:val="21"/>
          <w:szCs w:val="21"/>
        </w:rPr>
        <w:t xml:space="preserve"> </w:t>
      </w:r>
    </w:p>
    <w:p w:rsidR="00856400" w:rsidRDefault="00856400" w:rsidP="00856400">
      <w:pPr>
        <w:spacing w:line="360" w:lineRule="auto"/>
        <w:jc w:val="both"/>
        <w:rPr>
          <w:rFonts w:ascii="Katsoulidis" w:hAnsi="Katsoulidis" w:cs="Arial"/>
          <w:sz w:val="21"/>
          <w:szCs w:val="21"/>
        </w:rPr>
      </w:pPr>
      <w:r>
        <w:rPr>
          <w:rFonts w:ascii="Katsoulidis" w:hAnsi="Katsoulidis" w:cs="Arial"/>
          <w:sz w:val="21"/>
          <w:szCs w:val="21"/>
        </w:rPr>
        <w:t xml:space="preserve">Διεύθυνση: Ι. Δροσοπούλου 22, Αθήνα </w:t>
      </w:r>
    </w:p>
    <w:p w:rsidR="00856400" w:rsidRDefault="00856400" w:rsidP="00856400">
      <w:pPr>
        <w:spacing w:line="360" w:lineRule="auto"/>
        <w:jc w:val="both"/>
        <w:rPr>
          <w:rFonts w:ascii="Katsoulidis" w:hAnsi="Katsoulidis" w:cs="Arial"/>
          <w:sz w:val="21"/>
          <w:szCs w:val="21"/>
        </w:rPr>
      </w:pPr>
      <w:r>
        <w:rPr>
          <w:rFonts w:ascii="Katsoulidis" w:hAnsi="Katsoulidis" w:cs="Arial"/>
          <w:sz w:val="21"/>
          <w:szCs w:val="21"/>
          <w:lang w:val="en-US"/>
        </w:rPr>
        <w:t>e</w:t>
      </w:r>
      <w:r>
        <w:rPr>
          <w:rFonts w:ascii="Katsoulidis" w:hAnsi="Katsoulidis" w:cs="Arial"/>
          <w:sz w:val="21"/>
          <w:szCs w:val="21"/>
        </w:rPr>
        <w:t>-</w:t>
      </w:r>
      <w:r>
        <w:rPr>
          <w:rFonts w:ascii="Katsoulidis" w:hAnsi="Katsoulidis" w:cs="Arial"/>
          <w:sz w:val="21"/>
          <w:szCs w:val="21"/>
          <w:lang w:val="en-US"/>
        </w:rPr>
        <w:t>mail</w:t>
      </w:r>
      <w:r>
        <w:rPr>
          <w:rFonts w:ascii="Katsoulidis" w:hAnsi="Katsoulidis" w:cs="Arial"/>
          <w:sz w:val="21"/>
          <w:szCs w:val="21"/>
        </w:rPr>
        <w:t>:</w:t>
      </w:r>
      <w:r>
        <w:rPr>
          <w:rFonts w:ascii="Katsoulidis" w:hAnsi="Katsoulidis" w:cs="Arial"/>
          <w:sz w:val="21"/>
          <w:szCs w:val="21"/>
          <w:lang w:val="en-US"/>
        </w:rPr>
        <w:t>chrysarmata</w:t>
      </w:r>
      <w:r>
        <w:rPr>
          <w:rFonts w:ascii="Katsoulidis" w:hAnsi="Katsoulidis" w:cs="Arial"/>
          <w:sz w:val="21"/>
          <w:szCs w:val="21"/>
        </w:rPr>
        <w:t>@</w:t>
      </w:r>
      <w:r>
        <w:rPr>
          <w:rFonts w:ascii="Katsoulidis" w:hAnsi="Katsoulidis" w:cs="Arial"/>
          <w:sz w:val="21"/>
          <w:szCs w:val="21"/>
          <w:lang w:val="en-US"/>
        </w:rPr>
        <w:t>hotmail</w:t>
      </w:r>
      <w:r>
        <w:rPr>
          <w:rFonts w:ascii="Katsoulidis" w:hAnsi="Katsoulidis" w:cs="Arial"/>
          <w:sz w:val="21"/>
          <w:szCs w:val="21"/>
        </w:rPr>
        <w:t>.</w:t>
      </w:r>
      <w:r>
        <w:rPr>
          <w:rFonts w:ascii="Katsoulidis" w:hAnsi="Katsoulidis" w:cs="Arial"/>
          <w:sz w:val="21"/>
          <w:szCs w:val="21"/>
          <w:lang w:val="en-US"/>
        </w:rPr>
        <w:t>com</w:t>
      </w:r>
    </w:p>
    <w:p w:rsidR="00856400" w:rsidRPr="00315140" w:rsidRDefault="00856400" w:rsidP="001B1036">
      <w:pPr>
        <w:spacing w:line="360" w:lineRule="auto"/>
        <w:jc w:val="both"/>
        <w:rPr>
          <w:rFonts w:ascii="Katsoulidis" w:hAnsi="Katsoulidis" w:cs="Arial"/>
          <w:b/>
          <w:sz w:val="21"/>
          <w:szCs w:val="21"/>
        </w:rPr>
      </w:pPr>
      <w:r>
        <w:rPr>
          <w:rFonts w:ascii="Katsoulidis" w:hAnsi="Katsoulidis" w:cs="Arial"/>
          <w:sz w:val="21"/>
          <w:szCs w:val="21"/>
        </w:rPr>
        <w:t xml:space="preserve">Τηλέφωνο: </w:t>
      </w:r>
      <w:r w:rsidRPr="00856400">
        <w:rPr>
          <w:rFonts w:ascii="Katsoulidis" w:hAnsi="Katsoulidis" w:cs="Arial"/>
          <w:sz w:val="21"/>
          <w:szCs w:val="21"/>
        </w:rPr>
        <w:t>210</w:t>
      </w:r>
      <w:bookmarkEnd w:id="3"/>
      <w:r w:rsidR="00210B4D">
        <w:rPr>
          <w:rFonts w:ascii="Katsoulidis" w:hAnsi="Katsoulidis" w:cs="Arial"/>
          <w:sz w:val="21"/>
          <w:szCs w:val="21"/>
        </w:rPr>
        <w:t>**********</w:t>
      </w:r>
    </w:p>
    <w:p w:rsidR="00856400" w:rsidRDefault="00856400" w:rsidP="00856400">
      <w:pPr>
        <w:rPr>
          <w:rFonts w:ascii="Katsoulidis" w:hAnsi="Katsoulidis" w:cs="Arial"/>
          <w:sz w:val="21"/>
          <w:szCs w:val="21"/>
        </w:rPr>
      </w:pPr>
      <w:r>
        <w:rPr>
          <w:rFonts w:ascii="Katsoulidis" w:hAnsi="Katsoulidis" w:cs="Arial"/>
          <w:sz w:val="21"/>
          <w:szCs w:val="21"/>
        </w:rPr>
        <w:t>Ο/Η παρακάτω υπογράφων/ η υπογράφουσα………………………………………………………</w:t>
      </w:r>
    </w:p>
    <w:p w:rsidR="00856400" w:rsidRPr="00315140" w:rsidRDefault="00856400" w:rsidP="001B1036">
      <w:pPr>
        <w:rPr>
          <w:rFonts w:ascii="Katsoulidis" w:hAnsi="Katsoulidis" w:cs="Arial"/>
          <w:sz w:val="21"/>
          <w:szCs w:val="21"/>
        </w:rPr>
      </w:pPr>
      <w:r>
        <w:rPr>
          <w:rFonts w:ascii="Katsoulidis" w:hAnsi="Katsoulidis" w:cs="Arial"/>
          <w:color w:val="365F91"/>
          <w:sz w:val="21"/>
          <w:szCs w:val="21"/>
        </w:rPr>
        <w:t>………………………………………………………..……………………………………………………………</w:t>
      </w:r>
      <w:r>
        <w:rPr>
          <w:rFonts w:ascii="Katsoulidis" w:hAnsi="Katsoulidis" w:cs="Arial"/>
          <w:sz w:val="21"/>
          <w:szCs w:val="21"/>
        </w:rPr>
        <w:br/>
        <w:t xml:space="preserve">(είμαι κηδεμόνας του/της </w:t>
      </w:r>
      <w:r>
        <w:rPr>
          <w:rFonts w:ascii="Katsoulidis" w:hAnsi="Katsoulidis" w:cs="Arial"/>
          <w:color w:val="365F91"/>
          <w:sz w:val="21"/>
          <w:szCs w:val="21"/>
        </w:rPr>
        <w:t>………………………………………………………………..</w:t>
      </w:r>
      <w:r>
        <w:rPr>
          <w:rFonts w:ascii="Katsoulidis" w:hAnsi="Katsoulidis" w:cs="Arial"/>
          <w:sz w:val="21"/>
          <w:szCs w:val="21"/>
        </w:rPr>
        <w:t xml:space="preserve"> που είναι κάτω των 15 ετών</w:t>
      </w:r>
      <w:r>
        <w:rPr>
          <w:rFonts w:ascii="Katsoulidis" w:hAnsi="Katsoulidis" w:cs="Arial"/>
          <w:sz w:val="21"/>
          <w:szCs w:val="21"/>
          <w:vertAlign w:val="superscript"/>
        </w:rPr>
        <w:footnoteReference w:id="1"/>
      </w:r>
      <w:r>
        <w:rPr>
          <w:rFonts w:ascii="Katsoulidis" w:hAnsi="Katsoulidis" w:cs="Arial"/>
          <w:sz w:val="21"/>
          <w:szCs w:val="21"/>
        </w:rPr>
        <w:t xml:space="preserve">) έχω διαβάσει αυτό το έντυπο ενημέρωσης, καταλαβαίνω τις πληροφορίες που περιέχει, συμπεριλαμβανομένου του σκοπού, του τρόπου συμμετοχής μου/του/της, τους ενδεχόμενους κινδύνους και ωφέλειες, καθώς και τους τρόπους επικοινωνίας με τους υπεύθυνους της μελέτης. Όλες οι ερωτήσεις που είχα, έχουν απαντηθεί ικανοποιητικά από τον υπεύθυνο της μελέτης. </w:t>
      </w:r>
    </w:p>
    <w:p w:rsidR="00856400" w:rsidRPr="00315140" w:rsidRDefault="00856400" w:rsidP="001B1036">
      <w:pPr>
        <w:rPr>
          <w:rFonts w:ascii="Katsoulidis" w:hAnsi="Katsoulidis" w:cs="Arial"/>
          <w:i/>
          <w:sz w:val="21"/>
          <w:szCs w:val="21"/>
        </w:rPr>
      </w:pPr>
      <w:r>
        <w:rPr>
          <w:rFonts w:ascii="Katsoulidis" w:hAnsi="Katsoulidis" w:cs="Arial"/>
          <w:sz w:val="21"/>
          <w:szCs w:val="21"/>
        </w:rPr>
        <w:t xml:space="preserve">Με την υπογραφή μου δηλώνω ότι επιθυμώ να συμμετέχω [να συμμετέχει το παιδί μου] εθελοντικά στη μελέτη: </w:t>
      </w:r>
      <w:r>
        <w:rPr>
          <w:rFonts w:ascii="Katsoulidis" w:hAnsi="Katsoulidis" w:cs="Arial"/>
          <w:i/>
          <w:sz w:val="21"/>
          <w:szCs w:val="21"/>
        </w:rPr>
        <w:t>Το σύνδρομο της ευπάθειας σε άτομα με φυσιολογική  γνωστική λειτουργία, ήπια νευρογνωστική διαταραχή και ήπια άνοια.</w:t>
      </w:r>
      <w:r>
        <w:rPr>
          <w:rFonts w:ascii="Katsoulidis" w:hAnsi="Katsoulidis" w:cs="Arial"/>
          <w:color w:val="365F91"/>
          <w:sz w:val="21"/>
          <w:szCs w:val="21"/>
        </w:rPr>
        <w:t xml:space="preserve"> </w:t>
      </w:r>
    </w:p>
    <w:p w:rsidR="00856400" w:rsidRPr="00315140" w:rsidRDefault="00856400" w:rsidP="001B1036">
      <w:pPr>
        <w:jc w:val="right"/>
        <w:outlineLvl w:val="0"/>
        <w:rPr>
          <w:rFonts w:ascii="Katsoulidis" w:hAnsi="Katsoulidis" w:cs="Arial"/>
          <w:color w:val="365F91"/>
          <w:sz w:val="21"/>
          <w:szCs w:val="21"/>
        </w:rPr>
      </w:pPr>
      <w:r>
        <w:rPr>
          <w:rFonts w:ascii="Katsoulidis" w:hAnsi="Katsoulidis" w:cs="Arial"/>
          <w:sz w:val="21"/>
          <w:szCs w:val="21"/>
        </w:rPr>
        <w:t xml:space="preserve">Ημερομηνία:  </w:t>
      </w:r>
      <w:r>
        <w:rPr>
          <w:rFonts w:ascii="Katsoulidis" w:hAnsi="Katsoulidis" w:cs="Arial"/>
          <w:color w:val="365F91"/>
          <w:sz w:val="21"/>
          <w:szCs w:val="21"/>
        </w:rPr>
        <w:t>……/……/………</w:t>
      </w:r>
    </w:p>
    <w:p w:rsidR="001B1036" w:rsidRPr="001B1036" w:rsidRDefault="00856400" w:rsidP="00856400">
      <w:pPr>
        <w:spacing w:line="256" w:lineRule="auto"/>
        <w:rPr>
          <w:rFonts w:ascii="Katsoulidis" w:hAnsi="Katsoulidis" w:cs="Arial"/>
          <w:i/>
          <w:sz w:val="21"/>
          <w:szCs w:val="21"/>
          <w:lang w:bidi="he-IL"/>
        </w:rPr>
      </w:pPr>
      <w:r>
        <w:rPr>
          <w:rFonts w:ascii="Katsoulidis" w:hAnsi="Katsoulidis" w:cs="Arial"/>
          <w:i/>
          <w:sz w:val="21"/>
          <w:szCs w:val="21"/>
          <w:lang w:bidi="he-IL"/>
        </w:rPr>
        <w:t xml:space="preserve">Υπογραφή συμμετέχοντα/ κηδεμόνα/ νόμιμου εκπροσώπου                                        </w:t>
      </w:r>
    </w:p>
    <w:p w:rsidR="00856400" w:rsidRPr="001B1036" w:rsidRDefault="00856400" w:rsidP="00856400">
      <w:pPr>
        <w:spacing w:line="256" w:lineRule="auto"/>
        <w:rPr>
          <w:rFonts w:ascii="Katsoulidis" w:hAnsi="Katsoulidis" w:cs="Arial"/>
          <w:i/>
          <w:sz w:val="21"/>
          <w:szCs w:val="21"/>
          <w:lang w:bidi="he-IL"/>
        </w:rPr>
      </w:pPr>
      <w:r>
        <w:rPr>
          <w:rFonts w:ascii="Katsoulidis" w:hAnsi="Katsoulidis" w:cs="Arial"/>
          <w:i/>
          <w:sz w:val="21"/>
          <w:szCs w:val="21"/>
          <w:lang w:bidi="he-IL"/>
        </w:rPr>
        <w:t xml:space="preserve"> Ο ενημερώσας ερευνητής </w:t>
      </w:r>
      <w:r>
        <w:rPr>
          <w:rFonts w:ascii="Katsoulidis" w:hAnsi="Katsoulidis" w:cs="Arial"/>
          <w:sz w:val="21"/>
          <w:szCs w:val="21"/>
          <w:lang w:bidi="he-IL"/>
        </w:rPr>
        <w:t xml:space="preserve">         </w:t>
      </w:r>
      <w:r w:rsidR="001B1036">
        <w:rPr>
          <w:rFonts w:ascii="Katsoulidis" w:hAnsi="Katsoulidis" w:cs="Arial"/>
          <w:sz w:val="21"/>
          <w:szCs w:val="21"/>
          <w:lang w:bidi="he-IL"/>
        </w:rPr>
        <w:t xml:space="preserve">                              </w:t>
      </w:r>
    </w:p>
    <w:p w:rsidR="00856400" w:rsidRDefault="00856400" w:rsidP="00856400">
      <w:pPr>
        <w:spacing w:line="256" w:lineRule="auto"/>
        <w:rPr>
          <w:rFonts w:ascii="Katsoulidis" w:hAnsi="Katsoulidis" w:cs="Arial"/>
          <w:i/>
          <w:sz w:val="21"/>
          <w:szCs w:val="21"/>
          <w:lang w:bidi="he-IL"/>
        </w:rPr>
      </w:pPr>
      <w:r>
        <w:rPr>
          <w:rFonts w:ascii="Katsoulidis" w:hAnsi="Katsoulidis" w:cs="Arial"/>
          <w:i/>
          <w:sz w:val="21"/>
          <w:szCs w:val="21"/>
          <w:lang w:bidi="he-IL"/>
        </w:rPr>
        <w:t xml:space="preserve">(Ονοματεπώνυμο ολογράφως)                                                                                      (Ονοματεπώνυμο ολογράφως)                                                      </w:t>
      </w:r>
    </w:p>
    <w:p w:rsidR="00856400" w:rsidRDefault="00856400" w:rsidP="00856400">
      <w:pPr>
        <w:jc w:val="center"/>
        <w:rPr>
          <w:rFonts w:ascii="Katsoulidis" w:eastAsia="Times New Roman" w:hAnsi="Katsoulidis" w:cs="Arial"/>
          <w:b/>
          <w:sz w:val="21"/>
          <w:szCs w:val="21"/>
          <w:lang w:eastAsia="el-GR"/>
        </w:rPr>
      </w:pPr>
      <w:r>
        <w:rPr>
          <w:rFonts w:ascii="Katsoulidis" w:hAnsi="Katsoulidis" w:cs="Arial"/>
          <w:b/>
          <w:sz w:val="21"/>
          <w:szCs w:val="21"/>
        </w:rPr>
        <w:lastRenderedPageBreak/>
        <w:t xml:space="preserve">ΑΝΑΚΛΗΣΗ ΣΥΓΚΑΤΑΘΕΣΗΣ </w:t>
      </w:r>
    </w:p>
    <w:p w:rsidR="00856400" w:rsidRDefault="00856400" w:rsidP="00856400">
      <w:pPr>
        <w:jc w:val="center"/>
        <w:rPr>
          <w:rFonts w:ascii="Katsoulidis" w:hAnsi="Katsoulidis" w:cs="Arial"/>
          <w:b/>
          <w:sz w:val="21"/>
          <w:szCs w:val="21"/>
        </w:rPr>
      </w:pPr>
      <w:r>
        <w:rPr>
          <w:rFonts w:ascii="Katsoulidis" w:hAnsi="Katsoulidis" w:cs="Arial"/>
          <w:b/>
          <w:sz w:val="21"/>
          <w:szCs w:val="21"/>
        </w:rPr>
        <w:t>ΣΥΜΜΕΤΕΧΟΝΤΑ ΣΤΗ ΜΕΛΕΤΗ</w:t>
      </w:r>
    </w:p>
    <w:p w:rsidR="00856400" w:rsidRDefault="00856400" w:rsidP="00856400">
      <w:pPr>
        <w:spacing w:line="360" w:lineRule="auto"/>
        <w:jc w:val="center"/>
        <w:rPr>
          <w:rFonts w:ascii="Katsoulidis" w:hAnsi="Katsoulidis" w:cs="Arial"/>
          <w:b/>
          <w:i/>
          <w:sz w:val="21"/>
          <w:szCs w:val="21"/>
        </w:rPr>
      </w:pPr>
      <w:r>
        <w:rPr>
          <w:rFonts w:ascii="Katsoulidis" w:hAnsi="Katsoulidis" w:cs="Arial"/>
          <w:b/>
          <w:i/>
          <w:sz w:val="21"/>
          <w:szCs w:val="21"/>
        </w:rPr>
        <w:t>«Το σύνδρομο της ευπάθειας σε άτομα με φυσιολογική  γνωστική λειτουργία, ήπια νευρογνωστική διαταραχή και ήπια άνοια.»</w:t>
      </w:r>
    </w:p>
    <w:p w:rsidR="00856400" w:rsidRPr="00315140" w:rsidRDefault="00856400" w:rsidP="00856400">
      <w:pPr>
        <w:jc w:val="both"/>
        <w:rPr>
          <w:rFonts w:ascii="Katsoulidis" w:hAnsi="Katsoulidis" w:cs="Arial"/>
          <w:sz w:val="21"/>
          <w:szCs w:val="21"/>
        </w:rPr>
      </w:pPr>
    </w:p>
    <w:p w:rsidR="00856400" w:rsidRDefault="00856400" w:rsidP="00856400">
      <w:pPr>
        <w:spacing w:line="360" w:lineRule="auto"/>
        <w:jc w:val="both"/>
        <w:rPr>
          <w:rFonts w:ascii="Katsoulidis" w:hAnsi="Katsoulidis" w:cs="Arial"/>
          <w:sz w:val="21"/>
          <w:szCs w:val="21"/>
        </w:rPr>
      </w:pPr>
      <w:r>
        <w:rPr>
          <w:rFonts w:ascii="Katsoulidis" w:hAnsi="Katsoulidis" w:cs="Arial"/>
          <w:b/>
          <w:sz w:val="21"/>
          <w:szCs w:val="21"/>
        </w:rPr>
        <w:t>Επιστημονικά Υπεύθυνος: Κραββαρίτη Ευρυδίκη</w:t>
      </w:r>
      <w:r>
        <w:rPr>
          <w:rFonts w:ascii="Katsoulidis" w:hAnsi="Katsoulidis" w:cs="Arial"/>
          <w:sz w:val="21"/>
          <w:szCs w:val="21"/>
        </w:rPr>
        <w:t xml:space="preserve"> </w:t>
      </w:r>
    </w:p>
    <w:p w:rsidR="00856400" w:rsidRPr="007B4A4C" w:rsidRDefault="00856400" w:rsidP="00856400">
      <w:pPr>
        <w:spacing w:line="360" w:lineRule="auto"/>
        <w:jc w:val="both"/>
        <w:rPr>
          <w:rFonts w:ascii="Katsoulidis" w:hAnsi="Katsoulidis" w:cs="Arial"/>
          <w:sz w:val="21"/>
          <w:szCs w:val="21"/>
          <w:lang w:val="en-US"/>
        </w:rPr>
      </w:pPr>
      <w:proofErr w:type="gramStart"/>
      <w:r>
        <w:rPr>
          <w:rFonts w:ascii="Katsoulidis" w:hAnsi="Katsoulidis" w:cs="Arial"/>
          <w:sz w:val="21"/>
          <w:szCs w:val="21"/>
          <w:lang w:val="en-US"/>
        </w:rPr>
        <w:t>e</w:t>
      </w:r>
      <w:r w:rsidRPr="007B4A4C">
        <w:rPr>
          <w:rFonts w:ascii="Katsoulidis" w:hAnsi="Katsoulidis" w:cs="Arial"/>
          <w:sz w:val="21"/>
          <w:szCs w:val="21"/>
          <w:lang w:val="en-US"/>
        </w:rPr>
        <w:t>-</w:t>
      </w:r>
      <w:r>
        <w:rPr>
          <w:rFonts w:ascii="Katsoulidis" w:hAnsi="Katsoulidis" w:cs="Arial"/>
          <w:sz w:val="21"/>
          <w:szCs w:val="21"/>
          <w:lang w:val="en-US"/>
        </w:rPr>
        <w:t>mail</w:t>
      </w:r>
      <w:proofErr w:type="gramEnd"/>
      <w:r w:rsidRPr="007B4A4C">
        <w:rPr>
          <w:rFonts w:ascii="Katsoulidis" w:hAnsi="Katsoulidis" w:cs="Arial"/>
          <w:sz w:val="21"/>
          <w:szCs w:val="21"/>
          <w:lang w:val="en-US"/>
        </w:rPr>
        <w:t>:</w:t>
      </w:r>
      <w:r w:rsidRPr="007B4A4C">
        <w:rPr>
          <w:rFonts w:ascii="Katsoulidis" w:hAnsi="Katsoulidis" w:cs="Arial"/>
          <w:color w:val="365F91"/>
          <w:sz w:val="21"/>
          <w:szCs w:val="21"/>
          <w:lang w:val="en-US"/>
        </w:rPr>
        <w:t xml:space="preserve"> </w:t>
      </w:r>
      <w:r>
        <w:rPr>
          <w:rFonts w:ascii="Katsoulidis" w:hAnsi="Katsoulidis" w:cs="Arial"/>
          <w:sz w:val="21"/>
          <w:szCs w:val="21"/>
          <w:lang w:val="en-US"/>
        </w:rPr>
        <w:t>ev</w:t>
      </w:r>
      <w:r w:rsidRPr="007B4A4C">
        <w:rPr>
          <w:rFonts w:ascii="Katsoulidis" w:hAnsi="Katsoulidis" w:cs="Arial"/>
          <w:sz w:val="21"/>
          <w:szCs w:val="21"/>
          <w:lang w:val="en-US"/>
        </w:rPr>
        <w:t>.</w:t>
      </w:r>
      <w:r>
        <w:rPr>
          <w:rFonts w:ascii="Katsoulidis" w:hAnsi="Katsoulidis" w:cs="Arial"/>
          <w:sz w:val="21"/>
          <w:szCs w:val="21"/>
          <w:lang w:val="en-US"/>
        </w:rPr>
        <w:t>kravvariti</w:t>
      </w:r>
      <w:r w:rsidRPr="007B4A4C">
        <w:rPr>
          <w:rFonts w:ascii="Katsoulidis" w:hAnsi="Katsoulidis" w:cs="Arial"/>
          <w:sz w:val="21"/>
          <w:szCs w:val="21"/>
          <w:lang w:val="en-US"/>
        </w:rPr>
        <w:t>@</w:t>
      </w:r>
      <w:r>
        <w:rPr>
          <w:rFonts w:ascii="Katsoulidis" w:hAnsi="Katsoulidis" w:cs="Arial"/>
          <w:sz w:val="21"/>
          <w:szCs w:val="21"/>
          <w:lang w:val="en-US"/>
        </w:rPr>
        <w:t>gmail</w:t>
      </w:r>
      <w:r w:rsidRPr="007B4A4C">
        <w:rPr>
          <w:rFonts w:ascii="Katsoulidis" w:hAnsi="Katsoulidis" w:cs="Arial"/>
          <w:sz w:val="21"/>
          <w:szCs w:val="21"/>
          <w:lang w:val="en-US"/>
        </w:rPr>
        <w:t>.</w:t>
      </w:r>
      <w:r>
        <w:rPr>
          <w:rFonts w:ascii="Katsoulidis" w:hAnsi="Katsoulidis" w:cs="Arial"/>
          <w:sz w:val="21"/>
          <w:szCs w:val="21"/>
          <w:lang w:val="en-US"/>
        </w:rPr>
        <w:t>com</w:t>
      </w:r>
    </w:p>
    <w:p w:rsidR="00856400" w:rsidRPr="00315140" w:rsidRDefault="00210B4D" w:rsidP="00856400">
      <w:pPr>
        <w:jc w:val="both"/>
        <w:rPr>
          <w:rFonts w:ascii="Katsoulidis" w:hAnsi="Katsoulidis" w:cs="Arial"/>
          <w:sz w:val="21"/>
          <w:szCs w:val="21"/>
        </w:rPr>
      </w:pPr>
      <w:r>
        <w:rPr>
          <w:rFonts w:ascii="Katsoulidis" w:hAnsi="Katsoulidis" w:cs="Arial"/>
          <w:sz w:val="21"/>
          <w:szCs w:val="21"/>
        </w:rPr>
        <w:t>Τηλέφωνο: 69******</w:t>
      </w:r>
    </w:p>
    <w:p w:rsidR="00856400" w:rsidRDefault="00856400" w:rsidP="00856400">
      <w:pPr>
        <w:spacing w:line="360" w:lineRule="auto"/>
        <w:jc w:val="both"/>
        <w:rPr>
          <w:rFonts w:ascii="Katsoulidis" w:hAnsi="Katsoulidis" w:cs="Arial"/>
          <w:sz w:val="21"/>
          <w:szCs w:val="21"/>
        </w:rPr>
      </w:pPr>
      <w:r>
        <w:rPr>
          <w:rFonts w:ascii="Katsoulidis" w:hAnsi="Katsoulidis" w:cs="Arial"/>
          <w:b/>
          <w:sz w:val="21"/>
          <w:szCs w:val="21"/>
        </w:rPr>
        <w:t>Ερευνητής: Αρματά Χρυσούλα</w:t>
      </w:r>
      <w:r>
        <w:rPr>
          <w:rFonts w:ascii="Katsoulidis" w:hAnsi="Katsoulidis" w:cs="Arial"/>
          <w:sz w:val="21"/>
          <w:szCs w:val="21"/>
        </w:rPr>
        <w:t xml:space="preserve"> </w:t>
      </w:r>
    </w:p>
    <w:p w:rsidR="00856400" w:rsidRDefault="00856400" w:rsidP="00856400">
      <w:pPr>
        <w:spacing w:line="360" w:lineRule="auto"/>
        <w:jc w:val="both"/>
        <w:rPr>
          <w:rFonts w:ascii="Katsoulidis" w:hAnsi="Katsoulidis" w:cs="Arial"/>
          <w:sz w:val="21"/>
          <w:szCs w:val="21"/>
        </w:rPr>
      </w:pPr>
      <w:r>
        <w:rPr>
          <w:rFonts w:ascii="Katsoulidis" w:hAnsi="Katsoulidis" w:cs="Arial"/>
          <w:sz w:val="21"/>
          <w:szCs w:val="21"/>
        </w:rPr>
        <w:t xml:space="preserve">Διεύθυνση: Ι. Δροσοπούλου 22, Αθήνα </w:t>
      </w:r>
    </w:p>
    <w:p w:rsidR="00856400" w:rsidRPr="00856400" w:rsidRDefault="00856400" w:rsidP="00856400">
      <w:pPr>
        <w:spacing w:line="360" w:lineRule="auto"/>
        <w:jc w:val="both"/>
        <w:rPr>
          <w:rFonts w:ascii="Katsoulidis" w:hAnsi="Katsoulidis" w:cs="Arial"/>
          <w:sz w:val="21"/>
          <w:szCs w:val="21"/>
          <w:lang w:val="en-US"/>
        </w:rPr>
      </w:pPr>
      <w:proofErr w:type="gramStart"/>
      <w:r>
        <w:rPr>
          <w:rFonts w:ascii="Katsoulidis" w:hAnsi="Katsoulidis" w:cs="Arial"/>
          <w:sz w:val="21"/>
          <w:szCs w:val="21"/>
          <w:lang w:val="en-US"/>
        </w:rPr>
        <w:t>e</w:t>
      </w:r>
      <w:r w:rsidRPr="00856400">
        <w:rPr>
          <w:rFonts w:ascii="Katsoulidis" w:hAnsi="Katsoulidis" w:cs="Arial"/>
          <w:sz w:val="21"/>
          <w:szCs w:val="21"/>
          <w:lang w:val="en-US"/>
        </w:rPr>
        <w:t>-</w:t>
      </w:r>
      <w:r>
        <w:rPr>
          <w:rFonts w:ascii="Katsoulidis" w:hAnsi="Katsoulidis" w:cs="Arial"/>
          <w:sz w:val="21"/>
          <w:szCs w:val="21"/>
          <w:lang w:val="en-US"/>
        </w:rPr>
        <w:t>mail</w:t>
      </w:r>
      <w:proofErr w:type="gramEnd"/>
      <w:r w:rsidRPr="00856400">
        <w:rPr>
          <w:rFonts w:ascii="Katsoulidis" w:hAnsi="Katsoulidis" w:cs="Arial"/>
          <w:sz w:val="21"/>
          <w:szCs w:val="21"/>
          <w:lang w:val="en-US"/>
        </w:rPr>
        <w:t>:</w:t>
      </w:r>
      <w:r>
        <w:rPr>
          <w:rFonts w:ascii="Katsoulidis" w:hAnsi="Katsoulidis" w:cs="Arial"/>
          <w:sz w:val="21"/>
          <w:szCs w:val="21"/>
          <w:lang w:val="en-US"/>
        </w:rPr>
        <w:t xml:space="preserve"> chrysarmata</w:t>
      </w:r>
      <w:r w:rsidRPr="00856400">
        <w:rPr>
          <w:rFonts w:ascii="Katsoulidis" w:hAnsi="Katsoulidis" w:cs="Arial"/>
          <w:sz w:val="21"/>
          <w:szCs w:val="21"/>
          <w:lang w:val="en-US"/>
        </w:rPr>
        <w:t>@</w:t>
      </w:r>
      <w:r>
        <w:rPr>
          <w:rFonts w:ascii="Katsoulidis" w:hAnsi="Katsoulidis" w:cs="Arial"/>
          <w:sz w:val="21"/>
          <w:szCs w:val="21"/>
          <w:lang w:val="en-US"/>
        </w:rPr>
        <w:t>hotmail</w:t>
      </w:r>
      <w:r w:rsidRPr="00856400">
        <w:rPr>
          <w:rFonts w:ascii="Katsoulidis" w:hAnsi="Katsoulidis" w:cs="Arial"/>
          <w:sz w:val="21"/>
          <w:szCs w:val="21"/>
          <w:lang w:val="en-US"/>
        </w:rPr>
        <w:t>.</w:t>
      </w:r>
      <w:r>
        <w:rPr>
          <w:rFonts w:ascii="Katsoulidis" w:hAnsi="Katsoulidis" w:cs="Arial"/>
          <w:sz w:val="21"/>
          <w:szCs w:val="21"/>
          <w:lang w:val="en-US"/>
        </w:rPr>
        <w:t>com</w:t>
      </w:r>
    </w:p>
    <w:p w:rsidR="00856400" w:rsidRPr="005252D5" w:rsidRDefault="00856400" w:rsidP="001B1036">
      <w:pPr>
        <w:spacing w:line="360" w:lineRule="auto"/>
        <w:jc w:val="both"/>
        <w:rPr>
          <w:rFonts w:ascii="Katsoulidis" w:hAnsi="Katsoulidis" w:cs="Arial"/>
          <w:b/>
          <w:sz w:val="21"/>
          <w:szCs w:val="21"/>
          <w:lang w:val="en-US"/>
        </w:rPr>
      </w:pPr>
      <w:r>
        <w:rPr>
          <w:rFonts w:ascii="Katsoulidis" w:hAnsi="Katsoulidis" w:cs="Arial"/>
          <w:sz w:val="21"/>
          <w:szCs w:val="21"/>
        </w:rPr>
        <w:t>Τηλέφωνο</w:t>
      </w:r>
      <w:r w:rsidRPr="005252D5">
        <w:rPr>
          <w:rFonts w:ascii="Katsoulidis" w:hAnsi="Katsoulidis" w:cs="Arial"/>
          <w:sz w:val="21"/>
          <w:szCs w:val="21"/>
          <w:lang w:val="en-US"/>
        </w:rPr>
        <w:t xml:space="preserve">: </w:t>
      </w:r>
      <w:r w:rsidR="00210B4D" w:rsidRPr="005252D5">
        <w:rPr>
          <w:rFonts w:ascii="Katsoulidis" w:hAnsi="Katsoulidis" w:cs="Arial"/>
          <w:sz w:val="21"/>
          <w:szCs w:val="21"/>
          <w:lang w:val="en-US"/>
        </w:rPr>
        <w:t>2108*******</w:t>
      </w:r>
    </w:p>
    <w:p w:rsidR="00856400" w:rsidRPr="00315140" w:rsidRDefault="00856400" w:rsidP="00856400">
      <w:pPr>
        <w:jc w:val="both"/>
        <w:rPr>
          <w:rFonts w:ascii="Katsoulidis" w:hAnsi="Katsoulidis" w:cs="Arial"/>
          <w:i/>
          <w:sz w:val="21"/>
          <w:szCs w:val="21"/>
        </w:rPr>
      </w:pPr>
      <w:r>
        <w:rPr>
          <w:rFonts w:ascii="Katsoulidis" w:hAnsi="Katsoulidis" w:cs="Arial"/>
          <w:sz w:val="21"/>
          <w:szCs w:val="21"/>
        </w:rPr>
        <w:t xml:space="preserve">Ο/Η παρακάτω υπογράφων/ η υπογράφουσα ……………………………………………………………………………….. </w:t>
      </w:r>
      <w:r>
        <w:rPr>
          <w:rFonts w:ascii="Katsoulidis" w:hAnsi="Katsoulidis" w:cs="Arial"/>
          <w:color w:val="365F91"/>
          <w:sz w:val="21"/>
          <w:szCs w:val="21"/>
        </w:rPr>
        <w:t>………………………………………………………………………………………………</w:t>
      </w:r>
      <w:r>
        <w:rPr>
          <w:rFonts w:ascii="Katsoulidis" w:hAnsi="Katsoulidis" w:cs="Arial"/>
          <w:sz w:val="21"/>
          <w:szCs w:val="21"/>
        </w:rPr>
        <w:t xml:space="preserve"> (είμαι κηδεμόνας του/της </w:t>
      </w:r>
      <w:r>
        <w:rPr>
          <w:rFonts w:ascii="Katsoulidis" w:hAnsi="Katsoulidis" w:cs="Arial"/>
          <w:color w:val="365F91"/>
          <w:sz w:val="21"/>
          <w:szCs w:val="21"/>
        </w:rPr>
        <w:t>………………………………………………………..</w:t>
      </w:r>
      <w:r>
        <w:rPr>
          <w:rFonts w:ascii="Katsoulidis" w:hAnsi="Katsoulidis" w:cs="Arial"/>
          <w:sz w:val="21"/>
          <w:szCs w:val="21"/>
        </w:rPr>
        <w:t xml:space="preserve"> που είναι κάτω των 15 ετών) επιθυμώ να ανακαλέσω τη συγκατάθεσή μου για την συμμετοχή μου στη μελέτη</w:t>
      </w:r>
      <w:r>
        <w:rPr>
          <w:rFonts w:ascii="Katsoulidis" w:hAnsi="Katsoulidis" w:cs="Arial"/>
          <w:i/>
          <w:color w:val="365F91"/>
          <w:sz w:val="21"/>
          <w:szCs w:val="21"/>
        </w:rPr>
        <w:t>:</w:t>
      </w:r>
      <w:r>
        <w:rPr>
          <w:rFonts w:ascii="Katsoulidis" w:hAnsi="Katsoulidis" w:cs="Arial"/>
          <w:i/>
          <w:sz w:val="21"/>
          <w:szCs w:val="21"/>
        </w:rPr>
        <w:t xml:space="preserve"> Το σύνδρομο της ευπάθειας σε άτομα με φυσιολογική  γνωστική λειτουργία, ήπια νευρογνωστική διαταραχή και ήπια άνοια</w:t>
      </w:r>
      <w:r>
        <w:rPr>
          <w:rFonts w:ascii="Katsoulidis" w:hAnsi="Katsoulidis" w:cs="Arial"/>
          <w:iCs/>
          <w:sz w:val="21"/>
          <w:szCs w:val="21"/>
        </w:rPr>
        <w:t>,</w:t>
      </w:r>
      <w:r>
        <w:rPr>
          <w:rFonts w:ascii="Katsoulidis" w:hAnsi="Katsoulidis" w:cs="Arial"/>
          <w:sz w:val="21"/>
          <w:szCs w:val="21"/>
        </w:rPr>
        <w:t xml:space="preserve"> που είχα δώσει στις </w:t>
      </w:r>
      <w:r>
        <w:rPr>
          <w:rFonts w:ascii="Katsoulidis" w:hAnsi="Katsoulidis" w:cs="Arial"/>
          <w:color w:val="365F91"/>
          <w:sz w:val="21"/>
          <w:szCs w:val="21"/>
        </w:rPr>
        <w:t>……/……/………</w:t>
      </w:r>
    </w:p>
    <w:p w:rsidR="00856400" w:rsidRDefault="00856400" w:rsidP="00856400">
      <w:pPr>
        <w:jc w:val="both"/>
        <w:rPr>
          <w:rFonts w:ascii="Katsoulidis" w:hAnsi="Katsoulidis" w:cs="Arial"/>
          <w:sz w:val="21"/>
          <w:szCs w:val="21"/>
          <w:lang w:eastAsia="el-GR"/>
        </w:rPr>
      </w:pPr>
    </w:p>
    <w:p w:rsidR="00856400" w:rsidRDefault="00856400" w:rsidP="00856400">
      <w:pPr>
        <w:jc w:val="right"/>
        <w:outlineLvl w:val="0"/>
        <w:rPr>
          <w:rFonts w:ascii="Katsoulidis" w:hAnsi="Katsoulidis" w:cs="Arial"/>
          <w:color w:val="365F91"/>
          <w:sz w:val="21"/>
          <w:szCs w:val="21"/>
        </w:rPr>
      </w:pPr>
      <w:r>
        <w:rPr>
          <w:rFonts w:ascii="Katsoulidis" w:hAnsi="Katsoulidis" w:cs="Arial"/>
          <w:sz w:val="21"/>
          <w:szCs w:val="21"/>
        </w:rPr>
        <w:t xml:space="preserve">Ημερομηνία:  </w:t>
      </w:r>
      <w:r>
        <w:rPr>
          <w:rFonts w:ascii="Katsoulidis" w:hAnsi="Katsoulidis" w:cs="Arial"/>
          <w:color w:val="365F91"/>
          <w:sz w:val="21"/>
          <w:szCs w:val="21"/>
        </w:rPr>
        <w:t>……/……/………</w:t>
      </w:r>
    </w:p>
    <w:p w:rsidR="00856400" w:rsidRDefault="00856400" w:rsidP="00856400">
      <w:pPr>
        <w:jc w:val="both"/>
        <w:rPr>
          <w:rFonts w:ascii="Katsoulidis" w:hAnsi="Katsoulidis" w:cs="Arial"/>
          <w:i/>
          <w:sz w:val="21"/>
          <w:szCs w:val="21"/>
        </w:rPr>
      </w:pPr>
      <w:r>
        <w:rPr>
          <w:rFonts w:ascii="Katsoulidis" w:hAnsi="Katsoulidis" w:cs="Arial"/>
          <w:sz w:val="21"/>
          <w:szCs w:val="21"/>
        </w:rPr>
        <w:t xml:space="preserve">    </w:t>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r>
      <w:r>
        <w:rPr>
          <w:rFonts w:ascii="Katsoulidis" w:hAnsi="Katsoulidis" w:cs="Arial"/>
          <w:sz w:val="21"/>
          <w:szCs w:val="21"/>
        </w:rPr>
        <w:tab/>
        <w:t xml:space="preserve">       </w:t>
      </w:r>
    </w:p>
    <w:p w:rsidR="001B1036" w:rsidRPr="001B1036" w:rsidRDefault="00856400" w:rsidP="00856400">
      <w:pPr>
        <w:jc w:val="both"/>
        <w:rPr>
          <w:rFonts w:ascii="Katsoulidis" w:hAnsi="Katsoulidis" w:cs="Arial"/>
          <w:i/>
          <w:sz w:val="21"/>
          <w:szCs w:val="21"/>
        </w:rPr>
      </w:pPr>
      <w:r>
        <w:rPr>
          <w:rFonts w:ascii="Katsoulidis" w:hAnsi="Katsoulidis" w:cs="Arial"/>
          <w:i/>
          <w:sz w:val="21"/>
          <w:szCs w:val="21"/>
        </w:rPr>
        <w:t>Υπογραφή συμμετέχοντα/ κηδεμόνα/ νόμιμου εκπρ</w:t>
      </w:r>
      <w:r w:rsidR="001B1036">
        <w:rPr>
          <w:rFonts w:ascii="Katsoulidis" w:hAnsi="Katsoulidis" w:cs="Arial"/>
          <w:i/>
          <w:sz w:val="21"/>
          <w:szCs w:val="21"/>
        </w:rPr>
        <w:t xml:space="preserve">οσώπου                       </w:t>
      </w:r>
    </w:p>
    <w:p w:rsidR="00856400" w:rsidRDefault="00856400" w:rsidP="00856400">
      <w:pPr>
        <w:jc w:val="both"/>
        <w:rPr>
          <w:rFonts w:ascii="Katsoulidis" w:hAnsi="Katsoulidis" w:cs="Arial"/>
          <w:i/>
          <w:sz w:val="21"/>
          <w:szCs w:val="21"/>
        </w:rPr>
      </w:pPr>
      <w:r>
        <w:rPr>
          <w:rFonts w:ascii="Katsoulidis" w:hAnsi="Katsoulidis" w:cs="Arial"/>
          <w:i/>
          <w:sz w:val="21"/>
          <w:szCs w:val="21"/>
        </w:rPr>
        <w:t xml:space="preserve"> Ο ενημερώσας ερευνητής</w:t>
      </w:r>
    </w:p>
    <w:p w:rsidR="00856400" w:rsidRDefault="001B1036" w:rsidP="00856400">
      <w:pPr>
        <w:jc w:val="both"/>
        <w:rPr>
          <w:rFonts w:ascii="Katsoulidis" w:hAnsi="Katsoulidis" w:cs="Arial"/>
          <w:i/>
          <w:sz w:val="21"/>
          <w:szCs w:val="21"/>
        </w:rPr>
      </w:pPr>
      <w:r>
        <w:rPr>
          <w:rFonts w:ascii="Katsoulidis" w:hAnsi="Katsoulidis" w:cs="Arial"/>
          <w:i/>
          <w:sz w:val="21"/>
          <w:szCs w:val="21"/>
        </w:rPr>
        <w:t xml:space="preserve"> </w:t>
      </w:r>
      <w:r w:rsidR="00856400">
        <w:rPr>
          <w:rFonts w:ascii="Katsoulidis" w:hAnsi="Katsoulidis" w:cs="Arial"/>
          <w:i/>
          <w:sz w:val="21"/>
          <w:szCs w:val="21"/>
        </w:rPr>
        <w:t xml:space="preserve">                  </w:t>
      </w:r>
    </w:p>
    <w:p w:rsidR="00856400" w:rsidRPr="00315140" w:rsidRDefault="00856400" w:rsidP="00856400">
      <w:pPr>
        <w:pBdr>
          <w:bottom w:val="single" w:sz="6" w:space="1" w:color="auto"/>
        </w:pBdr>
        <w:jc w:val="both"/>
        <w:rPr>
          <w:rFonts w:ascii="Katsoulidis" w:hAnsi="Katsoulidis" w:cs="Arial"/>
          <w:i/>
          <w:sz w:val="21"/>
          <w:szCs w:val="21"/>
          <w:lang w:eastAsia="el-GR"/>
        </w:rPr>
      </w:pPr>
      <w:r>
        <w:rPr>
          <w:rFonts w:ascii="Katsoulidis" w:hAnsi="Katsoulidis" w:cs="Arial"/>
          <w:sz w:val="21"/>
          <w:szCs w:val="21"/>
        </w:rPr>
        <w:t xml:space="preserve">_____________________________                                                    --------------------------------------------  </w:t>
      </w:r>
      <w:r>
        <w:rPr>
          <w:rFonts w:ascii="Katsoulidis" w:hAnsi="Katsoulidis" w:cs="Arial"/>
          <w:i/>
          <w:sz w:val="21"/>
          <w:szCs w:val="21"/>
        </w:rPr>
        <w:t>(Ονοματεπώνυμο ολογράφως)                                                                        (Ονοματεπώνυμο ολογράφως)</w:t>
      </w:r>
    </w:p>
    <w:p w:rsidR="00856400" w:rsidRPr="00315140" w:rsidRDefault="001B1036" w:rsidP="001B1036">
      <w:pPr>
        <w:spacing w:after="160" w:line="256" w:lineRule="auto"/>
        <w:rPr>
          <w:sz w:val="20"/>
          <w:szCs w:val="20"/>
        </w:rPr>
      </w:pPr>
      <w:r>
        <w:rPr>
          <w:vertAlign w:val="superscript"/>
        </w:rPr>
        <w:footnoteRef/>
      </w:r>
      <w:r>
        <w:t xml:space="preserve"> </w:t>
      </w:r>
      <w:r w:rsidRPr="001B1036">
        <w:rPr>
          <w:sz w:val="20"/>
          <w:szCs w:val="20"/>
        </w:rPr>
        <w:t>Σε περίπτωση που η μελέτη περιλαμβάνει ανήλικα κάτω της ηλικίας των 15 ετών, απαιτείται σύμφωνα με το άρθρο 21 του ν 4624/2019 η συγκατάθεση γονέα ή του ασκούντος τη γονική μέριμνα ή την κηδεμονία για τη νομιμότητα της επεξεργασίας των προσωπικών δεδομένων της/του ανήλικης/ανηλίκου.</w:t>
      </w:r>
    </w:p>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DF5514" w:rsidRDefault="00DF5514" w:rsidP="00DF5514"/>
    <w:p w:rsidR="00834BB3" w:rsidRDefault="00834BB3" w:rsidP="00DF5514"/>
    <w:p w:rsidR="00834BB3" w:rsidRDefault="00834BB3" w:rsidP="00DF5514"/>
    <w:p w:rsidR="00DF5514" w:rsidRDefault="00DF5514" w:rsidP="00DF5514">
      <w:r>
        <w:t>Υπεύθυνη Δήλωση Συγγραφέα:</w:t>
      </w:r>
    </w:p>
    <w:p w:rsidR="00834BB3" w:rsidRPr="00834BB3" w:rsidRDefault="00834BB3" w:rsidP="00834BB3">
      <w:r>
        <w:rPr>
          <w:noProof/>
          <w:lang w:eastAsia="el-GR"/>
        </w:rPr>
        <w:drawing>
          <wp:anchor distT="0" distB="0" distL="114300" distR="114300" simplePos="0" relativeHeight="251659264" behindDoc="0" locked="0" layoutInCell="1" allowOverlap="1" wp14:anchorId="17132C4B" wp14:editId="5596EDFF">
            <wp:simplePos x="0" y="0"/>
            <wp:positionH relativeFrom="margin">
              <wp:posOffset>2752090</wp:posOffset>
            </wp:positionH>
            <wp:positionV relativeFrom="margin">
              <wp:posOffset>7244080</wp:posOffset>
            </wp:positionV>
            <wp:extent cx="2598420" cy="1310640"/>
            <wp:effectExtent l="0" t="0" r="0" b="3810"/>
            <wp:wrapSquare wrapText="bothSides"/>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Υπογραφή Αρματά Χρυσούλα.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98420" cy="1310640"/>
                    </a:xfrm>
                    <a:prstGeom prst="rect">
                      <a:avLst/>
                    </a:prstGeom>
                  </pic:spPr>
                </pic:pic>
              </a:graphicData>
            </a:graphic>
          </wp:anchor>
        </w:drawing>
      </w:r>
      <w:r w:rsidR="00DF5514">
        <w:t>Δηλώνω ρητά ότι, σύμφωνα με το άρθρο 8 του Ν.1599/1986, η παρούσα εργασία αποτελεί αποκλειστικά προϊόν προσωπικής μου εργασίας, δεν προσβάλλει κάθε μορφής δικαιώματα διανοητικής ιδιοκτησίας, προσωπικότητας και προσωπικών δεδομένων τρίτων, δεν περιέχει έργα/εισφορές τρίτων για τα οποία απαιτείται άδεια των δημιουργών/δικαιούχων και δεν είναι προϊόν μερικής ή ολικής αντιγραφής, οι πηγές δε που χρησιμοποιήθηκαν περιορίζονται στις βιβλιογραφικές αναφορές και μόν</w:t>
      </w:r>
      <w:r>
        <w:t xml:space="preserve">ον και πληρούν τους κανόνες της </w:t>
      </w:r>
      <w:r w:rsidR="00DF5514">
        <w:t>επιστημονικής παράθεσης.</w:t>
      </w:r>
      <w:r>
        <w:t xml:space="preserve"> </w:t>
      </w:r>
    </w:p>
    <w:sectPr w:rsidR="00834BB3" w:rsidRPr="00834BB3" w:rsidSect="00E56994">
      <w:footerReference w:type="default" r:id="rId31"/>
      <w:pgSz w:w="11906" w:h="16838"/>
      <w:pgMar w:top="1440" w:right="1800" w:bottom="1440" w:left="1800" w:header="708" w:footer="708"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342" w:rsidRDefault="008F4342" w:rsidP="00E56994">
      <w:pPr>
        <w:spacing w:after="0" w:line="240" w:lineRule="auto"/>
      </w:pPr>
      <w:r>
        <w:separator/>
      </w:r>
    </w:p>
  </w:endnote>
  <w:endnote w:type="continuationSeparator" w:id="0">
    <w:p w:rsidR="008F4342" w:rsidRDefault="008F4342" w:rsidP="00E56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Bahnschrift">
    <w:panose1 w:val="020B0502040204020203"/>
    <w:charset w:val="A1"/>
    <w:family w:val="swiss"/>
    <w:pitch w:val="variable"/>
    <w:sig w:usb0="A00002C7" w:usb1="00000002" w:usb2="00000000" w:usb3="00000000" w:csb0="0000019F" w:csb1="00000000"/>
  </w:font>
  <w:font w:name="Arial Nova Light">
    <w:altName w:val="Arial"/>
    <w:charset w:val="A1"/>
    <w:family w:val="swiss"/>
    <w:pitch w:val="variable"/>
    <w:sig w:usb0="00000001" w:usb1="00000002" w:usb2="00000000" w:usb3="00000000" w:csb0="0000019F" w:csb1="00000000"/>
  </w:font>
  <w:font w:name="Katsoulidis">
    <w:altName w:val="Calibri"/>
    <w:panose1 w:val="00000000000000000000"/>
    <w:charset w:val="00"/>
    <w:family w:val="modern"/>
    <w:notTrueType/>
    <w:pitch w:val="variable"/>
    <w:sig w:usb0="A00000AF" w:usb1="4000204A" w:usb2="00000000" w:usb3="00000000" w:csb0="0000009B"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2947723"/>
      <w:docPartObj>
        <w:docPartGallery w:val="Page Numbers (Bottom of Page)"/>
        <w:docPartUnique/>
      </w:docPartObj>
    </w:sdtPr>
    <w:sdtEndPr/>
    <w:sdtContent>
      <w:p w:rsidR="00724E36" w:rsidRDefault="00724E36" w:rsidP="00CF7455">
        <w:pPr>
          <w:pStyle w:val="Footer"/>
        </w:pPr>
        <w:r>
          <w:tab/>
        </w:r>
        <w:r>
          <w:tab/>
        </w:r>
        <w:r>
          <w:fldChar w:fldCharType="begin"/>
        </w:r>
        <w:r>
          <w:instrText>PAGE   \* MERGEFORMAT</w:instrText>
        </w:r>
        <w:r>
          <w:fldChar w:fldCharType="separate"/>
        </w:r>
        <w:r w:rsidR="00F70AF8">
          <w:rPr>
            <w:noProof/>
          </w:rPr>
          <w:t>45</w:t>
        </w:r>
        <w:r>
          <w:fldChar w:fldCharType="end"/>
        </w:r>
      </w:p>
    </w:sdtContent>
  </w:sdt>
  <w:p w:rsidR="00724E36" w:rsidRDefault="00724E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342" w:rsidRDefault="008F4342" w:rsidP="00E56994">
      <w:pPr>
        <w:spacing w:after="0" w:line="240" w:lineRule="auto"/>
      </w:pPr>
      <w:r>
        <w:separator/>
      </w:r>
    </w:p>
  </w:footnote>
  <w:footnote w:type="continuationSeparator" w:id="0">
    <w:p w:rsidR="008F4342" w:rsidRDefault="008F4342" w:rsidP="00E56994">
      <w:pPr>
        <w:spacing w:after="0" w:line="240" w:lineRule="auto"/>
      </w:pPr>
      <w:r>
        <w:continuationSeparator/>
      </w:r>
    </w:p>
  </w:footnote>
  <w:footnote w:id="1">
    <w:p w:rsidR="00724E36" w:rsidRPr="001B1036" w:rsidRDefault="00724E36" w:rsidP="00856400">
      <w:pPr>
        <w:keepNext/>
        <w:tabs>
          <w:tab w:val="left" w:pos="1440"/>
          <w:tab w:val="left" w:pos="9000"/>
        </w:tabs>
        <w:jc w:val="both"/>
        <w:outlineLvl w:val="0"/>
        <w:rPr>
          <w:rFonts w:ascii="Katsoulidis" w:hAnsi="Katsoulidis" w:cs="Arial"/>
          <w:sz w:val="18"/>
          <w:szCs w:val="18"/>
        </w:rPr>
      </w:pPr>
      <w:bookmarkStart w:id="4" w:name="_Hlk117598495"/>
      <w:r>
        <w:t xml:space="preserve"> </w:t>
      </w:r>
      <w:r w:rsidRPr="001B1036">
        <w:rPr>
          <w:sz w:val="18"/>
          <w:szCs w:val="18"/>
          <w:vertAlign w:val="superscript"/>
        </w:rPr>
        <w:footnoteRef/>
      </w:r>
      <w:r w:rsidRPr="001B1036">
        <w:rPr>
          <w:sz w:val="18"/>
          <w:szCs w:val="18"/>
        </w:rPr>
        <w:t xml:space="preserve"> Σε περίπτωση που η μελέτη περιλαμβάνει ανήλικα κάτω της ηλικίας των 15 ετών, απαιτείται σύμφωνα με το άρθρο 21 του ν 4624/2019 η συγκατάθεση γονέα ή του ασκούντος τη γονική μέριμνα ή την κηδεμονία για τη νομιμότητα της επεξεργασίας των προσωπικών δεδομένων της/του ανήλικης/ανηλίκου.</w:t>
      </w:r>
    </w:p>
    <w:bookmarkEnd w:id="4"/>
    <w:p w:rsidR="00724E36" w:rsidRDefault="00724E36" w:rsidP="00856400">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2733"/>
    <w:multiLevelType w:val="hybridMultilevel"/>
    <w:tmpl w:val="21620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3476892"/>
    <w:multiLevelType w:val="hybridMultilevel"/>
    <w:tmpl w:val="F068599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4F432A"/>
    <w:multiLevelType w:val="hybridMultilevel"/>
    <w:tmpl w:val="CCBAB9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7FE2A67"/>
    <w:multiLevelType w:val="hybridMultilevel"/>
    <w:tmpl w:val="B8F0731A"/>
    <w:lvl w:ilvl="0" w:tplc="BA7C9B44">
      <w:start w:val="1"/>
      <w:numFmt w:val="decimal"/>
      <w:lvlText w:val="%1."/>
      <w:lvlJc w:val="left"/>
      <w:pPr>
        <w:ind w:left="644" w:hanging="360"/>
      </w:pPr>
      <w:rPr>
        <w:rFonts w:hint="default"/>
        <w:b/>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4">
    <w:nsid w:val="1E97502B"/>
    <w:multiLevelType w:val="hybridMultilevel"/>
    <w:tmpl w:val="7D2C8D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7AF2852"/>
    <w:multiLevelType w:val="hybridMultilevel"/>
    <w:tmpl w:val="FBB88A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1065003"/>
    <w:multiLevelType w:val="hybridMultilevel"/>
    <w:tmpl w:val="7DAA6D6E"/>
    <w:lvl w:ilvl="0" w:tplc="0408000F">
      <w:start w:val="1"/>
      <w:numFmt w:val="decimal"/>
      <w:lvlText w:val="%1."/>
      <w:lvlJc w:val="left"/>
      <w:pPr>
        <w:ind w:left="768" w:hanging="360"/>
      </w:pPr>
    </w:lvl>
    <w:lvl w:ilvl="1" w:tplc="04080019" w:tentative="1">
      <w:start w:val="1"/>
      <w:numFmt w:val="lowerLetter"/>
      <w:lvlText w:val="%2."/>
      <w:lvlJc w:val="left"/>
      <w:pPr>
        <w:ind w:left="1488" w:hanging="360"/>
      </w:pPr>
    </w:lvl>
    <w:lvl w:ilvl="2" w:tplc="0408001B" w:tentative="1">
      <w:start w:val="1"/>
      <w:numFmt w:val="lowerRoman"/>
      <w:lvlText w:val="%3."/>
      <w:lvlJc w:val="right"/>
      <w:pPr>
        <w:ind w:left="2208" w:hanging="180"/>
      </w:pPr>
    </w:lvl>
    <w:lvl w:ilvl="3" w:tplc="0408000F" w:tentative="1">
      <w:start w:val="1"/>
      <w:numFmt w:val="decimal"/>
      <w:lvlText w:val="%4."/>
      <w:lvlJc w:val="left"/>
      <w:pPr>
        <w:ind w:left="2928" w:hanging="360"/>
      </w:pPr>
    </w:lvl>
    <w:lvl w:ilvl="4" w:tplc="04080019" w:tentative="1">
      <w:start w:val="1"/>
      <w:numFmt w:val="lowerLetter"/>
      <w:lvlText w:val="%5."/>
      <w:lvlJc w:val="left"/>
      <w:pPr>
        <w:ind w:left="3648" w:hanging="360"/>
      </w:pPr>
    </w:lvl>
    <w:lvl w:ilvl="5" w:tplc="0408001B" w:tentative="1">
      <w:start w:val="1"/>
      <w:numFmt w:val="lowerRoman"/>
      <w:lvlText w:val="%6."/>
      <w:lvlJc w:val="right"/>
      <w:pPr>
        <w:ind w:left="4368" w:hanging="180"/>
      </w:pPr>
    </w:lvl>
    <w:lvl w:ilvl="6" w:tplc="0408000F" w:tentative="1">
      <w:start w:val="1"/>
      <w:numFmt w:val="decimal"/>
      <w:lvlText w:val="%7."/>
      <w:lvlJc w:val="left"/>
      <w:pPr>
        <w:ind w:left="5088" w:hanging="360"/>
      </w:pPr>
    </w:lvl>
    <w:lvl w:ilvl="7" w:tplc="04080019" w:tentative="1">
      <w:start w:val="1"/>
      <w:numFmt w:val="lowerLetter"/>
      <w:lvlText w:val="%8."/>
      <w:lvlJc w:val="left"/>
      <w:pPr>
        <w:ind w:left="5808" w:hanging="360"/>
      </w:pPr>
    </w:lvl>
    <w:lvl w:ilvl="8" w:tplc="0408001B" w:tentative="1">
      <w:start w:val="1"/>
      <w:numFmt w:val="lowerRoman"/>
      <w:lvlText w:val="%9."/>
      <w:lvlJc w:val="right"/>
      <w:pPr>
        <w:ind w:left="6528" w:hanging="180"/>
      </w:pPr>
    </w:lvl>
  </w:abstractNum>
  <w:abstractNum w:abstractNumId="7">
    <w:nsid w:val="444D767D"/>
    <w:multiLevelType w:val="hybridMultilevel"/>
    <w:tmpl w:val="D488FC1E"/>
    <w:lvl w:ilvl="0" w:tplc="0408000F">
      <w:start w:val="1"/>
      <w:numFmt w:val="decimal"/>
      <w:lvlText w:val="%1."/>
      <w:lvlJc w:val="left"/>
      <w:pPr>
        <w:ind w:left="180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nsid w:val="4C8C638F"/>
    <w:multiLevelType w:val="hybridMultilevel"/>
    <w:tmpl w:val="2E1C419C"/>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9">
    <w:nsid w:val="538E4386"/>
    <w:multiLevelType w:val="hybridMultilevel"/>
    <w:tmpl w:val="E5F470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59BE1D6F"/>
    <w:multiLevelType w:val="hybridMultilevel"/>
    <w:tmpl w:val="B8D689B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1">
    <w:nsid w:val="6F8A4338"/>
    <w:multiLevelType w:val="hybridMultilevel"/>
    <w:tmpl w:val="2D8CE17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F944396"/>
    <w:multiLevelType w:val="hybridMultilevel"/>
    <w:tmpl w:val="20E415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736C51AF"/>
    <w:multiLevelType w:val="hybridMultilevel"/>
    <w:tmpl w:val="B4BE7B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2"/>
  </w:num>
  <w:num w:numId="4">
    <w:abstractNumId w:val="10"/>
  </w:num>
  <w:num w:numId="5">
    <w:abstractNumId w:val="7"/>
  </w:num>
  <w:num w:numId="6">
    <w:abstractNumId w:val="6"/>
  </w:num>
  <w:num w:numId="7">
    <w:abstractNumId w:val="2"/>
  </w:num>
  <w:num w:numId="8">
    <w:abstractNumId w:val="4"/>
  </w:num>
  <w:num w:numId="9">
    <w:abstractNumId w:val="8"/>
  </w:num>
  <w:num w:numId="10">
    <w:abstractNumId w:val="11"/>
  </w:num>
  <w:num w:numId="11">
    <w:abstractNumId w:val="0"/>
  </w:num>
  <w:num w:numId="12">
    <w:abstractNumId w:val="9"/>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974"/>
    <w:rsid w:val="0000260D"/>
    <w:rsid w:val="000064BB"/>
    <w:rsid w:val="00020FE7"/>
    <w:rsid w:val="00032FD8"/>
    <w:rsid w:val="0003678C"/>
    <w:rsid w:val="00036E5E"/>
    <w:rsid w:val="00052385"/>
    <w:rsid w:val="00052FF9"/>
    <w:rsid w:val="000533A1"/>
    <w:rsid w:val="00054379"/>
    <w:rsid w:val="00062715"/>
    <w:rsid w:val="0007429B"/>
    <w:rsid w:val="00075F64"/>
    <w:rsid w:val="000805E2"/>
    <w:rsid w:val="0009413E"/>
    <w:rsid w:val="00095B25"/>
    <w:rsid w:val="000B0DA1"/>
    <w:rsid w:val="000B7C83"/>
    <w:rsid w:val="000C11E7"/>
    <w:rsid w:val="000C2C3C"/>
    <w:rsid w:val="000C333F"/>
    <w:rsid w:val="000C5465"/>
    <w:rsid w:val="000C5A7F"/>
    <w:rsid w:val="000C7710"/>
    <w:rsid w:val="000C7DDA"/>
    <w:rsid w:val="000C7FB0"/>
    <w:rsid w:val="000D71E4"/>
    <w:rsid w:val="000D7F94"/>
    <w:rsid w:val="001057F2"/>
    <w:rsid w:val="00111E57"/>
    <w:rsid w:val="00114116"/>
    <w:rsid w:val="001154BB"/>
    <w:rsid w:val="001177D1"/>
    <w:rsid w:val="00143497"/>
    <w:rsid w:val="00145255"/>
    <w:rsid w:val="00152769"/>
    <w:rsid w:val="001536B1"/>
    <w:rsid w:val="001561B4"/>
    <w:rsid w:val="00166E1D"/>
    <w:rsid w:val="001671BB"/>
    <w:rsid w:val="00170116"/>
    <w:rsid w:val="00175758"/>
    <w:rsid w:val="00176B8A"/>
    <w:rsid w:val="0018626C"/>
    <w:rsid w:val="001922B4"/>
    <w:rsid w:val="00192F2B"/>
    <w:rsid w:val="001A6EEC"/>
    <w:rsid w:val="001B1036"/>
    <w:rsid w:val="001B1D8C"/>
    <w:rsid w:val="001B6D4A"/>
    <w:rsid w:val="001C7426"/>
    <w:rsid w:val="001D6897"/>
    <w:rsid w:val="001D7384"/>
    <w:rsid w:val="001E00E3"/>
    <w:rsid w:val="001E173F"/>
    <w:rsid w:val="001F6395"/>
    <w:rsid w:val="00200492"/>
    <w:rsid w:val="00210B4D"/>
    <w:rsid w:val="00214F8C"/>
    <w:rsid w:val="00215283"/>
    <w:rsid w:val="00216459"/>
    <w:rsid w:val="0021728E"/>
    <w:rsid w:val="00221932"/>
    <w:rsid w:val="0022208A"/>
    <w:rsid w:val="00223A45"/>
    <w:rsid w:val="00223F40"/>
    <w:rsid w:val="00232974"/>
    <w:rsid w:val="0023509F"/>
    <w:rsid w:val="00235936"/>
    <w:rsid w:val="0023613B"/>
    <w:rsid w:val="00240CA9"/>
    <w:rsid w:val="00241904"/>
    <w:rsid w:val="00243050"/>
    <w:rsid w:val="00244015"/>
    <w:rsid w:val="0024404C"/>
    <w:rsid w:val="002507A3"/>
    <w:rsid w:val="00251D6E"/>
    <w:rsid w:val="00252BB9"/>
    <w:rsid w:val="0025340F"/>
    <w:rsid w:val="00254C2F"/>
    <w:rsid w:val="002553A6"/>
    <w:rsid w:val="00255C42"/>
    <w:rsid w:val="002628EA"/>
    <w:rsid w:val="00262FDF"/>
    <w:rsid w:val="00263292"/>
    <w:rsid w:val="002703AF"/>
    <w:rsid w:val="00280BD4"/>
    <w:rsid w:val="00280D0E"/>
    <w:rsid w:val="002834C4"/>
    <w:rsid w:val="00291972"/>
    <w:rsid w:val="00297119"/>
    <w:rsid w:val="00297515"/>
    <w:rsid w:val="00297722"/>
    <w:rsid w:val="002A1A6E"/>
    <w:rsid w:val="002B32B6"/>
    <w:rsid w:val="002B5737"/>
    <w:rsid w:val="002B63CB"/>
    <w:rsid w:val="002B6426"/>
    <w:rsid w:val="002C4528"/>
    <w:rsid w:val="002C7234"/>
    <w:rsid w:val="002D2D35"/>
    <w:rsid w:val="002D7C34"/>
    <w:rsid w:val="002E3E61"/>
    <w:rsid w:val="002E72D8"/>
    <w:rsid w:val="002F0F4C"/>
    <w:rsid w:val="002F3A4F"/>
    <w:rsid w:val="0030128B"/>
    <w:rsid w:val="00315140"/>
    <w:rsid w:val="00323B24"/>
    <w:rsid w:val="00331E8D"/>
    <w:rsid w:val="00333E4C"/>
    <w:rsid w:val="003346A1"/>
    <w:rsid w:val="00336830"/>
    <w:rsid w:val="003368F1"/>
    <w:rsid w:val="00337054"/>
    <w:rsid w:val="00341924"/>
    <w:rsid w:val="00355024"/>
    <w:rsid w:val="00355F8A"/>
    <w:rsid w:val="00357514"/>
    <w:rsid w:val="003607ED"/>
    <w:rsid w:val="00360A9E"/>
    <w:rsid w:val="00361969"/>
    <w:rsid w:val="00362E48"/>
    <w:rsid w:val="00362F29"/>
    <w:rsid w:val="003657CA"/>
    <w:rsid w:val="00373553"/>
    <w:rsid w:val="00376D7B"/>
    <w:rsid w:val="00385580"/>
    <w:rsid w:val="00390167"/>
    <w:rsid w:val="003905C0"/>
    <w:rsid w:val="00391183"/>
    <w:rsid w:val="00392CB6"/>
    <w:rsid w:val="00392E33"/>
    <w:rsid w:val="003971B7"/>
    <w:rsid w:val="0039748C"/>
    <w:rsid w:val="003A6818"/>
    <w:rsid w:val="003A684E"/>
    <w:rsid w:val="003B5DA8"/>
    <w:rsid w:val="003B68C2"/>
    <w:rsid w:val="003B7630"/>
    <w:rsid w:val="003C1817"/>
    <w:rsid w:val="003C1FEB"/>
    <w:rsid w:val="003C4B03"/>
    <w:rsid w:val="003C7F67"/>
    <w:rsid w:val="003D7111"/>
    <w:rsid w:val="003E1B14"/>
    <w:rsid w:val="003E2056"/>
    <w:rsid w:val="003E3968"/>
    <w:rsid w:val="003E611E"/>
    <w:rsid w:val="003F2A6A"/>
    <w:rsid w:val="003F363B"/>
    <w:rsid w:val="003F5B15"/>
    <w:rsid w:val="004128EC"/>
    <w:rsid w:val="004155CB"/>
    <w:rsid w:val="00420FAB"/>
    <w:rsid w:val="00434BD9"/>
    <w:rsid w:val="00434D84"/>
    <w:rsid w:val="004365C7"/>
    <w:rsid w:val="00442F93"/>
    <w:rsid w:val="00445C53"/>
    <w:rsid w:val="004575D1"/>
    <w:rsid w:val="00466F9B"/>
    <w:rsid w:val="004731E2"/>
    <w:rsid w:val="00484AB9"/>
    <w:rsid w:val="00485BA4"/>
    <w:rsid w:val="0049035D"/>
    <w:rsid w:val="00492C54"/>
    <w:rsid w:val="0049352A"/>
    <w:rsid w:val="004A1B56"/>
    <w:rsid w:val="004A5678"/>
    <w:rsid w:val="004A6DDD"/>
    <w:rsid w:val="004B56F3"/>
    <w:rsid w:val="004C6BA7"/>
    <w:rsid w:val="004C7F2C"/>
    <w:rsid w:val="004D06B2"/>
    <w:rsid w:val="004D3F3B"/>
    <w:rsid w:val="004E1255"/>
    <w:rsid w:val="004E1A7C"/>
    <w:rsid w:val="004E7B5B"/>
    <w:rsid w:val="004F1F35"/>
    <w:rsid w:val="004F242B"/>
    <w:rsid w:val="004F410A"/>
    <w:rsid w:val="005025EC"/>
    <w:rsid w:val="00511D51"/>
    <w:rsid w:val="00512FBE"/>
    <w:rsid w:val="00513041"/>
    <w:rsid w:val="0051383D"/>
    <w:rsid w:val="005252D5"/>
    <w:rsid w:val="005254D9"/>
    <w:rsid w:val="0053099E"/>
    <w:rsid w:val="00531776"/>
    <w:rsid w:val="00533E69"/>
    <w:rsid w:val="00536D2B"/>
    <w:rsid w:val="005465AC"/>
    <w:rsid w:val="00550DD6"/>
    <w:rsid w:val="00553478"/>
    <w:rsid w:val="00554622"/>
    <w:rsid w:val="00554EBC"/>
    <w:rsid w:val="0055617D"/>
    <w:rsid w:val="005565D5"/>
    <w:rsid w:val="00556D36"/>
    <w:rsid w:val="00576542"/>
    <w:rsid w:val="00577FF8"/>
    <w:rsid w:val="00587E25"/>
    <w:rsid w:val="00592DC8"/>
    <w:rsid w:val="0059380A"/>
    <w:rsid w:val="0059720F"/>
    <w:rsid w:val="0059741B"/>
    <w:rsid w:val="005A4141"/>
    <w:rsid w:val="005A4DE8"/>
    <w:rsid w:val="005A78A2"/>
    <w:rsid w:val="005B10B2"/>
    <w:rsid w:val="005B483D"/>
    <w:rsid w:val="005B4DFC"/>
    <w:rsid w:val="005D18FB"/>
    <w:rsid w:val="005D554A"/>
    <w:rsid w:val="005D5821"/>
    <w:rsid w:val="005E1105"/>
    <w:rsid w:val="005E6C32"/>
    <w:rsid w:val="005E7813"/>
    <w:rsid w:val="005F05DB"/>
    <w:rsid w:val="005F0BF5"/>
    <w:rsid w:val="005F640E"/>
    <w:rsid w:val="005F73AD"/>
    <w:rsid w:val="00601F0D"/>
    <w:rsid w:val="006201BA"/>
    <w:rsid w:val="0065160F"/>
    <w:rsid w:val="00656B22"/>
    <w:rsid w:val="0066405F"/>
    <w:rsid w:val="006666FD"/>
    <w:rsid w:val="00667FD1"/>
    <w:rsid w:val="00677715"/>
    <w:rsid w:val="00680CF6"/>
    <w:rsid w:val="006859A3"/>
    <w:rsid w:val="00690366"/>
    <w:rsid w:val="006904B1"/>
    <w:rsid w:val="00695E13"/>
    <w:rsid w:val="006A4E49"/>
    <w:rsid w:val="006B0F50"/>
    <w:rsid w:val="006B27CB"/>
    <w:rsid w:val="006B59E4"/>
    <w:rsid w:val="006B7959"/>
    <w:rsid w:val="006C551B"/>
    <w:rsid w:val="006D164E"/>
    <w:rsid w:val="006D5707"/>
    <w:rsid w:val="006E09E4"/>
    <w:rsid w:val="006E5974"/>
    <w:rsid w:val="006E7879"/>
    <w:rsid w:val="006F1702"/>
    <w:rsid w:val="006F1AED"/>
    <w:rsid w:val="006F3A1E"/>
    <w:rsid w:val="006F587F"/>
    <w:rsid w:val="00707634"/>
    <w:rsid w:val="007112B8"/>
    <w:rsid w:val="00714617"/>
    <w:rsid w:val="0071572B"/>
    <w:rsid w:val="00716316"/>
    <w:rsid w:val="0071724C"/>
    <w:rsid w:val="007214B4"/>
    <w:rsid w:val="00724E36"/>
    <w:rsid w:val="00725332"/>
    <w:rsid w:val="00730701"/>
    <w:rsid w:val="00736B64"/>
    <w:rsid w:val="007401AD"/>
    <w:rsid w:val="00740CAC"/>
    <w:rsid w:val="0074466B"/>
    <w:rsid w:val="00755533"/>
    <w:rsid w:val="00764555"/>
    <w:rsid w:val="0077129E"/>
    <w:rsid w:val="00781AC2"/>
    <w:rsid w:val="00791EB6"/>
    <w:rsid w:val="00797D6D"/>
    <w:rsid w:val="007B27A7"/>
    <w:rsid w:val="007B4A4C"/>
    <w:rsid w:val="007C1964"/>
    <w:rsid w:val="007C53C4"/>
    <w:rsid w:val="007C55FA"/>
    <w:rsid w:val="007E0031"/>
    <w:rsid w:val="007F2832"/>
    <w:rsid w:val="00800B6F"/>
    <w:rsid w:val="0080436E"/>
    <w:rsid w:val="00804D67"/>
    <w:rsid w:val="00807B6B"/>
    <w:rsid w:val="00814ACE"/>
    <w:rsid w:val="00815946"/>
    <w:rsid w:val="008225D2"/>
    <w:rsid w:val="0082331D"/>
    <w:rsid w:val="00831FC1"/>
    <w:rsid w:val="00834BB3"/>
    <w:rsid w:val="00841DE4"/>
    <w:rsid w:val="00842E39"/>
    <w:rsid w:val="00856400"/>
    <w:rsid w:val="00871DD4"/>
    <w:rsid w:val="0088112A"/>
    <w:rsid w:val="008817EC"/>
    <w:rsid w:val="00886F3D"/>
    <w:rsid w:val="008976F8"/>
    <w:rsid w:val="008A4149"/>
    <w:rsid w:val="008B3D59"/>
    <w:rsid w:val="008B68B7"/>
    <w:rsid w:val="008B7871"/>
    <w:rsid w:val="008B7DDB"/>
    <w:rsid w:val="008D22E6"/>
    <w:rsid w:val="008D4D22"/>
    <w:rsid w:val="008E2879"/>
    <w:rsid w:val="008E50FC"/>
    <w:rsid w:val="008F4280"/>
    <w:rsid w:val="008F4342"/>
    <w:rsid w:val="008F7914"/>
    <w:rsid w:val="00907F95"/>
    <w:rsid w:val="00910974"/>
    <w:rsid w:val="00912615"/>
    <w:rsid w:val="00913136"/>
    <w:rsid w:val="009140C8"/>
    <w:rsid w:val="00915581"/>
    <w:rsid w:val="00916A2A"/>
    <w:rsid w:val="00917B7C"/>
    <w:rsid w:val="00927234"/>
    <w:rsid w:val="0093222D"/>
    <w:rsid w:val="00936D94"/>
    <w:rsid w:val="009424CE"/>
    <w:rsid w:val="00952D18"/>
    <w:rsid w:val="0096012C"/>
    <w:rsid w:val="00962177"/>
    <w:rsid w:val="0096748E"/>
    <w:rsid w:val="009733FC"/>
    <w:rsid w:val="009776EC"/>
    <w:rsid w:val="009858DF"/>
    <w:rsid w:val="0098622C"/>
    <w:rsid w:val="00992000"/>
    <w:rsid w:val="00992070"/>
    <w:rsid w:val="009A2372"/>
    <w:rsid w:val="009A2AF3"/>
    <w:rsid w:val="009B26E9"/>
    <w:rsid w:val="009C18F4"/>
    <w:rsid w:val="009C494C"/>
    <w:rsid w:val="009C540A"/>
    <w:rsid w:val="009C7030"/>
    <w:rsid w:val="009C7904"/>
    <w:rsid w:val="009D3F6C"/>
    <w:rsid w:val="009E27BC"/>
    <w:rsid w:val="009E4696"/>
    <w:rsid w:val="009F532F"/>
    <w:rsid w:val="00A012D8"/>
    <w:rsid w:val="00A123D7"/>
    <w:rsid w:val="00A17759"/>
    <w:rsid w:val="00A17EAC"/>
    <w:rsid w:val="00A260DB"/>
    <w:rsid w:val="00A41FDD"/>
    <w:rsid w:val="00A4490E"/>
    <w:rsid w:val="00A4518F"/>
    <w:rsid w:val="00A55CBB"/>
    <w:rsid w:val="00A67413"/>
    <w:rsid w:val="00A75733"/>
    <w:rsid w:val="00A94E6F"/>
    <w:rsid w:val="00AA37F7"/>
    <w:rsid w:val="00AB43BD"/>
    <w:rsid w:val="00AB5424"/>
    <w:rsid w:val="00AC7BDD"/>
    <w:rsid w:val="00AD2A81"/>
    <w:rsid w:val="00AD77BB"/>
    <w:rsid w:val="00AE21DE"/>
    <w:rsid w:val="00AE2244"/>
    <w:rsid w:val="00AE252F"/>
    <w:rsid w:val="00AF343E"/>
    <w:rsid w:val="00AF76D2"/>
    <w:rsid w:val="00B01D56"/>
    <w:rsid w:val="00B116E2"/>
    <w:rsid w:val="00B13E56"/>
    <w:rsid w:val="00B14E3B"/>
    <w:rsid w:val="00B17C20"/>
    <w:rsid w:val="00B2297E"/>
    <w:rsid w:val="00B27885"/>
    <w:rsid w:val="00B42CFE"/>
    <w:rsid w:val="00B43EDE"/>
    <w:rsid w:val="00B4690A"/>
    <w:rsid w:val="00B47BF3"/>
    <w:rsid w:val="00B55456"/>
    <w:rsid w:val="00B56A91"/>
    <w:rsid w:val="00B5762D"/>
    <w:rsid w:val="00B632B1"/>
    <w:rsid w:val="00B64359"/>
    <w:rsid w:val="00B66C25"/>
    <w:rsid w:val="00B7118B"/>
    <w:rsid w:val="00B77B14"/>
    <w:rsid w:val="00B803D9"/>
    <w:rsid w:val="00B85639"/>
    <w:rsid w:val="00B900EC"/>
    <w:rsid w:val="00B90442"/>
    <w:rsid w:val="00B91CBA"/>
    <w:rsid w:val="00BC0877"/>
    <w:rsid w:val="00BC69DC"/>
    <w:rsid w:val="00BC72FE"/>
    <w:rsid w:val="00BC793C"/>
    <w:rsid w:val="00BD09DC"/>
    <w:rsid w:val="00BD651A"/>
    <w:rsid w:val="00BD7160"/>
    <w:rsid w:val="00BD7772"/>
    <w:rsid w:val="00C00269"/>
    <w:rsid w:val="00C137A5"/>
    <w:rsid w:val="00C17BCD"/>
    <w:rsid w:val="00C202F9"/>
    <w:rsid w:val="00C23E5D"/>
    <w:rsid w:val="00C348F5"/>
    <w:rsid w:val="00C43219"/>
    <w:rsid w:val="00C50E82"/>
    <w:rsid w:val="00C54A64"/>
    <w:rsid w:val="00C5558C"/>
    <w:rsid w:val="00C602DE"/>
    <w:rsid w:val="00C64B49"/>
    <w:rsid w:val="00C65257"/>
    <w:rsid w:val="00C740D9"/>
    <w:rsid w:val="00C74365"/>
    <w:rsid w:val="00C8469A"/>
    <w:rsid w:val="00C8720B"/>
    <w:rsid w:val="00C92710"/>
    <w:rsid w:val="00C92DCB"/>
    <w:rsid w:val="00C931EC"/>
    <w:rsid w:val="00C94E04"/>
    <w:rsid w:val="00CA0C4F"/>
    <w:rsid w:val="00CA705B"/>
    <w:rsid w:val="00CC69A0"/>
    <w:rsid w:val="00CC6D64"/>
    <w:rsid w:val="00CD2315"/>
    <w:rsid w:val="00CE18C5"/>
    <w:rsid w:val="00CE463E"/>
    <w:rsid w:val="00CE6044"/>
    <w:rsid w:val="00CE6E20"/>
    <w:rsid w:val="00CF5679"/>
    <w:rsid w:val="00CF7455"/>
    <w:rsid w:val="00D03789"/>
    <w:rsid w:val="00D05D6E"/>
    <w:rsid w:val="00D102A9"/>
    <w:rsid w:val="00D12E73"/>
    <w:rsid w:val="00D12EB9"/>
    <w:rsid w:val="00D1561F"/>
    <w:rsid w:val="00D2680C"/>
    <w:rsid w:val="00D276E6"/>
    <w:rsid w:val="00D3003C"/>
    <w:rsid w:val="00D30377"/>
    <w:rsid w:val="00D317B9"/>
    <w:rsid w:val="00D32C97"/>
    <w:rsid w:val="00D40FD6"/>
    <w:rsid w:val="00D45531"/>
    <w:rsid w:val="00D45DD1"/>
    <w:rsid w:val="00D4730C"/>
    <w:rsid w:val="00D54CAE"/>
    <w:rsid w:val="00D55E4B"/>
    <w:rsid w:val="00D571BD"/>
    <w:rsid w:val="00D62504"/>
    <w:rsid w:val="00D654D0"/>
    <w:rsid w:val="00D822BF"/>
    <w:rsid w:val="00D86894"/>
    <w:rsid w:val="00D95C7A"/>
    <w:rsid w:val="00DB1926"/>
    <w:rsid w:val="00DB37BC"/>
    <w:rsid w:val="00DC0845"/>
    <w:rsid w:val="00DC2E22"/>
    <w:rsid w:val="00DC3D95"/>
    <w:rsid w:val="00DC426E"/>
    <w:rsid w:val="00DD4ABB"/>
    <w:rsid w:val="00DD50A4"/>
    <w:rsid w:val="00DE07BB"/>
    <w:rsid w:val="00DE1301"/>
    <w:rsid w:val="00DE3FF8"/>
    <w:rsid w:val="00DE487C"/>
    <w:rsid w:val="00DF1C0A"/>
    <w:rsid w:val="00DF1D38"/>
    <w:rsid w:val="00DF44FA"/>
    <w:rsid w:val="00DF4917"/>
    <w:rsid w:val="00DF5514"/>
    <w:rsid w:val="00E04729"/>
    <w:rsid w:val="00E10E87"/>
    <w:rsid w:val="00E1328C"/>
    <w:rsid w:val="00E14A75"/>
    <w:rsid w:val="00E23273"/>
    <w:rsid w:val="00E25740"/>
    <w:rsid w:val="00E313E3"/>
    <w:rsid w:val="00E45A68"/>
    <w:rsid w:val="00E56994"/>
    <w:rsid w:val="00E67154"/>
    <w:rsid w:val="00E730CE"/>
    <w:rsid w:val="00E87DAB"/>
    <w:rsid w:val="00E91263"/>
    <w:rsid w:val="00EA3E53"/>
    <w:rsid w:val="00EC3428"/>
    <w:rsid w:val="00ED415F"/>
    <w:rsid w:val="00ED51A7"/>
    <w:rsid w:val="00EE4D4C"/>
    <w:rsid w:val="00EF0845"/>
    <w:rsid w:val="00F043D9"/>
    <w:rsid w:val="00F06BF3"/>
    <w:rsid w:val="00F11706"/>
    <w:rsid w:val="00F1189D"/>
    <w:rsid w:val="00F135E5"/>
    <w:rsid w:val="00F16138"/>
    <w:rsid w:val="00F20DD2"/>
    <w:rsid w:val="00F26D87"/>
    <w:rsid w:val="00F30452"/>
    <w:rsid w:val="00F309BF"/>
    <w:rsid w:val="00F33925"/>
    <w:rsid w:val="00F37F12"/>
    <w:rsid w:val="00F404F2"/>
    <w:rsid w:val="00F44708"/>
    <w:rsid w:val="00F44ADD"/>
    <w:rsid w:val="00F461C8"/>
    <w:rsid w:val="00F51637"/>
    <w:rsid w:val="00F55DB4"/>
    <w:rsid w:val="00F61D1E"/>
    <w:rsid w:val="00F636E8"/>
    <w:rsid w:val="00F64857"/>
    <w:rsid w:val="00F702F5"/>
    <w:rsid w:val="00F706B3"/>
    <w:rsid w:val="00F70AF8"/>
    <w:rsid w:val="00F735E6"/>
    <w:rsid w:val="00F747FB"/>
    <w:rsid w:val="00F77F79"/>
    <w:rsid w:val="00F92A30"/>
    <w:rsid w:val="00F970F7"/>
    <w:rsid w:val="00FA1F53"/>
    <w:rsid w:val="00FB24A5"/>
    <w:rsid w:val="00FB2F61"/>
    <w:rsid w:val="00FB3AB5"/>
    <w:rsid w:val="00FC789C"/>
    <w:rsid w:val="00FD6F40"/>
    <w:rsid w:val="00FE05CC"/>
    <w:rsid w:val="00FE0A3A"/>
    <w:rsid w:val="00FE3DFB"/>
    <w:rsid w:val="00FF6099"/>
    <w:rsid w:val="00FF7F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00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196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331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23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31D"/>
    <w:rPr>
      <w:rFonts w:ascii="Tahoma" w:hAnsi="Tahoma" w:cs="Tahoma"/>
      <w:sz w:val="16"/>
      <w:szCs w:val="16"/>
    </w:rPr>
  </w:style>
  <w:style w:type="paragraph" w:styleId="Header">
    <w:name w:val="header"/>
    <w:basedOn w:val="Normal"/>
    <w:link w:val="HeaderChar"/>
    <w:uiPriority w:val="99"/>
    <w:unhideWhenUsed/>
    <w:rsid w:val="00E56994"/>
    <w:pPr>
      <w:tabs>
        <w:tab w:val="center" w:pos="4153"/>
        <w:tab w:val="right" w:pos="8306"/>
      </w:tabs>
      <w:spacing w:after="0" w:line="240" w:lineRule="auto"/>
    </w:pPr>
  </w:style>
  <w:style w:type="character" w:customStyle="1" w:styleId="HeaderChar">
    <w:name w:val="Header Char"/>
    <w:basedOn w:val="DefaultParagraphFont"/>
    <w:link w:val="Header"/>
    <w:uiPriority w:val="99"/>
    <w:rsid w:val="00E56994"/>
  </w:style>
  <w:style w:type="paragraph" w:styleId="Footer">
    <w:name w:val="footer"/>
    <w:basedOn w:val="Normal"/>
    <w:link w:val="FooterChar"/>
    <w:uiPriority w:val="99"/>
    <w:unhideWhenUsed/>
    <w:rsid w:val="00E56994"/>
    <w:pPr>
      <w:tabs>
        <w:tab w:val="center" w:pos="4153"/>
        <w:tab w:val="right" w:pos="8306"/>
      </w:tabs>
      <w:spacing w:after="0" w:line="240" w:lineRule="auto"/>
    </w:pPr>
  </w:style>
  <w:style w:type="character" w:customStyle="1" w:styleId="FooterChar">
    <w:name w:val="Footer Char"/>
    <w:basedOn w:val="DefaultParagraphFont"/>
    <w:link w:val="Footer"/>
    <w:uiPriority w:val="99"/>
    <w:rsid w:val="00E56994"/>
  </w:style>
  <w:style w:type="character" w:styleId="Hyperlink">
    <w:name w:val="Hyperlink"/>
    <w:basedOn w:val="DefaultParagraphFont"/>
    <w:uiPriority w:val="99"/>
    <w:unhideWhenUsed/>
    <w:rsid w:val="00856400"/>
    <w:rPr>
      <w:rFonts w:ascii="Times New Roman" w:hAnsi="Times New Roman" w:cs="Times New Roman" w:hint="default"/>
      <w:color w:val="0000FF"/>
      <w:u w:val="single"/>
    </w:rPr>
  </w:style>
  <w:style w:type="paragraph" w:styleId="FootnoteText">
    <w:name w:val="footnote text"/>
    <w:basedOn w:val="Normal"/>
    <w:link w:val="FootnoteTextChar"/>
    <w:uiPriority w:val="99"/>
    <w:semiHidden/>
    <w:unhideWhenUsed/>
    <w:rsid w:val="00856400"/>
    <w:pPr>
      <w:spacing w:after="0" w:line="240" w:lineRule="auto"/>
    </w:pPr>
    <w:rPr>
      <w:rFonts w:ascii="Times New Roman" w:eastAsia="Times New Roman" w:hAnsi="Times New Roman" w:cs="Times New Roman"/>
      <w:sz w:val="20"/>
      <w:szCs w:val="20"/>
      <w:lang w:eastAsia="el-GR"/>
    </w:rPr>
  </w:style>
  <w:style w:type="character" w:customStyle="1" w:styleId="FootnoteTextChar">
    <w:name w:val="Footnote Text Char"/>
    <w:basedOn w:val="DefaultParagraphFont"/>
    <w:link w:val="FootnoteText"/>
    <w:uiPriority w:val="99"/>
    <w:semiHidden/>
    <w:rsid w:val="00856400"/>
    <w:rPr>
      <w:rFonts w:ascii="Times New Roman" w:eastAsia="Times New Roman" w:hAnsi="Times New Roman" w:cs="Times New Roman"/>
      <w:sz w:val="20"/>
      <w:szCs w:val="20"/>
      <w:lang w:eastAsia="el-GR"/>
    </w:rPr>
  </w:style>
  <w:style w:type="paragraph" w:styleId="ListParagraph">
    <w:name w:val="List Paragraph"/>
    <w:basedOn w:val="Normal"/>
    <w:uiPriority w:val="34"/>
    <w:qFormat/>
    <w:rsid w:val="00856400"/>
    <w:pPr>
      <w:spacing w:after="0" w:line="240" w:lineRule="auto"/>
      <w:ind w:left="720"/>
    </w:pPr>
    <w:rPr>
      <w:rFonts w:ascii="Times New Roman" w:eastAsia="Times New Roman" w:hAnsi="Times New Roman" w:cs="Times New Roman"/>
      <w:sz w:val="20"/>
      <w:szCs w:val="20"/>
      <w:lang w:eastAsia="el-GR"/>
    </w:rPr>
  </w:style>
  <w:style w:type="character" w:customStyle="1" w:styleId="dont-break-out">
    <w:name w:val="dont-break-out"/>
    <w:basedOn w:val="DefaultParagraphFont"/>
    <w:rsid w:val="004E1255"/>
  </w:style>
  <w:style w:type="character" w:customStyle="1" w:styleId="ng-star-inserted">
    <w:name w:val="ng-star-inserted"/>
    <w:basedOn w:val="DefaultParagraphFont"/>
    <w:rsid w:val="004E1255"/>
  </w:style>
  <w:style w:type="character" w:styleId="Emphasis">
    <w:name w:val="Emphasis"/>
    <w:basedOn w:val="DefaultParagraphFont"/>
    <w:uiPriority w:val="20"/>
    <w:qFormat/>
    <w:rsid w:val="004E1255"/>
    <w:rPr>
      <w:i/>
      <w:iCs/>
    </w:rPr>
  </w:style>
  <w:style w:type="character" w:customStyle="1" w:styleId="Heading2Char">
    <w:name w:val="Heading 2 Char"/>
    <w:basedOn w:val="DefaultParagraphFont"/>
    <w:link w:val="Heading2"/>
    <w:uiPriority w:val="9"/>
    <w:rsid w:val="00361969"/>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037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037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E003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1E00E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00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196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331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23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31D"/>
    <w:rPr>
      <w:rFonts w:ascii="Tahoma" w:hAnsi="Tahoma" w:cs="Tahoma"/>
      <w:sz w:val="16"/>
      <w:szCs w:val="16"/>
    </w:rPr>
  </w:style>
  <w:style w:type="paragraph" w:styleId="Header">
    <w:name w:val="header"/>
    <w:basedOn w:val="Normal"/>
    <w:link w:val="HeaderChar"/>
    <w:uiPriority w:val="99"/>
    <w:unhideWhenUsed/>
    <w:rsid w:val="00E56994"/>
    <w:pPr>
      <w:tabs>
        <w:tab w:val="center" w:pos="4153"/>
        <w:tab w:val="right" w:pos="8306"/>
      </w:tabs>
      <w:spacing w:after="0" w:line="240" w:lineRule="auto"/>
    </w:pPr>
  </w:style>
  <w:style w:type="character" w:customStyle="1" w:styleId="HeaderChar">
    <w:name w:val="Header Char"/>
    <w:basedOn w:val="DefaultParagraphFont"/>
    <w:link w:val="Header"/>
    <w:uiPriority w:val="99"/>
    <w:rsid w:val="00E56994"/>
  </w:style>
  <w:style w:type="paragraph" w:styleId="Footer">
    <w:name w:val="footer"/>
    <w:basedOn w:val="Normal"/>
    <w:link w:val="FooterChar"/>
    <w:uiPriority w:val="99"/>
    <w:unhideWhenUsed/>
    <w:rsid w:val="00E56994"/>
    <w:pPr>
      <w:tabs>
        <w:tab w:val="center" w:pos="4153"/>
        <w:tab w:val="right" w:pos="8306"/>
      </w:tabs>
      <w:spacing w:after="0" w:line="240" w:lineRule="auto"/>
    </w:pPr>
  </w:style>
  <w:style w:type="character" w:customStyle="1" w:styleId="FooterChar">
    <w:name w:val="Footer Char"/>
    <w:basedOn w:val="DefaultParagraphFont"/>
    <w:link w:val="Footer"/>
    <w:uiPriority w:val="99"/>
    <w:rsid w:val="00E56994"/>
  </w:style>
  <w:style w:type="character" w:styleId="Hyperlink">
    <w:name w:val="Hyperlink"/>
    <w:basedOn w:val="DefaultParagraphFont"/>
    <w:uiPriority w:val="99"/>
    <w:unhideWhenUsed/>
    <w:rsid w:val="00856400"/>
    <w:rPr>
      <w:rFonts w:ascii="Times New Roman" w:hAnsi="Times New Roman" w:cs="Times New Roman" w:hint="default"/>
      <w:color w:val="0000FF"/>
      <w:u w:val="single"/>
    </w:rPr>
  </w:style>
  <w:style w:type="paragraph" w:styleId="FootnoteText">
    <w:name w:val="footnote text"/>
    <w:basedOn w:val="Normal"/>
    <w:link w:val="FootnoteTextChar"/>
    <w:uiPriority w:val="99"/>
    <w:semiHidden/>
    <w:unhideWhenUsed/>
    <w:rsid w:val="00856400"/>
    <w:pPr>
      <w:spacing w:after="0" w:line="240" w:lineRule="auto"/>
    </w:pPr>
    <w:rPr>
      <w:rFonts w:ascii="Times New Roman" w:eastAsia="Times New Roman" w:hAnsi="Times New Roman" w:cs="Times New Roman"/>
      <w:sz w:val="20"/>
      <w:szCs w:val="20"/>
      <w:lang w:eastAsia="el-GR"/>
    </w:rPr>
  </w:style>
  <w:style w:type="character" w:customStyle="1" w:styleId="FootnoteTextChar">
    <w:name w:val="Footnote Text Char"/>
    <w:basedOn w:val="DefaultParagraphFont"/>
    <w:link w:val="FootnoteText"/>
    <w:uiPriority w:val="99"/>
    <w:semiHidden/>
    <w:rsid w:val="00856400"/>
    <w:rPr>
      <w:rFonts w:ascii="Times New Roman" w:eastAsia="Times New Roman" w:hAnsi="Times New Roman" w:cs="Times New Roman"/>
      <w:sz w:val="20"/>
      <w:szCs w:val="20"/>
      <w:lang w:eastAsia="el-GR"/>
    </w:rPr>
  </w:style>
  <w:style w:type="paragraph" w:styleId="ListParagraph">
    <w:name w:val="List Paragraph"/>
    <w:basedOn w:val="Normal"/>
    <w:uiPriority w:val="34"/>
    <w:qFormat/>
    <w:rsid w:val="00856400"/>
    <w:pPr>
      <w:spacing w:after="0" w:line="240" w:lineRule="auto"/>
      <w:ind w:left="720"/>
    </w:pPr>
    <w:rPr>
      <w:rFonts w:ascii="Times New Roman" w:eastAsia="Times New Roman" w:hAnsi="Times New Roman" w:cs="Times New Roman"/>
      <w:sz w:val="20"/>
      <w:szCs w:val="20"/>
      <w:lang w:eastAsia="el-GR"/>
    </w:rPr>
  </w:style>
  <w:style w:type="character" w:customStyle="1" w:styleId="dont-break-out">
    <w:name w:val="dont-break-out"/>
    <w:basedOn w:val="DefaultParagraphFont"/>
    <w:rsid w:val="004E1255"/>
  </w:style>
  <w:style w:type="character" w:customStyle="1" w:styleId="ng-star-inserted">
    <w:name w:val="ng-star-inserted"/>
    <w:basedOn w:val="DefaultParagraphFont"/>
    <w:rsid w:val="004E1255"/>
  </w:style>
  <w:style w:type="character" w:styleId="Emphasis">
    <w:name w:val="Emphasis"/>
    <w:basedOn w:val="DefaultParagraphFont"/>
    <w:uiPriority w:val="20"/>
    <w:qFormat/>
    <w:rsid w:val="004E1255"/>
    <w:rPr>
      <w:i/>
      <w:iCs/>
    </w:rPr>
  </w:style>
  <w:style w:type="character" w:customStyle="1" w:styleId="Heading2Char">
    <w:name w:val="Heading 2 Char"/>
    <w:basedOn w:val="DefaultParagraphFont"/>
    <w:link w:val="Heading2"/>
    <w:uiPriority w:val="9"/>
    <w:rsid w:val="00361969"/>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037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037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E003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1E00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27204">
      <w:bodyDiv w:val="1"/>
      <w:marLeft w:val="0"/>
      <w:marRight w:val="0"/>
      <w:marTop w:val="0"/>
      <w:marBottom w:val="0"/>
      <w:divBdr>
        <w:top w:val="none" w:sz="0" w:space="0" w:color="auto"/>
        <w:left w:val="none" w:sz="0" w:space="0" w:color="auto"/>
        <w:bottom w:val="none" w:sz="0" w:space="0" w:color="auto"/>
        <w:right w:val="none" w:sz="0" w:space="0" w:color="auto"/>
      </w:divBdr>
    </w:div>
    <w:div w:id="1040128434">
      <w:bodyDiv w:val="1"/>
      <w:marLeft w:val="0"/>
      <w:marRight w:val="0"/>
      <w:marTop w:val="0"/>
      <w:marBottom w:val="0"/>
      <w:divBdr>
        <w:top w:val="none" w:sz="0" w:space="0" w:color="auto"/>
        <w:left w:val="none" w:sz="0" w:space="0" w:color="auto"/>
        <w:bottom w:val="none" w:sz="0" w:space="0" w:color="auto"/>
        <w:right w:val="none" w:sz="0" w:space="0" w:color="auto"/>
      </w:divBdr>
    </w:div>
    <w:div w:id="1124344116">
      <w:bodyDiv w:val="1"/>
      <w:marLeft w:val="0"/>
      <w:marRight w:val="0"/>
      <w:marTop w:val="0"/>
      <w:marBottom w:val="0"/>
      <w:divBdr>
        <w:top w:val="none" w:sz="0" w:space="0" w:color="auto"/>
        <w:left w:val="none" w:sz="0" w:space="0" w:color="auto"/>
        <w:bottom w:val="none" w:sz="0" w:space="0" w:color="auto"/>
        <w:right w:val="none" w:sz="0" w:space="0" w:color="auto"/>
      </w:divBdr>
    </w:div>
    <w:div w:id="1872568866">
      <w:bodyDiv w:val="1"/>
      <w:marLeft w:val="0"/>
      <w:marRight w:val="0"/>
      <w:marTop w:val="0"/>
      <w:marBottom w:val="0"/>
      <w:divBdr>
        <w:top w:val="none" w:sz="0" w:space="0" w:color="auto"/>
        <w:left w:val="none" w:sz="0" w:space="0" w:color="auto"/>
        <w:bottom w:val="none" w:sz="0" w:space="0" w:color="auto"/>
        <w:right w:val="none" w:sz="0" w:space="0" w:color="auto"/>
      </w:divBdr>
    </w:div>
    <w:div w:id="211605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hyperlink" Target="mailto:psfikakis@med.uoa.gr" TargetMode="Externa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hyperlink" Target="http://www.dpa.g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hyperlink" Target="mailto:dpo@uoa.gr" TargetMode="External"/><Relationship Id="rId10" Type="http://schemas.openxmlformats.org/officeDocument/2006/relationships/image" Target="media/image2.png"/><Relationship Id="rId19" Type="http://schemas.openxmlformats.org/officeDocument/2006/relationships/image" Target="media/image11.emf"/><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g"/><Relationship Id="rId22" Type="http://schemas.openxmlformats.org/officeDocument/2006/relationships/image" Target="media/image14.emf"/><Relationship Id="rId27" Type="http://schemas.openxmlformats.org/officeDocument/2006/relationships/hyperlink" Target="mailto:eanagnost@eginitio.uoa.gr" TargetMode="External"/><Relationship Id="rId30" Type="http://schemas.openxmlformats.org/officeDocument/2006/relationships/image" Target="media/image18.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668DE-859D-4590-8177-B42CA2482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1979</TotalTime>
  <Pages>70</Pages>
  <Words>19262</Words>
  <Characters>104021</Characters>
  <Application>Microsoft Office Word</Application>
  <DocSecurity>0</DocSecurity>
  <Lines>866</Lines>
  <Paragraphs>246</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123037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Hooni</dc:creator>
  <cp:keywords/>
  <dc:description/>
  <cp:lastModifiedBy>Evrydiki Kravvariti</cp:lastModifiedBy>
  <cp:revision>422</cp:revision>
  <dcterms:created xsi:type="dcterms:W3CDTF">2026-01-04T17:57:00Z</dcterms:created>
  <dcterms:modified xsi:type="dcterms:W3CDTF">2026-06-12T16:31:00Z</dcterms:modified>
</cp:coreProperties>
</file>