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880C" w14:textId="4EB18D23" w:rsidR="00E71B4D" w:rsidRPr="000F6A1D" w:rsidRDefault="000F6A1D" w:rsidP="000F6A1D">
      <w:pPr>
        <w:jc w:val="center"/>
        <w:rPr>
          <w:b/>
          <w:bCs/>
          <w:smallCaps/>
          <w:lang w:val="el-GR"/>
        </w:rPr>
      </w:pPr>
      <w:r w:rsidRPr="000F6A1D">
        <w:rPr>
          <w:b/>
          <w:bCs/>
          <w:smallCaps/>
          <w:lang w:val="el-GR"/>
        </w:rPr>
        <w:t>Διεθνής Αναγκαστική Εκτέλεση</w:t>
      </w:r>
    </w:p>
    <w:p w14:paraId="102ACF01" w14:textId="77777777" w:rsidR="000F6A1D" w:rsidRPr="000F6A1D" w:rsidRDefault="000F6A1D" w:rsidP="000F6A1D">
      <w:pPr>
        <w:jc w:val="center"/>
        <w:rPr>
          <w:lang w:val="el-GR"/>
        </w:rPr>
      </w:pPr>
      <w:r w:rsidRPr="000F6A1D">
        <w:rPr>
          <w:lang w:val="el-GR"/>
        </w:rPr>
        <w:t>Μάθημα της 08.05.2025</w:t>
      </w:r>
    </w:p>
    <w:p w14:paraId="311BEDE4" w14:textId="77777777" w:rsidR="000F6A1D" w:rsidRDefault="000F6A1D" w:rsidP="000F6A1D">
      <w:pPr>
        <w:jc w:val="center"/>
        <w:rPr>
          <w:lang w:val="el-GR"/>
        </w:rPr>
      </w:pPr>
    </w:p>
    <w:p w14:paraId="2269ED1A" w14:textId="2963DB6A" w:rsidR="00E71B4D" w:rsidRPr="00E71B4D" w:rsidRDefault="00E71B4D" w:rsidP="00E71B4D">
      <w:pPr>
        <w:rPr>
          <w:b/>
          <w:bCs/>
          <w:lang w:val="el-GR"/>
        </w:rPr>
      </w:pPr>
      <w:r w:rsidRPr="00E71B4D">
        <w:rPr>
          <w:b/>
          <w:bCs/>
          <w:lang w:val="el-GR"/>
        </w:rPr>
        <w:t>Προτεινόμενη</w:t>
      </w:r>
      <w:r w:rsidR="003312B6" w:rsidRPr="003312B6">
        <w:rPr>
          <w:b/>
          <w:bCs/>
          <w:lang w:val="el-GR"/>
        </w:rPr>
        <w:t xml:space="preserve"> </w:t>
      </w:r>
      <w:r w:rsidR="003312B6" w:rsidRPr="000F6A1D">
        <w:rPr>
          <w:b/>
          <w:bCs/>
          <w:lang w:val="el-GR"/>
        </w:rPr>
        <w:t>(</w:t>
      </w:r>
      <w:r w:rsidR="003312B6">
        <w:rPr>
          <w:b/>
          <w:bCs/>
          <w:lang w:val="el-GR"/>
        </w:rPr>
        <w:t>Ενδεικτική)</w:t>
      </w:r>
      <w:r w:rsidRPr="00E71B4D">
        <w:rPr>
          <w:b/>
          <w:bCs/>
          <w:lang w:val="el-GR"/>
        </w:rPr>
        <w:t xml:space="preserve"> Βιβλιογραφία </w:t>
      </w:r>
    </w:p>
    <w:p w14:paraId="0B49FEC6" w14:textId="77777777" w:rsidR="00E71B4D" w:rsidRDefault="00E71B4D" w:rsidP="00E71B4D">
      <w:pPr>
        <w:rPr>
          <w:lang w:val="el-GR"/>
        </w:rPr>
      </w:pPr>
    </w:p>
    <w:p w14:paraId="43141121" w14:textId="532390E8" w:rsidR="00E71B4D" w:rsidRPr="003312B6" w:rsidRDefault="00E71B4D" w:rsidP="00E71B4D">
      <w:pPr>
        <w:rPr>
          <w:i/>
          <w:iCs/>
          <w:u w:val="single"/>
          <w:lang w:val="el-GR"/>
        </w:rPr>
      </w:pPr>
      <w:r w:rsidRPr="003312B6">
        <w:rPr>
          <w:i/>
          <w:iCs/>
          <w:u w:val="single"/>
          <w:lang w:val="el-GR"/>
        </w:rPr>
        <w:t>Ελληνόγλωσση</w:t>
      </w:r>
    </w:p>
    <w:p w14:paraId="03F7197B" w14:textId="77777777" w:rsidR="00E71B4D" w:rsidRDefault="00E71B4D" w:rsidP="00E71B4D">
      <w:pPr>
        <w:rPr>
          <w:lang w:val="el-GR"/>
        </w:rPr>
      </w:pPr>
    </w:p>
    <w:p w14:paraId="5BB069EC" w14:textId="45AB0826" w:rsidR="00590C15" w:rsidRPr="007E5762" w:rsidRDefault="003312B6" w:rsidP="007E5762">
      <w:pPr>
        <w:numPr>
          <w:ilvl w:val="0"/>
          <w:numId w:val="2"/>
        </w:numPr>
        <w:spacing w:after="0" w:line="360" w:lineRule="auto"/>
        <w:jc w:val="both"/>
        <w:rPr>
          <w:lang w:val="el-GR"/>
        </w:rPr>
      </w:pPr>
      <w:r>
        <w:rPr>
          <w:lang w:val="el-GR"/>
        </w:rPr>
        <w:t>Γιαννόπουλος Π., Ο Κανονισμός 655/2014 «περί της διαδικασίας</w:t>
      </w:r>
      <w:r w:rsidR="007E5762">
        <w:rPr>
          <w:lang w:val="el-GR"/>
        </w:rPr>
        <w:t xml:space="preserve"> </w:t>
      </w:r>
      <w:r w:rsidR="007E5762" w:rsidRPr="007E5762">
        <w:rPr>
          <w:lang w:val="el-GR"/>
        </w:rPr>
        <w:t xml:space="preserve">ευρωπαϊκής διαταγής δέσμευσης λογαριασμού προς διευκόλυνση της διασυνοριακής είσπραξης οφειλών σε αστικές και εμπορικές υποθέσεις. Μια πρώτη απόπειρα ερμηνευτικής προσέγγισης υπό το πρίσμα της ελληνικής έννομης τάξης, </w:t>
      </w:r>
      <w:proofErr w:type="spellStart"/>
      <w:r w:rsidR="007E5762" w:rsidRPr="007E5762">
        <w:rPr>
          <w:lang w:val="el-GR"/>
        </w:rPr>
        <w:t>ΕΠολΔ</w:t>
      </w:r>
      <w:proofErr w:type="spellEnd"/>
      <w:r w:rsidR="007E5762" w:rsidRPr="007E5762">
        <w:rPr>
          <w:lang w:val="el-GR"/>
        </w:rPr>
        <w:t xml:space="preserve"> 2015, 675</w:t>
      </w:r>
      <w:r w:rsidR="007E5762">
        <w:rPr>
          <w:lang w:val="el-GR"/>
        </w:rPr>
        <w:t xml:space="preserve"> </w:t>
      </w:r>
      <w:proofErr w:type="spellStart"/>
      <w:r w:rsidR="007E5762">
        <w:rPr>
          <w:lang w:val="el-GR"/>
        </w:rPr>
        <w:t>επ</w:t>
      </w:r>
      <w:proofErr w:type="spellEnd"/>
      <w:r w:rsidR="007E5762">
        <w:rPr>
          <w:lang w:val="el-GR"/>
        </w:rPr>
        <w:t>.</w:t>
      </w:r>
    </w:p>
    <w:p w14:paraId="34EE2F1E" w14:textId="64DC33AB" w:rsidR="000075CE" w:rsidRDefault="000075CE" w:rsidP="00E71B4D">
      <w:pPr>
        <w:numPr>
          <w:ilvl w:val="0"/>
          <w:numId w:val="2"/>
        </w:numPr>
        <w:spacing w:after="0" w:line="360" w:lineRule="auto"/>
        <w:jc w:val="both"/>
        <w:rPr>
          <w:lang w:val="el-GR"/>
        </w:rPr>
      </w:pPr>
      <w:proofErr w:type="spellStart"/>
      <w:r>
        <w:rPr>
          <w:lang w:val="el-GR"/>
        </w:rPr>
        <w:t>Μαραζοπούλου</w:t>
      </w:r>
      <w:proofErr w:type="spellEnd"/>
      <w:r>
        <w:rPr>
          <w:lang w:val="el-GR"/>
        </w:rPr>
        <w:t xml:space="preserve"> Β., </w:t>
      </w:r>
      <w:proofErr w:type="spellStart"/>
      <w:r w:rsidRPr="000075CE">
        <w:rPr>
          <w:lang w:val="el-GR"/>
        </w:rPr>
        <w:t>Υπερεδαφικ</w:t>
      </w:r>
      <w:r>
        <w:rPr>
          <w:lang w:val="el-GR"/>
        </w:rPr>
        <w:t>ή</w:t>
      </w:r>
      <w:proofErr w:type="spellEnd"/>
      <w:r w:rsidRPr="000075CE">
        <w:rPr>
          <w:lang w:val="el-GR"/>
        </w:rPr>
        <w:t xml:space="preserve"> Εκτέλεση </w:t>
      </w:r>
      <w:r>
        <w:rPr>
          <w:lang w:val="el-GR"/>
        </w:rPr>
        <w:t>κ</w:t>
      </w:r>
      <w:r w:rsidRPr="000075CE">
        <w:rPr>
          <w:lang w:val="el-GR"/>
        </w:rPr>
        <w:t xml:space="preserve">ατά </w:t>
      </w:r>
      <w:r>
        <w:rPr>
          <w:lang w:val="el-GR"/>
        </w:rPr>
        <w:t>τ</w:t>
      </w:r>
      <w:r w:rsidRPr="000075CE">
        <w:rPr>
          <w:lang w:val="el-GR"/>
        </w:rPr>
        <w:t>ο Ευρωπαϊκό Δίκαιο σε αστικές και εμπορικές υποθέσεις</w:t>
      </w:r>
      <w:r>
        <w:rPr>
          <w:lang w:val="el-GR"/>
        </w:rPr>
        <w:t xml:space="preserve">, 2015. </w:t>
      </w:r>
    </w:p>
    <w:p w14:paraId="5122D077" w14:textId="5B8914C2" w:rsidR="00E71B4D" w:rsidRPr="00E71B4D" w:rsidRDefault="00E71B4D" w:rsidP="00E71B4D">
      <w:pPr>
        <w:numPr>
          <w:ilvl w:val="0"/>
          <w:numId w:val="2"/>
        </w:numPr>
        <w:spacing w:after="0" w:line="360" w:lineRule="auto"/>
        <w:jc w:val="both"/>
        <w:rPr>
          <w:lang w:val="el-GR"/>
        </w:rPr>
      </w:pPr>
      <w:proofErr w:type="spellStart"/>
      <w:r w:rsidRPr="00E71B4D">
        <w:rPr>
          <w:lang w:val="el-GR"/>
        </w:rPr>
        <w:t>Ποδηματά</w:t>
      </w:r>
      <w:proofErr w:type="spellEnd"/>
      <w:r w:rsidRPr="00E71B4D">
        <w:rPr>
          <w:lang w:val="el-GR"/>
        </w:rPr>
        <w:t xml:space="preserve">, Ε., </w:t>
      </w:r>
      <w:r w:rsidRPr="00E71B4D">
        <w:rPr>
          <w:i/>
          <w:lang w:val="el-GR"/>
        </w:rPr>
        <w:t>Ευρωπαϊκή Διαταγή Πληρωμής-Κατά τον Κανονισμό (ΕΚ) 1896/2006</w:t>
      </w:r>
      <w:r w:rsidRPr="00E71B4D">
        <w:rPr>
          <w:lang w:val="el-GR"/>
        </w:rPr>
        <w:t>, 2011.</w:t>
      </w:r>
    </w:p>
    <w:p w14:paraId="725BF016" w14:textId="3588C8B8" w:rsidR="000075CE" w:rsidRDefault="000075CE" w:rsidP="00E71B4D">
      <w:pPr>
        <w:numPr>
          <w:ilvl w:val="0"/>
          <w:numId w:val="2"/>
        </w:numPr>
        <w:spacing w:after="0" w:line="360" w:lineRule="auto"/>
        <w:jc w:val="both"/>
        <w:rPr>
          <w:lang w:val="el-GR"/>
        </w:rPr>
      </w:pPr>
      <w:proofErr w:type="spellStart"/>
      <w:r>
        <w:rPr>
          <w:lang w:val="el-GR"/>
        </w:rPr>
        <w:t>Τζουνάκου</w:t>
      </w:r>
      <w:proofErr w:type="spellEnd"/>
      <w:r>
        <w:rPr>
          <w:lang w:val="el-GR"/>
        </w:rPr>
        <w:t xml:space="preserve"> Ε., Η Ευρωπαϊκή Διαταγή Δέσμευσης Λογαριασμού κατά τον Κανονισμό 655/2014 – όπως εφαρμόζεται στην Ελλάδα, 2021.</w:t>
      </w:r>
    </w:p>
    <w:p w14:paraId="52216E30" w14:textId="568E9446" w:rsidR="003312B6" w:rsidRPr="007E5762" w:rsidRDefault="003312B6" w:rsidP="007E5762">
      <w:pPr>
        <w:pStyle w:val="ListParagraph"/>
        <w:numPr>
          <w:ilvl w:val="0"/>
          <w:numId w:val="2"/>
        </w:numPr>
        <w:rPr>
          <w:lang w:val="el-GR"/>
        </w:rPr>
      </w:pPr>
      <w:r w:rsidRPr="007E5762">
        <w:rPr>
          <w:lang w:val="el-GR"/>
        </w:rPr>
        <w:t>Τριανταφυλλίδης</w:t>
      </w:r>
      <w:r w:rsidR="007E5762">
        <w:rPr>
          <w:lang w:val="el-GR"/>
        </w:rPr>
        <w:t xml:space="preserve"> </w:t>
      </w:r>
      <w:r w:rsidR="007E5762" w:rsidRPr="007E5762">
        <w:rPr>
          <w:lang w:val="el-GR"/>
        </w:rPr>
        <w:t>Χρ., Τα ασφαλιστικά μέτρα στις διεθνείς ιδιωτικές διαφορές, 2008.</w:t>
      </w:r>
    </w:p>
    <w:p w14:paraId="30DF84F1" w14:textId="2765402E" w:rsidR="00E71B4D" w:rsidRPr="00E71B4D" w:rsidRDefault="00E71B4D" w:rsidP="00E71B4D">
      <w:pPr>
        <w:numPr>
          <w:ilvl w:val="0"/>
          <w:numId w:val="2"/>
        </w:numPr>
        <w:spacing w:after="0" w:line="360" w:lineRule="auto"/>
        <w:jc w:val="both"/>
        <w:rPr>
          <w:lang w:val="el-GR"/>
        </w:rPr>
      </w:pPr>
      <w:proofErr w:type="spellStart"/>
      <w:r w:rsidRPr="00E71B4D">
        <w:rPr>
          <w:lang w:val="el-GR"/>
        </w:rPr>
        <w:t>Τσικρικάς</w:t>
      </w:r>
      <w:proofErr w:type="spellEnd"/>
      <w:r w:rsidRPr="00E71B4D">
        <w:rPr>
          <w:lang w:val="el-GR"/>
        </w:rPr>
        <w:t xml:space="preserve"> Δ., </w:t>
      </w:r>
      <w:r w:rsidRPr="00E71B4D">
        <w:rPr>
          <w:i/>
          <w:lang w:val="el-GR"/>
        </w:rPr>
        <w:t>Ο Ευρωπαϊκός Εκτελεστός Τίτλος- Η διασυνοριακή αναγκαστική εκτέλεση στον ενιαίο ευρωπαϊκό χώρο</w:t>
      </w:r>
      <w:r w:rsidRPr="00E71B4D">
        <w:rPr>
          <w:lang w:val="el-GR"/>
        </w:rPr>
        <w:t>, 2008.</w:t>
      </w:r>
    </w:p>
    <w:p w14:paraId="09FBD823" w14:textId="77777777" w:rsidR="00E71B4D" w:rsidRPr="00E71B4D" w:rsidRDefault="00E71B4D" w:rsidP="00E71B4D">
      <w:pPr>
        <w:numPr>
          <w:ilvl w:val="0"/>
          <w:numId w:val="2"/>
        </w:numPr>
        <w:spacing w:after="0" w:line="360" w:lineRule="auto"/>
        <w:jc w:val="both"/>
        <w:rPr>
          <w:lang w:val="el-GR"/>
        </w:rPr>
      </w:pPr>
      <w:r w:rsidRPr="00E71B4D">
        <w:rPr>
          <w:lang w:val="el-GR"/>
        </w:rPr>
        <w:t xml:space="preserve">Τσικρικάς Δ., </w:t>
      </w:r>
      <w:r w:rsidRPr="00E71B4D">
        <w:rPr>
          <w:i/>
          <w:lang w:val="el-GR"/>
        </w:rPr>
        <w:t>Ζητήματα από την Επίδοση Πράξεων της Αναγκαστικής Εκτελέσεως</w:t>
      </w:r>
      <w:r w:rsidRPr="00E71B4D">
        <w:rPr>
          <w:lang w:val="el-GR"/>
        </w:rPr>
        <w:t>, 2002.</w:t>
      </w:r>
    </w:p>
    <w:p w14:paraId="483EB689" w14:textId="77777777" w:rsidR="00E71B4D" w:rsidRPr="000075CE" w:rsidRDefault="00E71B4D" w:rsidP="00E71B4D">
      <w:pPr>
        <w:spacing w:after="0" w:line="360" w:lineRule="auto"/>
        <w:jc w:val="both"/>
        <w:rPr>
          <w:lang w:val="el-GR"/>
        </w:rPr>
      </w:pPr>
    </w:p>
    <w:p w14:paraId="3D5BD1C8" w14:textId="485DCD1C" w:rsidR="00E71B4D" w:rsidRPr="003312B6" w:rsidRDefault="00E71B4D" w:rsidP="00E71B4D">
      <w:pPr>
        <w:spacing w:after="0" w:line="360" w:lineRule="auto"/>
        <w:jc w:val="both"/>
        <w:rPr>
          <w:i/>
          <w:iCs/>
          <w:u w:val="single"/>
        </w:rPr>
      </w:pPr>
      <w:r w:rsidRPr="003312B6">
        <w:rPr>
          <w:i/>
          <w:iCs/>
          <w:u w:val="single"/>
          <w:lang w:val="el-GR"/>
        </w:rPr>
        <w:t>Ξενόγλωσση</w:t>
      </w:r>
    </w:p>
    <w:p w14:paraId="750D1C51" w14:textId="77777777" w:rsidR="003312B6" w:rsidRPr="000075CE" w:rsidRDefault="003312B6" w:rsidP="003312B6">
      <w:pPr>
        <w:spacing w:after="0" w:line="360" w:lineRule="auto"/>
        <w:jc w:val="both"/>
        <w:rPr>
          <w:lang w:val="en-GB"/>
        </w:rPr>
      </w:pPr>
    </w:p>
    <w:p w14:paraId="1508C40A" w14:textId="36B0288D" w:rsidR="000075CE" w:rsidRDefault="000075CE" w:rsidP="000075CE">
      <w:pPr>
        <w:numPr>
          <w:ilvl w:val="0"/>
          <w:numId w:val="2"/>
        </w:numPr>
        <w:spacing w:after="0" w:line="360" w:lineRule="auto"/>
        <w:jc w:val="both"/>
        <w:rPr>
          <w:lang w:val="en-GB"/>
        </w:rPr>
      </w:pPr>
      <w:r w:rsidRPr="000075CE">
        <w:rPr>
          <w:lang w:val="en-GB"/>
        </w:rPr>
        <w:lastRenderedPageBreak/>
        <w:t xml:space="preserve">Cuniberti G., &amp; Migliorini S., The European Account Preservation Order Regulation- </w:t>
      </w:r>
      <w:r>
        <w:rPr>
          <w:lang w:val="en-GB"/>
        </w:rPr>
        <w:t>A</w:t>
      </w:r>
      <w:r w:rsidRPr="000075CE">
        <w:rPr>
          <w:lang w:val="en-GB"/>
        </w:rPr>
        <w:t xml:space="preserve"> Commentary</w:t>
      </w:r>
      <w:r>
        <w:rPr>
          <w:lang w:val="en-GB"/>
        </w:rPr>
        <w:t xml:space="preserve">, </w:t>
      </w:r>
      <w:r w:rsidRPr="000075CE">
        <w:rPr>
          <w:lang w:val="en-GB"/>
        </w:rPr>
        <w:t>2018</w:t>
      </w:r>
      <w:r>
        <w:rPr>
          <w:lang w:val="en-GB"/>
        </w:rPr>
        <w:t>.</w:t>
      </w:r>
    </w:p>
    <w:p w14:paraId="7E12C306" w14:textId="449B89AA" w:rsidR="003312B6" w:rsidRPr="003312B6" w:rsidRDefault="003312B6" w:rsidP="003312B6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>D’Alessandro E. &amp; Inchausti F-G., The European Account Preservation Order- A Commentary on Regulation (EU) No 655/2014, 2022.</w:t>
      </w:r>
    </w:p>
    <w:p w14:paraId="4C154D51" w14:textId="38D98AF7" w:rsidR="00E71B4D" w:rsidRPr="00527465" w:rsidRDefault="00E71B4D" w:rsidP="00E71B4D">
      <w:pPr>
        <w:numPr>
          <w:ilvl w:val="0"/>
          <w:numId w:val="2"/>
        </w:numPr>
        <w:spacing w:after="0" w:line="360" w:lineRule="auto"/>
        <w:jc w:val="both"/>
        <w:rPr>
          <w:lang w:val="en-GB"/>
        </w:rPr>
      </w:pPr>
      <w:proofErr w:type="spellStart"/>
      <w:r w:rsidRPr="00527465">
        <w:t>Kerameus</w:t>
      </w:r>
      <w:proofErr w:type="spellEnd"/>
      <w:r w:rsidR="003312B6">
        <w:t xml:space="preserve"> K.</w:t>
      </w:r>
      <w:r w:rsidRPr="00527465">
        <w:rPr>
          <w:lang w:val="en-GB"/>
        </w:rPr>
        <w:t xml:space="preserve">, </w:t>
      </w:r>
      <w:r w:rsidRPr="00527465">
        <w:t>Enforcement in the International Context,</w:t>
      </w:r>
      <w:r w:rsidRPr="00527465">
        <w:rPr>
          <w:lang w:val="en-GB"/>
        </w:rPr>
        <w:t xml:space="preserve"> </w:t>
      </w:r>
      <w:r>
        <w:t>264</w:t>
      </w:r>
      <w:r w:rsidRPr="00B817E4">
        <w:t xml:space="preserve"> </w:t>
      </w:r>
      <w:r w:rsidRPr="00D47F1A">
        <w:rPr>
          <w:i/>
        </w:rPr>
        <w:t>RCADI</w:t>
      </w:r>
      <w:r>
        <w:t xml:space="preserve"> (1997), </w:t>
      </w:r>
      <w:r w:rsidRPr="00527465">
        <w:t>183-402.</w:t>
      </w:r>
    </w:p>
    <w:p w14:paraId="3B51BA77" w14:textId="77777777" w:rsidR="00E71B4D" w:rsidRDefault="00E71B4D" w:rsidP="00E71B4D">
      <w:pPr>
        <w:numPr>
          <w:ilvl w:val="0"/>
          <w:numId w:val="2"/>
        </w:numPr>
        <w:spacing w:after="0" w:line="360" w:lineRule="auto"/>
        <w:jc w:val="both"/>
      </w:pPr>
      <w:r>
        <w:t xml:space="preserve">Schlosser P., The Abolition of Exequatur Proceedings: Including Public Policy Review?, 30 </w:t>
      </w:r>
      <w:r w:rsidRPr="005A420E">
        <w:rPr>
          <w:i/>
        </w:rPr>
        <w:t>IPrax</w:t>
      </w:r>
      <w:r>
        <w:t xml:space="preserve"> (2010), (2), 101-104.  </w:t>
      </w:r>
    </w:p>
    <w:p w14:paraId="496B32D5" w14:textId="77777777" w:rsidR="00E71B4D" w:rsidRDefault="00E71B4D" w:rsidP="00E71B4D">
      <w:pPr>
        <w:numPr>
          <w:ilvl w:val="0"/>
          <w:numId w:val="2"/>
        </w:numPr>
        <w:spacing w:after="0" w:line="360" w:lineRule="auto"/>
        <w:jc w:val="both"/>
      </w:pPr>
      <w:r>
        <w:t xml:space="preserve">Schlosser P., </w:t>
      </w:r>
      <w:r w:rsidRPr="00552CF6">
        <w:t>Jurisdiction and international</w:t>
      </w:r>
      <w:r>
        <w:t xml:space="preserve"> judicial and administrative co</w:t>
      </w:r>
      <w:r w:rsidRPr="00552CF6">
        <w:t>operation</w:t>
      </w:r>
      <w:r>
        <w:t xml:space="preserve">, 284 </w:t>
      </w:r>
      <w:r w:rsidRPr="00552CF6">
        <w:rPr>
          <w:i/>
        </w:rPr>
        <w:t>RCADI</w:t>
      </w:r>
      <w:r>
        <w:rPr>
          <w:i/>
        </w:rPr>
        <w:t xml:space="preserve"> </w:t>
      </w:r>
      <w:r w:rsidRPr="00291BE1">
        <w:t>(2000), 9-428</w:t>
      </w:r>
      <w:r>
        <w:rPr>
          <w:i/>
        </w:rPr>
        <w:t>.</w:t>
      </w:r>
    </w:p>
    <w:p w14:paraId="7827B801" w14:textId="77777777" w:rsidR="00E71B4D" w:rsidRPr="00E71B4D" w:rsidRDefault="00E71B4D" w:rsidP="00E71B4D">
      <w:pPr>
        <w:numPr>
          <w:ilvl w:val="0"/>
          <w:numId w:val="2"/>
        </w:numPr>
        <w:spacing w:after="0" w:line="360" w:lineRule="auto"/>
        <w:jc w:val="both"/>
        <w:rPr>
          <w:lang w:val="el-GR"/>
        </w:rPr>
      </w:pPr>
      <w:r w:rsidRPr="00527465">
        <w:t>St</w:t>
      </w:r>
      <w:r w:rsidRPr="00E71B4D">
        <w:rPr>
          <w:lang w:val="el-GR"/>
        </w:rPr>
        <w:t>ü</w:t>
      </w:r>
      <w:r w:rsidRPr="00527465">
        <w:t>rner</w:t>
      </w:r>
      <w:r w:rsidRPr="00E71B4D">
        <w:rPr>
          <w:lang w:val="el-GR"/>
        </w:rPr>
        <w:t xml:space="preserve"> </w:t>
      </w:r>
      <w:r w:rsidRPr="00527465">
        <w:t>R</w:t>
      </w:r>
      <w:r w:rsidRPr="00E71B4D">
        <w:rPr>
          <w:lang w:val="el-GR"/>
        </w:rPr>
        <w:t>., Η σημασία της Δογματικής του αστικού δικονομικού δικαίου στις αρχές του 21</w:t>
      </w:r>
      <w:r w:rsidRPr="00E71B4D">
        <w:rPr>
          <w:vertAlign w:val="superscript"/>
          <w:lang w:val="el-GR"/>
        </w:rPr>
        <w:t>ου</w:t>
      </w:r>
      <w:r w:rsidRPr="00E71B4D">
        <w:rPr>
          <w:lang w:val="el-GR"/>
        </w:rPr>
        <w:t xml:space="preserve"> αιώνα, </w:t>
      </w:r>
      <w:r w:rsidRPr="00E71B4D">
        <w:rPr>
          <w:i/>
          <w:lang w:val="el-GR"/>
        </w:rPr>
        <w:t>ΕΠολΔ</w:t>
      </w:r>
      <w:r w:rsidRPr="00E71B4D">
        <w:rPr>
          <w:lang w:val="el-GR"/>
        </w:rPr>
        <w:t xml:space="preserve"> (2012), 703-710.</w:t>
      </w:r>
    </w:p>
    <w:p w14:paraId="47517208" w14:textId="77777777" w:rsidR="00E71B4D" w:rsidRPr="00527465" w:rsidRDefault="00E71B4D" w:rsidP="00E71B4D">
      <w:pPr>
        <w:numPr>
          <w:ilvl w:val="0"/>
          <w:numId w:val="2"/>
        </w:numPr>
        <w:spacing w:after="0" w:line="360" w:lineRule="auto"/>
        <w:jc w:val="both"/>
        <w:rPr>
          <w:lang w:val="fr-FR"/>
        </w:rPr>
      </w:pPr>
      <w:r w:rsidRPr="00527465">
        <w:rPr>
          <w:lang w:val="fr-FR"/>
        </w:rPr>
        <w:t xml:space="preserve">Tsikrikas D., L’injonction de payer européenne, </w:t>
      </w:r>
      <w:r w:rsidRPr="00973FCE">
        <w:rPr>
          <w:i/>
          <w:lang w:val="fr-FR"/>
        </w:rPr>
        <w:t>ZZP</w:t>
      </w:r>
      <w:r w:rsidRPr="00527465">
        <w:rPr>
          <w:lang w:val="fr-FR"/>
        </w:rPr>
        <w:t xml:space="preserve"> (2009), 221 et s.    </w:t>
      </w:r>
    </w:p>
    <w:p w14:paraId="1A9081B0" w14:textId="77777777" w:rsidR="00E71B4D" w:rsidRDefault="00E71B4D" w:rsidP="00E71B4D">
      <w:pPr>
        <w:numPr>
          <w:ilvl w:val="0"/>
          <w:numId w:val="2"/>
        </w:numPr>
        <w:spacing w:after="0" w:line="360" w:lineRule="auto"/>
        <w:jc w:val="both"/>
        <w:rPr>
          <w:lang w:val="de-DE"/>
        </w:rPr>
      </w:pPr>
      <w:r>
        <w:rPr>
          <w:lang w:val="de-DE"/>
        </w:rPr>
        <w:t xml:space="preserve">Tsikrikas D., </w:t>
      </w:r>
      <w:r w:rsidRPr="00527465">
        <w:rPr>
          <w:lang w:val="de-DE"/>
        </w:rPr>
        <w:t>Probleme der grenzüberschreitende Vollstreckung von Massnahmen des einstweiligen Rechstschutzes in der Europäischen Union 124</w:t>
      </w:r>
      <w:r>
        <w:rPr>
          <w:lang w:val="de-DE"/>
        </w:rPr>
        <w:t xml:space="preserve"> </w:t>
      </w:r>
      <w:r w:rsidRPr="003347C7">
        <w:rPr>
          <w:i/>
          <w:lang w:val="de-DE"/>
        </w:rPr>
        <w:t>ZZP</w:t>
      </w:r>
      <w:r w:rsidRPr="00527465">
        <w:rPr>
          <w:lang w:val="de-DE"/>
        </w:rPr>
        <w:t xml:space="preserve"> (2011), 461-489.</w:t>
      </w:r>
    </w:p>
    <w:p w14:paraId="58C4F93B" w14:textId="77777777" w:rsidR="00E71B4D" w:rsidRPr="00527465" w:rsidRDefault="00E71B4D" w:rsidP="00E71B4D">
      <w:pPr>
        <w:numPr>
          <w:ilvl w:val="0"/>
          <w:numId w:val="2"/>
        </w:numPr>
        <w:spacing w:after="0" w:line="360" w:lineRule="auto"/>
        <w:jc w:val="both"/>
        <w:rPr>
          <w:lang w:val="en-GB"/>
        </w:rPr>
      </w:pPr>
      <w:r w:rsidRPr="00527465">
        <w:t>von</w:t>
      </w:r>
      <w:r w:rsidRPr="00527465">
        <w:rPr>
          <w:lang w:val="en-GB"/>
        </w:rPr>
        <w:t xml:space="preserve"> </w:t>
      </w:r>
      <w:r w:rsidRPr="00527465">
        <w:t>Mehren A.,</w:t>
      </w:r>
      <w:r w:rsidRPr="00527465">
        <w:rPr>
          <w:lang w:val="en-GB"/>
        </w:rPr>
        <w:t xml:space="preserve"> Recognition and Enforcement of Foreign Judgments-General theory and the role of jurisdictional requirements, </w:t>
      </w:r>
      <w:r w:rsidRPr="00EF63C5">
        <w:rPr>
          <w:i/>
          <w:lang w:val="en-GB"/>
        </w:rPr>
        <w:t>RCADI</w:t>
      </w:r>
      <w:r w:rsidRPr="00527465">
        <w:rPr>
          <w:lang w:val="en-GB"/>
        </w:rPr>
        <w:t xml:space="preserve"> (1981-I), </w:t>
      </w:r>
      <w:r>
        <w:rPr>
          <w:lang w:val="en-GB"/>
        </w:rPr>
        <w:t>9-112.</w:t>
      </w:r>
    </w:p>
    <w:p w14:paraId="4E9CE710" w14:textId="4F67D5C5" w:rsidR="00E71B4D" w:rsidRDefault="00E71B4D" w:rsidP="00E71B4D">
      <w:pPr>
        <w:rPr>
          <w:lang w:val="en-GB"/>
        </w:rPr>
      </w:pPr>
    </w:p>
    <w:p w14:paraId="32C64066" w14:textId="77777777" w:rsidR="00684654" w:rsidRPr="00684654" w:rsidRDefault="00684654" w:rsidP="00E71B4D">
      <w:pPr>
        <w:rPr>
          <w:lang w:val="en-GB"/>
        </w:rPr>
      </w:pPr>
    </w:p>
    <w:p w14:paraId="4D3987D3" w14:textId="50E2169C" w:rsidR="00684654" w:rsidRPr="00684654" w:rsidRDefault="00684654" w:rsidP="000F6A1D">
      <w:r>
        <w:t xml:space="preserve"> </w:t>
      </w:r>
    </w:p>
    <w:sectPr w:rsidR="00684654" w:rsidRPr="00684654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101E" w14:textId="77777777" w:rsidR="00A83CE1" w:rsidRDefault="00A83CE1" w:rsidP="00E71B4D">
      <w:pPr>
        <w:spacing w:after="0" w:line="240" w:lineRule="auto"/>
      </w:pPr>
      <w:r>
        <w:separator/>
      </w:r>
    </w:p>
  </w:endnote>
  <w:endnote w:type="continuationSeparator" w:id="0">
    <w:p w14:paraId="2DC4D7C9" w14:textId="77777777" w:rsidR="00A83CE1" w:rsidRDefault="00A83CE1" w:rsidP="00E7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6609" w14:textId="77777777" w:rsidR="00A83CE1" w:rsidRDefault="00A83CE1" w:rsidP="00E71B4D">
      <w:pPr>
        <w:spacing w:after="0" w:line="240" w:lineRule="auto"/>
      </w:pPr>
      <w:r>
        <w:separator/>
      </w:r>
    </w:p>
  </w:footnote>
  <w:footnote w:type="continuationSeparator" w:id="0">
    <w:p w14:paraId="151F2BB6" w14:textId="77777777" w:rsidR="00A83CE1" w:rsidRDefault="00A83CE1" w:rsidP="00E7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B7A1" w14:textId="31008984" w:rsidR="00E71B4D" w:rsidRDefault="00E71B4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A84B84" wp14:editId="73D3B2A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9055" cy="370205"/>
              <wp:effectExtent l="0" t="0" r="4445" b="10795"/>
              <wp:wrapNone/>
              <wp:docPr id="1027094963" name="Text Box 2" descr="ΑΠΟΡΡΗΤΟ (SECRE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A8B7F" w14:textId="5DE680E5" w:rsidR="00E71B4D" w:rsidRPr="00E71B4D" w:rsidRDefault="00E71B4D" w:rsidP="00E71B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B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ΑΠΟΡΡΗΤΟ (SECRET)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84B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ΑΠΟΡΡΗΤΟ (SECRET)" style="position:absolute;left:0;text-align:left;margin-left:0;margin-top:0;width:104.6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" filled="f" stroked="f">
              <v:textbox style="mso-fit-shape-to-text:t" inset="20pt,15pt,0,0">
                <w:txbxContent>
                  <w:p w14:paraId="629A8B7F" w14:textId="5DE680E5" w:rsidR="00E71B4D" w:rsidRPr="00E71B4D" w:rsidRDefault="00E71B4D" w:rsidP="00E71B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B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ΑΠΟΡΡΗΤΟ (SECRET)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F475" w14:textId="2DA75A82" w:rsidR="00E71B4D" w:rsidRDefault="00E71B4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48014D" wp14:editId="2AA12E5D">
              <wp:simplePos x="11430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9055" cy="370205"/>
              <wp:effectExtent l="0" t="0" r="4445" b="10795"/>
              <wp:wrapNone/>
              <wp:docPr id="849248216" name="Text Box 3" descr="ΑΠΟΡΡΗΤΟ (SECRE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98751" w14:textId="6239233D" w:rsidR="00E71B4D" w:rsidRPr="00E71B4D" w:rsidRDefault="00E71B4D" w:rsidP="00E71B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B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ΑΠΟΡΡΗΤΟ (SECRET)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801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ΑΠΟΡΡΗΤΟ (SECRET)" style="position:absolute;left:0;text-align:left;margin-left:0;margin-top:0;width:104.6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" filled="f" stroked="f">
              <v:textbox style="mso-fit-shape-to-text:t" inset="20pt,15pt,0,0">
                <w:txbxContent>
                  <w:p w14:paraId="66298751" w14:textId="6239233D" w:rsidR="00E71B4D" w:rsidRPr="00E71B4D" w:rsidRDefault="00E71B4D" w:rsidP="00E71B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B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ΑΠΟΡΡΗΤΟ (SECRET)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2D02" w14:textId="46084385" w:rsidR="00E71B4D" w:rsidRDefault="00E71B4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132839" wp14:editId="60131B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9055" cy="370205"/>
              <wp:effectExtent l="0" t="0" r="4445" b="10795"/>
              <wp:wrapNone/>
              <wp:docPr id="1294783622" name="Text Box 1" descr="ΑΠΟΡΡΗΤΟ (SECRE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DFFEB" w14:textId="627FA200" w:rsidR="00E71B4D" w:rsidRPr="00E71B4D" w:rsidRDefault="00E71B4D" w:rsidP="00E71B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1B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ΑΠΟΡΡΗΤΟ (SECRET)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328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ΑΠΟΡΡΗΤΟ (SECRET)" style="position:absolute;left:0;text-align:left;margin-left:0;margin-top:0;width:104.6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" filled="f" stroked="f">
              <v:textbox style="mso-fit-shape-to-text:t" inset="20pt,15pt,0,0">
                <w:txbxContent>
                  <w:p w14:paraId="41EDFFEB" w14:textId="627FA200" w:rsidR="00E71B4D" w:rsidRPr="00E71B4D" w:rsidRDefault="00E71B4D" w:rsidP="00E71B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1B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ΑΠΟΡΡΗΤΟ (SECRET)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7D"/>
    <w:multiLevelType w:val="hybridMultilevel"/>
    <w:tmpl w:val="6BAE7CB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2E7F"/>
    <w:multiLevelType w:val="hybridMultilevel"/>
    <w:tmpl w:val="D646D510"/>
    <w:lvl w:ilvl="0" w:tplc="C908E69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B97CC3"/>
    <w:multiLevelType w:val="hybridMultilevel"/>
    <w:tmpl w:val="1D54AA04"/>
    <w:lvl w:ilvl="0" w:tplc="897A94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634DB"/>
    <w:multiLevelType w:val="hybridMultilevel"/>
    <w:tmpl w:val="35544654"/>
    <w:lvl w:ilvl="0" w:tplc="C5283A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021A"/>
    <w:multiLevelType w:val="hybridMultilevel"/>
    <w:tmpl w:val="C1DA6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D4DAB"/>
    <w:multiLevelType w:val="hybridMultilevel"/>
    <w:tmpl w:val="96F49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7E8A"/>
    <w:multiLevelType w:val="hybridMultilevel"/>
    <w:tmpl w:val="9AF63F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5A3E"/>
    <w:multiLevelType w:val="hybridMultilevel"/>
    <w:tmpl w:val="767CEBF8"/>
    <w:lvl w:ilvl="0" w:tplc="C4DE2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9C3766"/>
    <w:multiLevelType w:val="hybridMultilevel"/>
    <w:tmpl w:val="1BB8AB30"/>
    <w:lvl w:ilvl="0" w:tplc="7A0A4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3110AE"/>
    <w:multiLevelType w:val="hybridMultilevel"/>
    <w:tmpl w:val="A7DC3A56"/>
    <w:lvl w:ilvl="0" w:tplc="6576D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E6EA0">
      <w:numFmt w:val="none"/>
      <w:lvlText w:val=""/>
      <w:lvlJc w:val="left"/>
      <w:pPr>
        <w:tabs>
          <w:tab w:val="num" w:pos="360"/>
        </w:tabs>
      </w:pPr>
    </w:lvl>
    <w:lvl w:ilvl="2" w:tplc="7A241ED6">
      <w:numFmt w:val="none"/>
      <w:lvlText w:val=""/>
      <w:lvlJc w:val="left"/>
      <w:pPr>
        <w:tabs>
          <w:tab w:val="num" w:pos="360"/>
        </w:tabs>
      </w:pPr>
    </w:lvl>
    <w:lvl w:ilvl="3" w:tplc="50C2775A">
      <w:numFmt w:val="none"/>
      <w:lvlText w:val=""/>
      <w:lvlJc w:val="left"/>
      <w:pPr>
        <w:tabs>
          <w:tab w:val="num" w:pos="360"/>
        </w:tabs>
      </w:pPr>
    </w:lvl>
    <w:lvl w:ilvl="4" w:tplc="40126746">
      <w:numFmt w:val="none"/>
      <w:lvlText w:val=""/>
      <w:lvlJc w:val="left"/>
      <w:pPr>
        <w:tabs>
          <w:tab w:val="num" w:pos="360"/>
        </w:tabs>
      </w:pPr>
    </w:lvl>
    <w:lvl w:ilvl="5" w:tplc="749E4A62">
      <w:numFmt w:val="none"/>
      <w:lvlText w:val=""/>
      <w:lvlJc w:val="left"/>
      <w:pPr>
        <w:tabs>
          <w:tab w:val="num" w:pos="360"/>
        </w:tabs>
      </w:pPr>
    </w:lvl>
    <w:lvl w:ilvl="6" w:tplc="ED5A5394">
      <w:numFmt w:val="none"/>
      <w:lvlText w:val=""/>
      <w:lvlJc w:val="left"/>
      <w:pPr>
        <w:tabs>
          <w:tab w:val="num" w:pos="360"/>
        </w:tabs>
      </w:pPr>
    </w:lvl>
    <w:lvl w:ilvl="7" w:tplc="CCFC7B76">
      <w:numFmt w:val="none"/>
      <w:lvlText w:val=""/>
      <w:lvlJc w:val="left"/>
      <w:pPr>
        <w:tabs>
          <w:tab w:val="num" w:pos="360"/>
        </w:tabs>
      </w:pPr>
    </w:lvl>
    <w:lvl w:ilvl="8" w:tplc="CB84221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DE0366"/>
    <w:multiLevelType w:val="hybridMultilevel"/>
    <w:tmpl w:val="6CB02684"/>
    <w:lvl w:ilvl="0" w:tplc="A77258D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D4345B"/>
    <w:multiLevelType w:val="hybridMultilevel"/>
    <w:tmpl w:val="6F9E7946"/>
    <w:lvl w:ilvl="0" w:tplc="E06C09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7567FF"/>
    <w:multiLevelType w:val="hybridMultilevel"/>
    <w:tmpl w:val="40349ED4"/>
    <w:lvl w:ilvl="0" w:tplc="CA360B7A">
      <w:start w:val="4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F03F4"/>
    <w:multiLevelType w:val="hybridMultilevel"/>
    <w:tmpl w:val="BD38B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34102"/>
    <w:multiLevelType w:val="hybridMultilevel"/>
    <w:tmpl w:val="E9C272E0"/>
    <w:lvl w:ilvl="0" w:tplc="DB2CBEB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424920"/>
    <w:multiLevelType w:val="hybridMultilevel"/>
    <w:tmpl w:val="FBB28BD2"/>
    <w:lvl w:ilvl="0" w:tplc="8424E7D0">
      <w:start w:val="1"/>
      <w:numFmt w:val="decimal"/>
      <w:lvlText w:val="%1."/>
      <w:lvlJc w:val="center"/>
      <w:pPr>
        <w:ind w:left="10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1A767F0"/>
    <w:multiLevelType w:val="hybridMultilevel"/>
    <w:tmpl w:val="4B986CCE"/>
    <w:lvl w:ilvl="0" w:tplc="2E386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023C4"/>
    <w:multiLevelType w:val="hybridMultilevel"/>
    <w:tmpl w:val="C526CC96"/>
    <w:lvl w:ilvl="0" w:tplc="8424E7D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176D5C"/>
    <w:multiLevelType w:val="hybridMultilevel"/>
    <w:tmpl w:val="2A2C3096"/>
    <w:lvl w:ilvl="0" w:tplc="6CF68A7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3463234">
    <w:abstractNumId w:val="9"/>
  </w:num>
  <w:num w:numId="2" w16cid:durableId="1790200560">
    <w:abstractNumId w:val="6"/>
  </w:num>
  <w:num w:numId="3" w16cid:durableId="1355112601">
    <w:abstractNumId w:val="0"/>
  </w:num>
  <w:num w:numId="4" w16cid:durableId="1961911733">
    <w:abstractNumId w:val="4"/>
  </w:num>
  <w:num w:numId="5" w16cid:durableId="892665943">
    <w:abstractNumId w:val="13"/>
  </w:num>
  <w:num w:numId="6" w16cid:durableId="1865291375">
    <w:abstractNumId w:val="16"/>
  </w:num>
  <w:num w:numId="7" w16cid:durableId="2110462615">
    <w:abstractNumId w:val="2"/>
  </w:num>
  <w:num w:numId="8" w16cid:durableId="1518033812">
    <w:abstractNumId w:val="8"/>
  </w:num>
  <w:num w:numId="9" w16cid:durableId="20477860">
    <w:abstractNumId w:val="7"/>
  </w:num>
  <w:num w:numId="10" w16cid:durableId="2010673663">
    <w:abstractNumId w:val="11"/>
  </w:num>
  <w:num w:numId="11" w16cid:durableId="2110587745">
    <w:abstractNumId w:val="17"/>
  </w:num>
  <w:num w:numId="12" w16cid:durableId="1066881796">
    <w:abstractNumId w:val="18"/>
  </w:num>
  <w:num w:numId="13" w16cid:durableId="170031267">
    <w:abstractNumId w:val="12"/>
  </w:num>
  <w:num w:numId="14" w16cid:durableId="1542741980">
    <w:abstractNumId w:val="10"/>
  </w:num>
  <w:num w:numId="15" w16cid:durableId="726147858">
    <w:abstractNumId w:val="1"/>
  </w:num>
  <w:num w:numId="16" w16cid:durableId="434860089">
    <w:abstractNumId w:val="15"/>
  </w:num>
  <w:num w:numId="17" w16cid:durableId="317730633">
    <w:abstractNumId w:val="3"/>
  </w:num>
  <w:num w:numId="18" w16cid:durableId="833381053">
    <w:abstractNumId w:val="14"/>
  </w:num>
  <w:num w:numId="19" w16cid:durableId="1154028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4D"/>
    <w:rsid w:val="000075CE"/>
    <w:rsid w:val="000F6A1D"/>
    <w:rsid w:val="00205C45"/>
    <w:rsid w:val="00227DF8"/>
    <w:rsid w:val="00265DB5"/>
    <w:rsid w:val="00311427"/>
    <w:rsid w:val="003312B6"/>
    <w:rsid w:val="00397320"/>
    <w:rsid w:val="00504483"/>
    <w:rsid w:val="00590C15"/>
    <w:rsid w:val="0060135B"/>
    <w:rsid w:val="00684654"/>
    <w:rsid w:val="006F311E"/>
    <w:rsid w:val="007E5762"/>
    <w:rsid w:val="00841DE9"/>
    <w:rsid w:val="00883BCA"/>
    <w:rsid w:val="00A83CE1"/>
    <w:rsid w:val="00B425CD"/>
    <w:rsid w:val="00BB6D33"/>
    <w:rsid w:val="00DD410D"/>
    <w:rsid w:val="00E71B4D"/>
    <w:rsid w:val="00E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AAD3"/>
  <w15:chartTrackingRefBased/>
  <w15:docId w15:val="{8FAB6794-6655-4ADD-8C0C-FA6C4AB7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1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7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71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71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71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71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71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1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71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71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71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71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E71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E71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B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71B4D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E71B4D"/>
    <w:pPr>
      <w:spacing w:after="0" w:line="240" w:lineRule="auto"/>
      <w:ind w:left="284"/>
    </w:pPr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E71B4D"/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character" w:styleId="FootnoteReference">
    <w:name w:val="footnote reference"/>
    <w:rsid w:val="00E71B4D"/>
    <w:rPr>
      <w:vertAlign w:val="superscript"/>
    </w:rPr>
  </w:style>
  <w:style w:type="character" w:customStyle="1" w:styleId="CharChar2">
    <w:name w:val="Char Char2"/>
    <w:basedOn w:val="DefaultParagraphFont"/>
    <w:rsid w:val="00E71B4D"/>
  </w:style>
  <w:style w:type="paragraph" w:styleId="Footer">
    <w:name w:val="footer"/>
    <w:basedOn w:val="Normal"/>
    <w:link w:val="FooterChar"/>
    <w:uiPriority w:val="99"/>
    <w:rsid w:val="00E71B4D"/>
    <w:pPr>
      <w:tabs>
        <w:tab w:val="center" w:pos="4153"/>
        <w:tab w:val="right" w:pos="8306"/>
      </w:tabs>
      <w:spacing w:after="0" w:line="240" w:lineRule="auto"/>
      <w:ind w:left="284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71B4D"/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character" w:styleId="PageNumber">
    <w:name w:val="page number"/>
    <w:basedOn w:val="DefaultParagraphFont"/>
    <w:rsid w:val="00E71B4D"/>
  </w:style>
  <w:style w:type="character" w:styleId="CommentReference">
    <w:name w:val="annotation reference"/>
    <w:rsid w:val="00E71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1B4D"/>
    <w:pPr>
      <w:spacing w:after="0" w:line="240" w:lineRule="auto"/>
      <w:ind w:left="284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B4D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71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B4D"/>
    <w:rPr>
      <w:rFonts w:ascii="Times New Roman" w:eastAsia="Times New Roman" w:hAnsi="Times New Roman" w:cs="Times New Roman"/>
      <w:b/>
      <w:bCs/>
      <w:kern w:val="0"/>
      <w:sz w:val="20"/>
      <w:szCs w:val="20"/>
      <w:lang w:val="el-GR" w:eastAsia="el-GR"/>
      <w14:ligatures w14:val="none"/>
    </w:rPr>
  </w:style>
  <w:style w:type="paragraph" w:styleId="BalloonText">
    <w:name w:val="Balloon Text"/>
    <w:basedOn w:val="Normal"/>
    <w:link w:val="BalloonTextChar"/>
    <w:rsid w:val="00E71B4D"/>
    <w:pPr>
      <w:spacing w:after="0" w:line="240" w:lineRule="auto"/>
      <w:ind w:left="284"/>
    </w:pPr>
    <w:rPr>
      <w:rFonts w:ascii="Tahoma" w:eastAsia="Times New Roman" w:hAnsi="Tahoma" w:cs="Times New Roman"/>
      <w:kern w:val="0"/>
      <w:sz w:val="16"/>
      <w:szCs w:val="16"/>
      <w:lang w:val="el-GR" w:eastAsia="el-GR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E71B4D"/>
    <w:rPr>
      <w:rFonts w:ascii="Tahoma" w:eastAsia="Times New Roman" w:hAnsi="Tahoma" w:cs="Times New Roman"/>
      <w:kern w:val="0"/>
      <w:sz w:val="16"/>
      <w:szCs w:val="16"/>
      <w:lang w:val="el-GR" w:eastAsia="el-GR"/>
      <w14:ligatures w14:val="none"/>
    </w:rPr>
  </w:style>
  <w:style w:type="paragraph" w:styleId="BodyText">
    <w:name w:val="Body Text"/>
    <w:basedOn w:val="Normal"/>
    <w:link w:val="BodyTextChar"/>
    <w:rsid w:val="00E71B4D"/>
    <w:pPr>
      <w:spacing w:after="0" w:line="360" w:lineRule="auto"/>
      <w:ind w:left="284"/>
      <w:jc w:val="both"/>
    </w:pPr>
    <w:rPr>
      <w:rFonts w:ascii="Book Antiqua" w:eastAsia="Times New Roman" w:hAnsi="Book Antiqua" w:cs="Times New Roman"/>
      <w:kern w:val="0"/>
      <w:lang w:val="el-GR" w:eastAsia="el-GR"/>
      <w14:ligatures w14:val="none"/>
    </w:rPr>
  </w:style>
  <w:style w:type="character" w:customStyle="1" w:styleId="BodyTextChar">
    <w:name w:val="Body Text Char"/>
    <w:basedOn w:val="DefaultParagraphFont"/>
    <w:link w:val="BodyText"/>
    <w:rsid w:val="00E71B4D"/>
    <w:rPr>
      <w:rFonts w:ascii="Book Antiqua" w:eastAsia="Times New Roman" w:hAnsi="Book Antiqua" w:cs="Times New Roman"/>
      <w:kern w:val="0"/>
      <w:lang w:val="el-GR" w:eastAsia="el-GR"/>
      <w14:ligatures w14:val="none"/>
    </w:rPr>
  </w:style>
  <w:style w:type="character" w:styleId="FollowedHyperlink">
    <w:name w:val="FollowedHyperlink"/>
    <w:rsid w:val="00E71B4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71B4D"/>
    <w:pPr>
      <w:tabs>
        <w:tab w:val="center" w:pos="4153"/>
        <w:tab w:val="right" w:pos="8306"/>
      </w:tabs>
      <w:spacing w:after="0" w:line="240" w:lineRule="auto"/>
      <w:ind w:left="284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71B4D"/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character" w:customStyle="1" w:styleId="vaso">
    <w:name w:val="vaso"/>
    <w:semiHidden/>
    <w:rsid w:val="00E71B4D"/>
    <w:rPr>
      <w:rFonts w:ascii="Arial" w:hAnsi="Arial" w:cs="Arial"/>
      <w:color w:val="auto"/>
      <w:sz w:val="20"/>
      <w:szCs w:val="20"/>
    </w:rPr>
  </w:style>
  <w:style w:type="character" w:customStyle="1" w:styleId="apple-converted-space">
    <w:name w:val="apple-converted-space"/>
    <w:rsid w:val="00E71B4D"/>
  </w:style>
  <w:style w:type="paragraph" w:styleId="NormalWeb">
    <w:name w:val="Normal (Web)"/>
    <w:basedOn w:val="Normal"/>
    <w:rsid w:val="00E71B4D"/>
    <w:pPr>
      <w:spacing w:before="100" w:beforeAutospacing="1" w:after="100" w:afterAutospacing="1" w:line="240" w:lineRule="auto"/>
      <w:ind w:left="284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customStyle="1" w:styleId="headlinemeta">
    <w:name w:val="headline_meta"/>
    <w:basedOn w:val="Normal"/>
    <w:rsid w:val="00E71B4D"/>
    <w:pPr>
      <w:spacing w:before="100" w:beforeAutospacing="1" w:after="100" w:afterAutospacing="1" w:line="240" w:lineRule="auto"/>
      <w:ind w:left="284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character" w:customStyle="1" w:styleId="authorvcard">
    <w:name w:val="author vcard"/>
    <w:rsid w:val="00E71B4D"/>
  </w:style>
  <w:style w:type="character" w:styleId="Emphasis">
    <w:name w:val="Emphasis"/>
    <w:uiPriority w:val="20"/>
    <w:qFormat/>
    <w:rsid w:val="00E71B4D"/>
    <w:rPr>
      <w:i/>
      <w:iCs/>
    </w:rPr>
  </w:style>
  <w:style w:type="character" w:styleId="Strong">
    <w:name w:val="Strong"/>
    <w:qFormat/>
    <w:rsid w:val="00E71B4D"/>
    <w:rPr>
      <w:b/>
      <w:bCs/>
    </w:rPr>
  </w:style>
  <w:style w:type="character" w:customStyle="1" w:styleId="st1">
    <w:name w:val="st1"/>
    <w:rsid w:val="00E71B4D"/>
  </w:style>
  <w:style w:type="paragraph" w:customStyle="1" w:styleId="c30dispositifalinea">
    <w:name w:val="c30dispositifalinea"/>
    <w:basedOn w:val="Normal"/>
    <w:rsid w:val="00E71B4D"/>
    <w:pPr>
      <w:spacing w:after="240" w:line="240" w:lineRule="auto"/>
      <w:ind w:left="567"/>
      <w:jc w:val="both"/>
    </w:pPr>
    <w:rPr>
      <w:rFonts w:ascii="Arial" w:eastAsia="Times New Roman" w:hAnsi="Arial" w:cs="Arial"/>
      <w:b/>
      <w:bCs/>
      <w:kern w:val="0"/>
      <w:sz w:val="22"/>
      <w:szCs w:val="22"/>
      <w:lang w:val="el-GR" w:eastAsia="el-GR"/>
      <w14:ligatures w14:val="none"/>
    </w:rPr>
  </w:style>
  <w:style w:type="paragraph" w:customStyle="1" w:styleId="c01pointnumerotealtn">
    <w:name w:val="c01pointnumerotealtn"/>
    <w:basedOn w:val="Normal"/>
    <w:rsid w:val="00E71B4D"/>
    <w:pPr>
      <w:spacing w:before="100" w:beforeAutospacing="1" w:after="240" w:line="240" w:lineRule="auto"/>
      <w:ind w:left="567" w:hanging="539"/>
      <w:jc w:val="both"/>
    </w:pPr>
    <w:rPr>
      <w:rFonts w:ascii="Arial" w:eastAsia="Times New Roman" w:hAnsi="Arial" w:cs="Arial"/>
      <w:kern w:val="0"/>
      <w:sz w:val="22"/>
      <w:szCs w:val="22"/>
      <w:lang w:val="el-GR" w:eastAsia="el-GR"/>
      <w14:ligatures w14:val="none"/>
    </w:rPr>
  </w:style>
  <w:style w:type="paragraph" w:customStyle="1" w:styleId="1">
    <w:name w:val="Παράγραφος λίστας1"/>
    <w:basedOn w:val="Normal"/>
    <w:uiPriority w:val="34"/>
    <w:qFormat/>
    <w:rsid w:val="00E71B4D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customStyle="1" w:styleId="ListParagraph1">
    <w:name w:val="List Paragraph1"/>
    <w:basedOn w:val="Normal"/>
    <w:uiPriority w:val="34"/>
    <w:qFormat/>
    <w:rsid w:val="00E71B4D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character" w:customStyle="1" w:styleId="CharChar4">
    <w:name w:val="Char Char4"/>
    <w:rsid w:val="00E71B4D"/>
  </w:style>
  <w:style w:type="character" w:customStyle="1" w:styleId="CharChar1">
    <w:name w:val="Char Char1"/>
    <w:rsid w:val="00E71B4D"/>
    <w:rPr>
      <w:rFonts w:ascii="Arial" w:hAnsi="Arial" w:cs="Arial"/>
    </w:rPr>
  </w:style>
  <w:style w:type="paragraph" w:customStyle="1" w:styleId="ListParagraph2">
    <w:name w:val="List Paragraph2"/>
    <w:basedOn w:val="Normal"/>
    <w:uiPriority w:val="34"/>
    <w:qFormat/>
    <w:rsid w:val="00E71B4D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B4D"/>
    <w:pPr>
      <w:spacing w:before="480" w:after="0" w:line="276" w:lineRule="auto"/>
      <w:ind w:left="284"/>
      <w:jc w:val="both"/>
      <w:outlineLvl w:val="9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el-GR" w:eastAsia="el-GR"/>
      <w14:ligatures w14:val="none"/>
    </w:rPr>
  </w:style>
  <w:style w:type="paragraph" w:styleId="Index2">
    <w:name w:val="index 2"/>
    <w:basedOn w:val="Normal"/>
    <w:next w:val="Normal"/>
    <w:autoRedefine/>
    <w:rsid w:val="00E71B4D"/>
    <w:pPr>
      <w:spacing w:after="0" w:line="360" w:lineRule="auto"/>
      <w:ind w:left="238" w:hanging="238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TOC1">
    <w:name w:val="toc 1"/>
    <w:basedOn w:val="Normal"/>
    <w:next w:val="Normal"/>
    <w:autoRedefine/>
    <w:uiPriority w:val="39"/>
    <w:qFormat/>
    <w:rsid w:val="00E71B4D"/>
    <w:pPr>
      <w:tabs>
        <w:tab w:val="right" w:leader="dot" w:pos="8789"/>
      </w:tabs>
      <w:spacing w:before="240" w:after="120" w:line="360" w:lineRule="auto"/>
      <w:jc w:val="both"/>
    </w:pPr>
    <w:rPr>
      <w:rFonts w:ascii="Times New Roman" w:eastAsia="Times New Roman" w:hAnsi="Times New Roman" w:cs="Times New Roman"/>
      <w:b/>
      <w:bCs/>
      <w:noProof/>
      <w:kern w:val="0"/>
      <w:sz w:val="28"/>
      <w:szCs w:val="20"/>
      <w:lang w:val="el-GR" w:eastAsia="el-GR"/>
      <w14:ligatures w14:val="none"/>
    </w:rPr>
  </w:style>
  <w:style w:type="paragraph" w:styleId="TOC2">
    <w:name w:val="toc 2"/>
    <w:basedOn w:val="Normal"/>
    <w:next w:val="Normal"/>
    <w:autoRedefine/>
    <w:uiPriority w:val="39"/>
    <w:qFormat/>
    <w:rsid w:val="00E71B4D"/>
    <w:pPr>
      <w:tabs>
        <w:tab w:val="right" w:leader="dot" w:pos="8789"/>
      </w:tabs>
      <w:spacing w:before="240" w:after="120" w:line="360" w:lineRule="auto"/>
      <w:jc w:val="both"/>
    </w:pPr>
    <w:rPr>
      <w:rFonts w:ascii="Times New Roman" w:eastAsia="Times New Roman" w:hAnsi="Times New Roman" w:cs="Times New Roman"/>
      <w:b/>
      <w:noProof/>
      <w:kern w:val="0"/>
      <w:sz w:val="28"/>
      <w:szCs w:val="20"/>
      <w:lang w:val="el-GR" w:eastAsia="el-GR"/>
      <w14:ligatures w14:val="none"/>
    </w:rPr>
  </w:style>
  <w:style w:type="paragraph" w:styleId="TOC3">
    <w:name w:val="toc 3"/>
    <w:basedOn w:val="Normal"/>
    <w:next w:val="Normal"/>
    <w:autoRedefine/>
    <w:uiPriority w:val="39"/>
    <w:qFormat/>
    <w:rsid w:val="00E71B4D"/>
    <w:pPr>
      <w:tabs>
        <w:tab w:val="right" w:pos="1134"/>
        <w:tab w:val="right" w:leader="dot" w:pos="8789"/>
      </w:tabs>
      <w:spacing w:after="0" w:line="360" w:lineRule="auto"/>
      <w:ind w:left="397"/>
    </w:pPr>
    <w:rPr>
      <w:rFonts w:ascii="Times New Roman" w:eastAsia="Times New Roman" w:hAnsi="Times New Roman" w:cs="Times New Roman"/>
      <w:b/>
      <w:iCs/>
      <w:kern w:val="0"/>
      <w:szCs w:val="20"/>
      <w:lang w:val="el-GR" w:eastAsia="el-GR"/>
      <w14:ligatures w14:val="none"/>
    </w:rPr>
  </w:style>
  <w:style w:type="paragraph" w:styleId="TOC4">
    <w:name w:val="toc 4"/>
    <w:basedOn w:val="Normal"/>
    <w:next w:val="Normal"/>
    <w:autoRedefine/>
    <w:uiPriority w:val="39"/>
    <w:rsid w:val="00E71B4D"/>
    <w:pPr>
      <w:tabs>
        <w:tab w:val="left" w:pos="1078"/>
        <w:tab w:val="right" w:leader="dot" w:pos="8789"/>
      </w:tabs>
      <w:spacing w:after="0" w:line="360" w:lineRule="auto"/>
      <w:ind w:left="794"/>
    </w:pPr>
    <w:rPr>
      <w:rFonts w:ascii="Times New Roman" w:eastAsia="Times New Roman" w:hAnsi="Times New Roman" w:cs="Times New Roman"/>
      <w:kern w:val="0"/>
      <w:szCs w:val="18"/>
      <w:lang w:val="el-GR" w:eastAsia="el-GR"/>
      <w14:ligatures w14:val="none"/>
    </w:rPr>
  </w:style>
  <w:style w:type="paragraph" w:styleId="TOC5">
    <w:name w:val="toc 5"/>
    <w:basedOn w:val="Normal"/>
    <w:next w:val="Normal"/>
    <w:autoRedefine/>
    <w:uiPriority w:val="39"/>
    <w:rsid w:val="00E71B4D"/>
    <w:pPr>
      <w:tabs>
        <w:tab w:val="left" w:pos="1418"/>
        <w:tab w:val="right" w:leader="dot" w:pos="8789"/>
      </w:tabs>
      <w:spacing w:after="0" w:line="360" w:lineRule="auto"/>
      <w:ind w:left="1191"/>
    </w:pPr>
    <w:rPr>
      <w:rFonts w:ascii="Times New Roman" w:eastAsia="Times New Roman" w:hAnsi="Times New Roman" w:cs="Times New Roman"/>
      <w:kern w:val="0"/>
      <w:sz w:val="22"/>
      <w:szCs w:val="18"/>
      <w:lang w:val="el-GR" w:eastAsia="el-GR"/>
      <w14:ligatures w14:val="none"/>
    </w:rPr>
  </w:style>
  <w:style w:type="paragraph" w:styleId="TOC6">
    <w:name w:val="toc 6"/>
    <w:basedOn w:val="Normal"/>
    <w:next w:val="Normal"/>
    <w:autoRedefine/>
    <w:uiPriority w:val="39"/>
    <w:rsid w:val="00E71B4D"/>
    <w:pPr>
      <w:tabs>
        <w:tab w:val="right" w:leader="dot" w:pos="8789"/>
      </w:tabs>
      <w:spacing w:after="0" w:line="360" w:lineRule="auto"/>
      <w:ind w:left="1588"/>
    </w:pPr>
    <w:rPr>
      <w:rFonts w:ascii="Times New Roman" w:eastAsia="Times New Roman" w:hAnsi="Times New Roman" w:cs="Times New Roman"/>
      <w:kern w:val="0"/>
      <w:sz w:val="22"/>
      <w:szCs w:val="18"/>
      <w:lang w:val="el-GR" w:eastAsia="el-GR"/>
      <w14:ligatures w14:val="none"/>
    </w:rPr>
  </w:style>
  <w:style w:type="paragraph" w:styleId="TOC7">
    <w:name w:val="toc 7"/>
    <w:basedOn w:val="Normal"/>
    <w:next w:val="Normal"/>
    <w:autoRedefine/>
    <w:uiPriority w:val="39"/>
    <w:rsid w:val="00E71B4D"/>
    <w:pPr>
      <w:tabs>
        <w:tab w:val="right" w:leader="dot" w:pos="8789"/>
      </w:tabs>
      <w:spacing w:after="0" w:line="360" w:lineRule="auto"/>
      <w:ind w:left="1985"/>
    </w:pPr>
    <w:rPr>
      <w:rFonts w:ascii="Times New Roman" w:eastAsia="Times New Roman" w:hAnsi="Times New Roman" w:cs="Times New Roman"/>
      <w:kern w:val="0"/>
      <w:sz w:val="22"/>
      <w:szCs w:val="18"/>
      <w:lang w:val="el-GR" w:eastAsia="el-GR"/>
      <w14:ligatures w14:val="none"/>
    </w:rPr>
  </w:style>
  <w:style w:type="paragraph" w:styleId="TOC8">
    <w:name w:val="toc 8"/>
    <w:basedOn w:val="Normal"/>
    <w:next w:val="Normal"/>
    <w:autoRedefine/>
    <w:uiPriority w:val="39"/>
    <w:rsid w:val="00E71B4D"/>
    <w:pPr>
      <w:spacing w:after="0" w:line="240" w:lineRule="auto"/>
      <w:ind w:left="1680"/>
    </w:pPr>
    <w:rPr>
      <w:rFonts w:ascii="Calibri" w:eastAsia="Times New Roman" w:hAnsi="Calibri" w:cs="Times New Roman"/>
      <w:kern w:val="0"/>
      <w:sz w:val="18"/>
      <w:szCs w:val="18"/>
      <w:lang w:val="el-GR" w:eastAsia="el-GR"/>
      <w14:ligatures w14:val="none"/>
    </w:rPr>
  </w:style>
  <w:style w:type="paragraph" w:styleId="TOC9">
    <w:name w:val="toc 9"/>
    <w:basedOn w:val="Normal"/>
    <w:next w:val="Normal"/>
    <w:autoRedefine/>
    <w:uiPriority w:val="39"/>
    <w:rsid w:val="00E71B4D"/>
    <w:pPr>
      <w:spacing w:after="0" w:line="240" w:lineRule="auto"/>
      <w:ind w:left="1920"/>
    </w:pPr>
    <w:rPr>
      <w:rFonts w:ascii="Calibri" w:eastAsia="Times New Roman" w:hAnsi="Calibri" w:cs="Times New Roman"/>
      <w:kern w:val="0"/>
      <w:sz w:val="18"/>
      <w:szCs w:val="18"/>
      <w:lang w:val="el-GR" w:eastAsia="el-G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3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4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16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28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46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6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21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7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3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7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7DC6-088B-49F5-8EA5-533D106B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Marazopoulou, Vasiliki</dc:creator>
  <cp:keywords/>
  <dc:description/>
  <cp:lastModifiedBy>Marazopoulou, Vasiliki</cp:lastModifiedBy>
  <cp:revision>2</cp:revision>
  <dcterms:created xsi:type="dcterms:W3CDTF">2025-05-05T12:00:00Z</dcterms:created>
  <dcterms:modified xsi:type="dcterms:W3CDTF">2025-05-05T12:00:00Z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4d2cd486,3d3839b3,329e7fd8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ΑΠΟΡΡΗΤΟ (SECRET)</vt:lpwstr>
  </property>
  <property fmtid="{D5CDD505-2E9C-101B-9397-08002B2CF9AE}" pid="5" name="MSIP_Label_b76f32f6-955a-418d-a1bd-f79132581fdd_Enabled">
    <vt:lpwstr>true</vt:lpwstr>
  </property>
  <property fmtid="{D5CDD505-2E9C-101B-9397-08002B2CF9AE}" pid="6" name="MSIP_Label_b76f32f6-955a-418d-a1bd-f79132581fdd_SetDate">
    <vt:lpwstr>2025-05-01T17:09:36Z</vt:lpwstr>
  </property>
  <property fmtid="{D5CDD505-2E9C-101B-9397-08002B2CF9AE}" pid="7" name="MSIP_Label_b76f32f6-955a-418d-a1bd-f79132581fdd_Method">
    <vt:lpwstr>Privileged</vt:lpwstr>
  </property>
  <property fmtid="{D5CDD505-2E9C-101B-9397-08002B2CF9AE}" pid="8" name="MSIP_Label_b76f32f6-955a-418d-a1bd-f79132581fdd_Name">
    <vt:lpwstr>ΑΠΟΡΡΗΤΟ (SECRET)</vt:lpwstr>
  </property>
  <property fmtid="{D5CDD505-2E9C-101B-9397-08002B2CF9AE}" pid="9" name="MSIP_Label_b76f32f6-955a-418d-a1bd-f79132581fdd_SiteId">
    <vt:lpwstr>4bfbec52-d457-4357-969c-5656d101fad0</vt:lpwstr>
  </property>
  <property fmtid="{D5CDD505-2E9C-101B-9397-08002B2CF9AE}" pid="10" name="MSIP_Label_b76f32f6-955a-418d-a1bd-f79132581fdd_ActionId">
    <vt:lpwstr>47c13cfc-ab67-44c2-b469-6dca16e8794c</vt:lpwstr>
  </property>
  <property fmtid="{D5CDD505-2E9C-101B-9397-08002B2CF9AE}" pid="11" name="MSIP_Label_b76f32f6-955a-418d-a1bd-f79132581fdd_ContentBits">
    <vt:lpwstr>1</vt:lpwstr>
  </property>
  <property fmtid="{D5CDD505-2E9C-101B-9397-08002B2CF9AE}" pid="12" name="MSIP_Label_b76f32f6-955a-418d-a1bd-f79132581fdd_Tag">
    <vt:lpwstr>10, 0, 1, 1</vt:lpwstr>
  </property>
</Properties>
</file>