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30739" w14:textId="4FF783E7" w:rsidR="00FD7599" w:rsidRPr="00C23E32" w:rsidRDefault="00FD759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Θεματικές Εργασιών</w:t>
      </w:r>
    </w:p>
    <w:p w14:paraId="4C4F556B" w14:textId="5B031361" w:rsidR="00FD7599" w:rsidRPr="00C23E32" w:rsidRDefault="00FD759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Δίκαιο Διεθνών Συναλλαγών</w:t>
      </w:r>
    </w:p>
    <w:p w14:paraId="706835E3" w14:textId="77777777" w:rsidR="00FD7599" w:rsidRPr="00C23E32" w:rsidRDefault="00FD759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CE4DA81" w14:textId="77777777" w:rsidR="004E20C9" w:rsidRPr="00C23E32" w:rsidRDefault="004E20C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18912E89" w14:textId="4A8DCC56" w:rsidR="003D2DC8" w:rsidRPr="00C23E32" w:rsidRDefault="003D2DC8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 xml:space="preserve">Γενικά για το ΔΔΣ και τη σχέση του με το ΙΔΔΔ </w:t>
      </w:r>
    </w:p>
    <w:p w14:paraId="128849F6" w14:textId="5333FB0E" w:rsidR="003D2DC8" w:rsidRPr="00C23E32" w:rsidRDefault="003D2DC8" w:rsidP="00C23E32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Η ομοιομορφοποίηση του δικαίου των διεθνών συναλλαγών: Σκοπός, μέθοδοι, θεμελιώδεις αρχές, προβλήματα και τεχνικές αντιμετώπισής τους.</w:t>
      </w:r>
    </w:p>
    <w:p w14:paraId="21362C6F" w14:textId="3DB97370" w:rsidR="003D2DC8" w:rsidRPr="00C23E32" w:rsidRDefault="003D2DC8" w:rsidP="00C23E32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 xml:space="preserve">Η λειτουργία της αυτονομίας της βούλησης και η </w:t>
      </w:r>
      <w:r w:rsidRPr="00C23E32">
        <w:rPr>
          <w:rFonts w:ascii="Times New Roman" w:hAnsi="Times New Roman" w:cs="Times New Roman"/>
          <w:lang w:val="en-US"/>
        </w:rPr>
        <w:t>lex</w:t>
      </w:r>
      <w:r w:rsidRPr="00C23E32">
        <w:rPr>
          <w:rFonts w:ascii="Times New Roman" w:hAnsi="Times New Roman" w:cs="Times New Roman"/>
        </w:rPr>
        <w:t xml:space="preserve"> </w:t>
      </w:r>
      <w:r w:rsidRPr="00C23E32">
        <w:rPr>
          <w:rFonts w:ascii="Times New Roman" w:hAnsi="Times New Roman" w:cs="Times New Roman"/>
          <w:lang w:val="en-US"/>
        </w:rPr>
        <w:t>mercatoria</w:t>
      </w:r>
      <w:r w:rsidRPr="00C23E32">
        <w:rPr>
          <w:rFonts w:ascii="Times New Roman" w:hAnsi="Times New Roman" w:cs="Times New Roman"/>
        </w:rPr>
        <w:t xml:space="preserve"> </w:t>
      </w:r>
      <w:r w:rsidR="00566E21" w:rsidRPr="00C23E32">
        <w:rPr>
          <w:rFonts w:ascii="Times New Roman" w:hAnsi="Times New Roman" w:cs="Times New Roman"/>
        </w:rPr>
        <w:t>στο πεδίο των διεθνών εμπορικών συναλλαγών</w:t>
      </w:r>
      <w:r w:rsidR="00E96D0C" w:rsidRPr="00C23E32">
        <w:rPr>
          <w:rFonts w:ascii="Times New Roman" w:hAnsi="Times New Roman" w:cs="Times New Roman"/>
        </w:rPr>
        <w:t>.</w:t>
      </w:r>
      <w:r w:rsidR="00566E21" w:rsidRPr="00C23E32">
        <w:rPr>
          <w:rFonts w:ascii="Times New Roman" w:hAnsi="Times New Roman" w:cs="Times New Roman"/>
        </w:rPr>
        <w:t xml:space="preserve"> </w:t>
      </w:r>
    </w:p>
    <w:p w14:paraId="752EBC55" w14:textId="77777777" w:rsidR="004E20C9" w:rsidRPr="00C23E32" w:rsidRDefault="004E20C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4076747" w14:textId="36765885" w:rsidR="004E20C9" w:rsidRPr="00C23E32" w:rsidRDefault="004E20C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Συμμετοχή του Κράτους στη Διεθνή Συναλλαγή</w:t>
      </w:r>
    </w:p>
    <w:p w14:paraId="6B11EFF9" w14:textId="77777777" w:rsidR="004E20C9" w:rsidRPr="00C23E32" w:rsidRDefault="004E20C9" w:rsidP="00C23E32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Η ανάληψη συμβατικών υποχρεώσεων από το κράτος στη διεθνή συναλλαγή (</w:t>
      </w:r>
      <w:proofErr w:type="spellStart"/>
      <w:r w:rsidRPr="00C23E32">
        <w:rPr>
          <w:rFonts w:ascii="Times New Roman" w:hAnsi="Times New Roman" w:cs="Times New Roman"/>
        </w:rPr>
        <w:t>state</w:t>
      </w:r>
      <w:proofErr w:type="spellEnd"/>
      <w:r w:rsidRPr="00C23E32">
        <w:rPr>
          <w:rFonts w:ascii="Times New Roman" w:hAnsi="Times New Roman" w:cs="Times New Roman"/>
        </w:rPr>
        <w:t xml:space="preserve"> </w:t>
      </w:r>
      <w:proofErr w:type="spellStart"/>
      <w:r w:rsidRPr="00C23E32">
        <w:rPr>
          <w:rFonts w:ascii="Times New Roman" w:hAnsi="Times New Roman" w:cs="Times New Roman"/>
        </w:rPr>
        <w:t>contracts</w:t>
      </w:r>
      <w:proofErr w:type="spellEnd"/>
      <w:r w:rsidRPr="00C23E32">
        <w:rPr>
          <w:rFonts w:ascii="Times New Roman" w:hAnsi="Times New Roman" w:cs="Times New Roman"/>
        </w:rPr>
        <w:t>): Νομική φύση, εφαρμοστέο δίκαιο και η σχέση δημοσίου-ιδιωτικού δικαίου.</w:t>
      </w:r>
    </w:p>
    <w:p w14:paraId="2A3013DA" w14:textId="77777777" w:rsidR="004E20C9" w:rsidRPr="00C23E32" w:rsidRDefault="004E20C9" w:rsidP="00C23E32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Το κράτος ως διάδικος ενώπιον διαιτητικών δικαστηρίων: Ζητήματα συναίνεσης, εφαρμοστέου δικαίου και εκτελεστότητας διαιτητικών αποφάσεων κατά κράτους.</w:t>
      </w:r>
    </w:p>
    <w:p w14:paraId="0FA2243C" w14:textId="25306D1F" w:rsidR="004E20C9" w:rsidRPr="00C23E32" w:rsidRDefault="004E20C9" w:rsidP="00C23E32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Οι διεθνείς δημόσιοι διαγωνισμοί, συμβάσεις παραχώρησης και συμπράξεις δημοσίου-ιδιωτικού τομέα: Ρυθμιστικό πλαίσιο και συμμετοχή ξένων επιχειρήσεων.</w:t>
      </w:r>
    </w:p>
    <w:p w14:paraId="240D0791" w14:textId="77777777" w:rsidR="004E20C9" w:rsidRPr="00C23E32" w:rsidRDefault="004E20C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861B93B" w14:textId="56EB82FD" w:rsidR="004E20C9" w:rsidRPr="00C23E32" w:rsidRDefault="004E20C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Νομικά Πρόσωπα</w:t>
      </w:r>
    </w:p>
    <w:p w14:paraId="280BC618" w14:textId="0E939DE5" w:rsidR="004E20C9" w:rsidRPr="00C23E32" w:rsidRDefault="004E20C9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Οι εξαιρέσεις από τον κανόνα της πραγματικής έδρας του άρθρου ΑΚ 10</w:t>
      </w:r>
      <w:r w:rsidR="00B36606" w:rsidRPr="00C23E32">
        <w:rPr>
          <w:rFonts w:ascii="Times New Roman" w:hAnsi="Times New Roman" w:cs="Times New Roman"/>
        </w:rPr>
        <w:t xml:space="preserve"> και η επίπτωση του </w:t>
      </w:r>
      <w:r w:rsidR="00B36606" w:rsidRPr="00C23E32">
        <w:rPr>
          <w:rFonts w:ascii="Times New Roman" w:hAnsi="Times New Roman" w:cs="Times New Roman"/>
          <w:lang w:val="en-US"/>
        </w:rPr>
        <w:t>Brexit</w:t>
      </w:r>
      <w:r w:rsidR="00B36606" w:rsidRPr="00C23E32">
        <w:rPr>
          <w:rFonts w:ascii="Times New Roman" w:hAnsi="Times New Roman" w:cs="Times New Roman"/>
        </w:rPr>
        <w:t xml:space="preserve"> στη νομική μεταχείριση στην ελληνική έννομη τάξη αγγλικών εταιρειών (συσταθεισών κατά το αγγλικό δίκαιο), που έχουν όμως την πραγματική τους έδρα στην Ελλάδα.  </w:t>
      </w:r>
    </w:p>
    <w:p w14:paraId="66BB44A5" w14:textId="77777777" w:rsidR="004E20C9" w:rsidRPr="00C23E32" w:rsidRDefault="004E20C9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 xml:space="preserve">Η εγκατάσταση αλλοδαπών εταιριών στην Ελλάδα: Κοινοτική ελευθερία εγκατάστασης, υποκαταστήματα, το πλαίσιο του Ν. 89/1967 και το ειδικό νομοθετικό πλαίσιο για ναυτιλιακές εταιρείες. </w:t>
      </w:r>
    </w:p>
    <w:p w14:paraId="3578DBD8" w14:textId="5B924BEC" w:rsidR="004E20C9" w:rsidRPr="00C23E32" w:rsidRDefault="004E20C9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 xml:space="preserve">Αλλοδαπά </w:t>
      </w:r>
      <w:proofErr w:type="spellStart"/>
      <w:r w:rsidRPr="00C23E32">
        <w:rPr>
          <w:rFonts w:ascii="Times New Roman" w:hAnsi="Times New Roman" w:cs="Times New Roman"/>
        </w:rPr>
        <w:t>εμπιστεύματα</w:t>
      </w:r>
      <w:proofErr w:type="spellEnd"/>
      <w:r w:rsidRPr="00C23E32">
        <w:rPr>
          <w:rFonts w:ascii="Times New Roman" w:hAnsi="Times New Roman" w:cs="Times New Roman"/>
        </w:rPr>
        <w:t xml:space="preserve"> (trusts) και η αναγνώρισή τους στο ελληνικό δίκαιο</w:t>
      </w:r>
      <w:r w:rsidR="007A41CC" w:rsidRPr="00C23E32">
        <w:rPr>
          <w:rFonts w:ascii="Times New Roman" w:hAnsi="Times New Roman" w:cs="Times New Roman"/>
        </w:rPr>
        <w:t xml:space="preserve"> -Δυνατότητα ή μη σύστασης </w:t>
      </w:r>
      <w:r w:rsidR="007A41CC" w:rsidRPr="00C23E32">
        <w:rPr>
          <w:rFonts w:ascii="Times New Roman" w:hAnsi="Times New Roman" w:cs="Times New Roman"/>
          <w:lang w:val="en-US"/>
        </w:rPr>
        <w:t>trust</w:t>
      </w:r>
      <w:r w:rsidR="007A41CC" w:rsidRPr="00C23E32">
        <w:rPr>
          <w:rFonts w:ascii="Times New Roman" w:hAnsi="Times New Roman" w:cs="Times New Roman"/>
        </w:rPr>
        <w:t xml:space="preserve"> κατά το ελληνικό ουσιαστικό δίκαιο.</w:t>
      </w:r>
    </w:p>
    <w:p w14:paraId="3BC0138F" w14:textId="61DB26B5" w:rsidR="004E20C9" w:rsidRPr="00C23E32" w:rsidRDefault="004E20C9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Διεθνείς διασυνοριακές συγχωνεύσεις και μετασχηματισμοί εταιριών: Νομικό πλαίσιο, εταιρικά και φορολογικά ζητήματα.</w:t>
      </w:r>
    </w:p>
    <w:p w14:paraId="77A1DBFC" w14:textId="77777777" w:rsidR="003D2DC8" w:rsidRPr="00C23E32" w:rsidRDefault="003D2DC8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553FCFD" w14:textId="1B71CBBD" w:rsidR="00FD7599" w:rsidRPr="00C23E32" w:rsidRDefault="00FD759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Διεθνής Πώληση</w:t>
      </w:r>
    </w:p>
    <w:p w14:paraId="021D30E2" w14:textId="0E8E590C" w:rsidR="00FD7599" w:rsidRPr="00C23E32" w:rsidRDefault="00FD7599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Η Σύμβαση της Βιέννης (CISG) για τη Διεθνή Πώληση Κινητών Πραγμάτων: Πεδίο εφαρμογής,</w:t>
      </w:r>
      <w:r w:rsidR="00A56632" w:rsidRPr="00C23E32">
        <w:rPr>
          <w:rFonts w:ascii="Times New Roman" w:hAnsi="Times New Roman" w:cs="Times New Roman"/>
        </w:rPr>
        <w:t xml:space="preserve"> </w:t>
      </w:r>
      <w:r w:rsidRPr="00C23E32">
        <w:rPr>
          <w:rFonts w:ascii="Times New Roman" w:hAnsi="Times New Roman" w:cs="Times New Roman"/>
        </w:rPr>
        <w:t>βασικές αρχές και πρακτικά ζητήματα εφαρμογής στο διεθνές εμπόριο</w:t>
      </w:r>
      <w:r w:rsidR="00E96D0C" w:rsidRPr="00C23E32">
        <w:rPr>
          <w:rFonts w:ascii="Times New Roman" w:hAnsi="Times New Roman" w:cs="Times New Roman"/>
        </w:rPr>
        <w:t xml:space="preserve"> - Σχέση και με τον Κανονισμό Ρώμη Ι.</w:t>
      </w:r>
    </w:p>
    <w:p w14:paraId="0DDC0D36" w14:textId="3B060DC1" w:rsidR="00566E21" w:rsidRPr="00C23E32" w:rsidRDefault="00566E21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Η εφαρμογή της CISG στ</w:t>
      </w:r>
      <w:r w:rsidR="00E71910" w:rsidRPr="00C23E32">
        <w:rPr>
          <w:rFonts w:ascii="Times New Roman" w:hAnsi="Times New Roman" w:cs="Times New Roman"/>
        </w:rPr>
        <w:t>η</w:t>
      </w:r>
      <w:r w:rsidRPr="00C23E32">
        <w:rPr>
          <w:rFonts w:ascii="Times New Roman" w:hAnsi="Times New Roman" w:cs="Times New Roman"/>
        </w:rPr>
        <w:t xml:space="preserve"> </w:t>
      </w:r>
      <w:r w:rsidR="00E71910" w:rsidRPr="00C23E32">
        <w:rPr>
          <w:rFonts w:ascii="Times New Roman" w:hAnsi="Times New Roman" w:cs="Times New Roman"/>
        </w:rPr>
        <w:t>διεθνή</w:t>
      </w:r>
      <w:r w:rsidRPr="00C23E32">
        <w:rPr>
          <w:rFonts w:ascii="Times New Roman" w:hAnsi="Times New Roman" w:cs="Times New Roman"/>
        </w:rPr>
        <w:t xml:space="preserve"> εμπορική διαιτησία</w:t>
      </w:r>
      <w:r w:rsidR="00B36606" w:rsidRPr="00C23E32">
        <w:rPr>
          <w:rFonts w:ascii="Times New Roman" w:hAnsi="Times New Roman" w:cs="Times New Roman"/>
        </w:rPr>
        <w:t xml:space="preserve"> </w:t>
      </w:r>
      <w:r w:rsidR="007A41CC" w:rsidRPr="00C23E32">
        <w:rPr>
          <w:rFonts w:ascii="Times New Roman" w:hAnsi="Times New Roman" w:cs="Times New Roman"/>
        </w:rPr>
        <w:t>γενικώς</w:t>
      </w:r>
      <w:r w:rsidR="00B36606" w:rsidRPr="00C23E32">
        <w:rPr>
          <w:rFonts w:ascii="Times New Roman" w:hAnsi="Times New Roman" w:cs="Times New Roman"/>
        </w:rPr>
        <w:t xml:space="preserve"> και η εφαρμογή της CISG λόγω επιλογής των μερών από κρατικά και διαιτητικά δικαστήρια σε πωλήσεις (και εν γένει συμβάσεις) που καταρχήν δεν εμπίπτουν στο πεδίο εφαρμογής της. </w:t>
      </w:r>
    </w:p>
    <w:p w14:paraId="6CAFC8B9" w14:textId="5A16D6A1" w:rsidR="003842FD" w:rsidRPr="00C23E32" w:rsidRDefault="00E71910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Η</w:t>
      </w:r>
      <w:r w:rsidR="003842FD" w:rsidRPr="00C23E32">
        <w:rPr>
          <w:rFonts w:ascii="Times New Roman" w:hAnsi="Times New Roman" w:cs="Times New Roman"/>
        </w:rPr>
        <w:t xml:space="preserve"> ιεραρχία των κανόνων που διέπουν τη διεθνή πώληση κινητών </w:t>
      </w:r>
      <w:r w:rsidRPr="00C23E32">
        <w:rPr>
          <w:rFonts w:ascii="Times New Roman" w:hAnsi="Times New Roman" w:cs="Times New Roman"/>
        </w:rPr>
        <w:t xml:space="preserve">στο πλαίσιο της CISG και του άρθρου 6 αυτής </w:t>
      </w:r>
      <w:r w:rsidR="00E96D0C" w:rsidRPr="00C23E32">
        <w:rPr>
          <w:rFonts w:ascii="Times New Roman" w:hAnsi="Times New Roman" w:cs="Times New Roman"/>
        </w:rPr>
        <w:t xml:space="preserve">(σε συνδυασμό και με τα άρθρα 4, 7 παρ. 2, 8-9 </w:t>
      </w:r>
      <w:r w:rsidR="00E96D0C" w:rsidRPr="00C23E32">
        <w:rPr>
          <w:rFonts w:ascii="Times New Roman" w:hAnsi="Times New Roman" w:cs="Times New Roman"/>
          <w:lang w:val="en-US"/>
        </w:rPr>
        <w:t>CISG</w:t>
      </w:r>
      <w:r w:rsidR="00E96D0C" w:rsidRPr="00C23E32">
        <w:rPr>
          <w:rFonts w:ascii="Times New Roman" w:hAnsi="Times New Roman" w:cs="Times New Roman"/>
        </w:rPr>
        <w:t xml:space="preserve">). </w:t>
      </w:r>
    </w:p>
    <w:p w14:paraId="289CC32E" w14:textId="76EC4BD2" w:rsidR="00E71910" w:rsidRPr="00C23E32" w:rsidRDefault="003842FD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lastRenderedPageBreak/>
        <w:t xml:space="preserve">Η ερμηνεία της </w:t>
      </w:r>
      <w:r w:rsidRPr="00C23E32">
        <w:rPr>
          <w:rFonts w:ascii="Times New Roman" w:hAnsi="Times New Roman" w:cs="Times New Roman"/>
          <w:lang w:val="en-US"/>
        </w:rPr>
        <w:t>CISG</w:t>
      </w:r>
      <w:r w:rsidR="00B36606" w:rsidRPr="00C23E32">
        <w:rPr>
          <w:rFonts w:ascii="Times New Roman" w:hAnsi="Times New Roman" w:cs="Times New Roman"/>
        </w:rPr>
        <w:t>,</w:t>
      </w:r>
      <w:r w:rsidRPr="00C23E32">
        <w:rPr>
          <w:rFonts w:ascii="Times New Roman" w:hAnsi="Times New Roman" w:cs="Times New Roman"/>
        </w:rPr>
        <w:t xml:space="preserve"> η πλήρωση των κενών της κατά το άρθρο 7 της </w:t>
      </w:r>
      <w:r w:rsidRPr="00C23E32">
        <w:rPr>
          <w:rFonts w:ascii="Times New Roman" w:hAnsi="Times New Roman" w:cs="Times New Roman"/>
          <w:lang w:val="en-US"/>
        </w:rPr>
        <w:t>CISG</w:t>
      </w:r>
      <w:r w:rsidR="00B36606" w:rsidRPr="00C23E32">
        <w:rPr>
          <w:rFonts w:ascii="Times New Roman" w:hAnsi="Times New Roman" w:cs="Times New Roman"/>
        </w:rPr>
        <w:t xml:space="preserve"> και η </w:t>
      </w:r>
      <w:r w:rsidR="00E71910" w:rsidRPr="00C23E32">
        <w:rPr>
          <w:rFonts w:ascii="Times New Roman" w:hAnsi="Times New Roman" w:cs="Times New Roman"/>
        </w:rPr>
        <w:t xml:space="preserve">αρχή της αποκλειστικής εφαρμογής της </w:t>
      </w:r>
      <w:r w:rsidR="00E71910" w:rsidRPr="00C23E32">
        <w:rPr>
          <w:rFonts w:ascii="Times New Roman" w:hAnsi="Times New Roman" w:cs="Times New Roman"/>
          <w:lang w:val="en-US"/>
        </w:rPr>
        <w:t>CISG</w:t>
      </w:r>
      <w:r w:rsidR="00E71910" w:rsidRPr="00C23E32">
        <w:rPr>
          <w:rFonts w:ascii="Times New Roman" w:hAnsi="Times New Roman" w:cs="Times New Roman"/>
        </w:rPr>
        <w:t xml:space="preserve"> στα ζητήματα που εμπίπτουν σε αυτήν </w:t>
      </w:r>
      <w:r w:rsidR="00590E56" w:rsidRPr="00C23E32">
        <w:rPr>
          <w:rFonts w:ascii="Times New Roman" w:hAnsi="Times New Roman" w:cs="Times New Roman"/>
        </w:rPr>
        <w:t>με πρακτικά παραδείγματα εφαρμογής της</w:t>
      </w:r>
      <w:r w:rsidR="00B36606" w:rsidRPr="00C23E32">
        <w:rPr>
          <w:rFonts w:ascii="Times New Roman" w:hAnsi="Times New Roman" w:cs="Times New Roman"/>
        </w:rPr>
        <w:t xml:space="preserve"> αρχής αυτής (σε σχέση και με καταναλωτικές πωλήσεις, όταν κατ’ εξαίρεση εμπίπτουν στη </w:t>
      </w:r>
      <w:r w:rsidR="00B36606" w:rsidRPr="00C23E32">
        <w:rPr>
          <w:rFonts w:ascii="Times New Roman" w:hAnsi="Times New Roman" w:cs="Times New Roman"/>
          <w:lang w:val="en-US"/>
        </w:rPr>
        <w:t>CISG</w:t>
      </w:r>
      <w:r w:rsidR="00B36606" w:rsidRPr="00C23E32">
        <w:rPr>
          <w:rFonts w:ascii="Times New Roman" w:hAnsi="Times New Roman" w:cs="Times New Roman"/>
        </w:rPr>
        <w:t>)</w:t>
      </w:r>
      <w:r w:rsidR="00E96D0C" w:rsidRPr="00C23E32">
        <w:rPr>
          <w:rFonts w:ascii="Times New Roman" w:hAnsi="Times New Roman" w:cs="Times New Roman"/>
        </w:rPr>
        <w:t>.</w:t>
      </w:r>
      <w:r w:rsidR="00590E56" w:rsidRPr="00C23E32">
        <w:rPr>
          <w:rFonts w:ascii="Times New Roman" w:hAnsi="Times New Roman" w:cs="Times New Roman"/>
        </w:rPr>
        <w:t xml:space="preserve"> </w:t>
      </w:r>
    </w:p>
    <w:p w14:paraId="3B17040F" w14:textId="72395CBE" w:rsidR="003842FD" w:rsidRPr="00C23E32" w:rsidRDefault="003842FD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 xml:space="preserve">Η λειτουργία της αρχής της καλής πίστης στη διεθνή πώληση κινητών κατά τη </w:t>
      </w:r>
      <w:r w:rsidRPr="00C23E32">
        <w:rPr>
          <w:rFonts w:ascii="Times New Roman" w:hAnsi="Times New Roman" w:cs="Times New Roman"/>
          <w:lang w:val="en-US"/>
        </w:rPr>
        <w:t>CISG</w:t>
      </w:r>
      <w:r w:rsidR="00E71910" w:rsidRPr="00C23E32">
        <w:rPr>
          <w:rFonts w:ascii="Times New Roman" w:hAnsi="Times New Roman" w:cs="Times New Roman"/>
        </w:rPr>
        <w:t xml:space="preserve"> (σε σχέση με την ερμηνεία της συμβάσης, την εκπλήρωσή της και το κύρος της)</w:t>
      </w:r>
      <w:r w:rsidR="00E96D0C" w:rsidRPr="00C23E32">
        <w:rPr>
          <w:rFonts w:ascii="Times New Roman" w:hAnsi="Times New Roman" w:cs="Times New Roman"/>
        </w:rPr>
        <w:t>.</w:t>
      </w:r>
      <w:r w:rsidR="00E71910" w:rsidRPr="00C23E32">
        <w:rPr>
          <w:rFonts w:ascii="Times New Roman" w:hAnsi="Times New Roman" w:cs="Times New Roman"/>
        </w:rPr>
        <w:t xml:space="preserve"> </w:t>
      </w:r>
    </w:p>
    <w:p w14:paraId="4249B67B" w14:textId="77777777" w:rsidR="003842FD" w:rsidRPr="00C23E32" w:rsidRDefault="003842FD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Η ερμηνεία της σύμβασης διεθνούς πώλησης κατά το άρ. 8 CISG: Υποκειμενικό και αντικειμενικό κριτήριο ερμηνείας, η σημασία των πρακτικών μεταξύ των μερών (practices) και των εμπορικών συνηθειών (usages) κατά το άρθρο 9 της CISG.</w:t>
      </w:r>
    </w:p>
    <w:p w14:paraId="33D660BB" w14:textId="1DA7DFD5" w:rsidR="003842FD" w:rsidRPr="00C23E32" w:rsidRDefault="003842FD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 xml:space="preserve">Η αθέτηση της διεθνούς πώλησης κινητών από τον πωλητή και τα έννομα βοηθήματα του αγοραστή κατά τη </w:t>
      </w:r>
      <w:r w:rsidRPr="00C23E32">
        <w:rPr>
          <w:rFonts w:ascii="Times New Roman" w:hAnsi="Times New Roman" w:cs="Times New Roman"/>
          <w:lang w:val="en-US"/>
        </w:rPr>
        <w:t>CISG</w:t>
      </w:r>
      <w:r w:rsidRPr="00C23E32">
        <w:rPr>
          <w:rFonts w:ascii="Times New Roman" w:hAnsi="Times New Roman" w:cs="Times New Roman"/>
        </w:rPr>
        <w:t xml:space="preserve"> </w:t>
      </w:r>
      <w:r w:rsidR="00E71910" w:rsidRPr="00C23E32">
        <w:rPr>
          <w:rFonts w:ascii="Times New Roman" w:hAnsi="Times New Roman" w:cs="Times New Roman"/>
        </w:rPr>
        <w:t>σε σύγκριση με τις ρυθμίσεις του ΑΚ</w:t>
      </w:r>
      <w:r w:rsidR="00E96D0C" w:rsidRPr="00C23E32">
        <w:rPr>
          <w:rFonts w:ascii="Times New Roman" w:hAnsi="Times New Roman" w:cs="Times New Roman"/>
        </w:rPr>
        <w:t>.</w:t>
      </w:r>
      <w:r w:rsidR="00E71910" w:rsidRPr="00C23E32">
        <w:rPr>
          <w:rFonts w:ascii="Times New Roman" w:hAnsi="Times New Roman" w:cs="Times New Roman"/>
        </w:rPr>
        <w:t xml:space="preserve"> </w:t>
      </w:r>
    </w:p>
    <w:p w14:paraId="7CEE5F0F" w14:textId="4C42BD21" w:rsidR="00590E56" w:rsidRPr="00C23E32" w:rsidRDefault="00590E56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 xml:space="preserve">Ερμηνεία, κύρος και όρια ρητρών απαλλαγής και/ή περιορισμού της ευθύνης του πωλητή </w:t>
      </w:r>
      <w:r w:rsidR="00A56632" w:rsidRPr="00C23E32">
        <w:rPr>
          <w:rFonts w:ascii="Times New Roman" w:hAnsi="Times New Roman" w:cs="Times New Roman"/>
        </w:rPr>
        <w:t xml:space="preserve">κατά τη </w:t>
      </w:r>
      <w:r w:rsidRPr="00C23E32">
        <w:rPr>
          <w:rFonts w:ascii="Times New Roman" w:hAnsi="Times New Roman" w:cs="Times New Roman"/>
          <w:lang w:val="en-US"/>
        </w:rPr>
        <w:t>CISG</w:t>
      </w:r>
      <w:r w:rsidRPr="00C23E32">
        <w:rPr>
          <w:rFonts w:ascii="Times New Roman" w:hAnsi="Times New Roman" w:cs="Times New Roman"/>
        </w:rPr>
        <w:t xml:space="preserve"> για παράδοση πράγματος που ανταποκρίνεται στη σύμβαση, όπως και εκ των προτέρων αποζημιωτικών συμφωνιών (</w:t>
      </w:r>
      <w:r w:rsidRPr="00C23E32">
        <w:rPr>
          <w:rFonts w:ascii="Times New Roman" w:hAnsi="Times New Roman" w:cs="Times New Roman"/>
          <w:lang w:val="en-US"/>
        </w:rPr>
        <w:t>liquidated</w:t>
      </w:r>
      <w:r w:rsidRPr="00C23E32">
        <w:rPr>
          <w:rFonts w:ascii="Times New Roman" w:hAnsi="Times New Roman" w:cs="Times New Roman"/>
        </w:rPr>
        <w:t xml:space="preserve"> </w:t>
      </w:r>
      <w:r w:rsidRPr="00C23E32">
        <w:rPr>
          <w:rFonts w:ascii="Times New Roman" w:hAnsi="Times New Roman" w:cs="Times New Roman"/>
          <w:lang w:val="en-US"/>
        </w:rPr>
        <w:t>damages</w:t>
      </w:r>
      <w:r w:rsidRPr="00C23E32">
        <w:rPr>
          <w:rFonts w:ascii="Times New Roman" w:hAnsi="Times New Roman" w:cs="Times New Roman"/>
        </w:rPr>
        <w:t>)</w:t>
      </w:r>
      <w:r w:rsidR="00E96D0C" w:rsidRPr="00C23E32">
        <w:rPr>
          <w:rFonts w:ascii="Times New Roman" w:hAnsi="Times New Roman" w:cs="Times New Roman"/>
        </w:rPr>
        <w:t>.</w:t>
      </w:r>
      <w:r w:rsidRPr="00C23E32">
        <w:rPr>
          <w:rFonts w:ascii="Times New Roman" w:hAnsi="Times New Roman" w:cs="Times New Roman"/>
        </w:rPr>
        <w:t xml:space="preserve"> </w:t>
      </w:r>
    </w:p>
    <w:p w14:paraId="61B82537" w14:textId="375E7128" w:rsidR="00590E56" w:rsidRPr="00C23E32" w:rsidRDefault="00590E56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 xml:space="preserve">Το </w:t>
      </w:r>
      <w:r w:rsidR="00A56632" w:rsidRPr="00C23E32">
        <w:rPr>
          <w:rFonts w:ascii="Times New Roman" w:hAnsi="Times New Roman" w:cs="Times New Roman"/>
        </w:rPr>
        <w:t>βάρος</w:t>
      </w:r>
      <w:r w:rsidRPr="00C23E32">
        <w:rPr>
          <w:rFonts w:ascii="Times New Roman" w:hAnsi="Times New Roman" w:cs="Times New Roman"/>
        </w:rPr>
        <w:t xml:space="preserve"> </w:t>
      </w:r>
      <w:r w:rsidR="00A56632" w:rsidRPr="00C23E32">
        <w:rPr>
          <w:rFonts w:ascii="Times New Roman" w:hAnsi="Times New Roman" w:cs="Times New Roman"/>
        </w:rPr>
        <w:t>ειδοποίησης</w:t>
      </w:r>
      <w:r w:rsidRPr="00C23E32">
        <w:rPr>
          <w:rFonts w:ascii="Times New Roman" w:hAnsi="Times New Roman" w:cs="Times New Roman"/>
        </w:rPr>
        <w:t xml:space="preserve"> του </w:t>
      </w:r>
      <w:r w:rsidR="00A56632" w:rsidRPr="00C23E32">
        <w:rPr>
          <w:rFonts w:ascii="Times New Roman" w:hAnsi="Times New Roman" w:cs="Times New Roman"/>
        </w:rPr>
        <w:t>αγοραστή</w:t>
      </w:r>
      <w:r w:rsidRPr="00C23E32">
        <w:rPr>
          <w:rFonts w:ascii="Times New Roman" w:hAnsi="Times New Roman" w:cs="Times New Roman"/>
        </w:rPr>
        <w:t xml:space="preserve"> για μη </w:t>
      </w:r>
      <w:r w:rsidR="00A56632" w:rsidRPr="00C23E32">
        <w:rPr>
          <w:rFonts w:ascii="Times New Roman" w:hAnsi="Times New Roman" w:cs="Times New Roman"/>
        </w:rPr>
        <w:t>ανταπόκριση</w:t>
      </w:r>
      <w:r w:rsidRPr="00C23E32">
        <w:rPr>
          <w:rFonts w:ascii="Times New Roman" w:hAnsi="Times New Roman" w:cs="Times New Roman"/>
        </w:rPr>
        <w:t xml:space="preserve"> του </w:t>
      </w:r>
      <w:r w:rsidR="00A56632" w:rsidRPr="00C23E32">
        <w:rPr>
          <w:rFonts w:ascii="Times New Roman" w:hAnsi="Times New Roman" w:cs="Times New Roman"/>
        </w:rPr>
        <w:t>πράγματος</w:t>
      </w:r>
      <w:r w:rsidRPr="00C23E32">
        <w:rPr>
          <w:rFonts w:ascii="Times New Roman" w:hAnsi="Times New Roman" w:cs="Times New Roman"/>
        </w:rPr>
        <w:t xml:space="preserve"> κατά το </w:t>
      </w:r>
      <w:r w:rsidR="00A56632" w:rsidRPr="00C23E32">
        <w:rPr>
          <w:rFonts w:ascii="Times New Roman" w:hAnsi="Times New Roman" w:cs="Times New Roman"/>
        </w:rPr>
        <w:t>άρθρο</w:t>
      </w:r>
      <w:r w:rsidRPr="00C23E32">
        <w:rPr>
          <w:rFonts w:ascii="Times New Roman" w:hAnsi="Times New Roman" w:cs="Times New Roman"/>
        </w:rPr>
        <w:t xml:space="preserve"> 39 της </w:t>
      </w:r>
      <w:r w:rsidRPr="00C23E32">
        <w:rPr>
          <w:rFonts w:ascii="Times New Roman" w:hAnsi="Times New Roman" w:cs="Times New Roman"/>
          <w:lang w:val="en-US"/>
        </w:rPr>
        <w:t>CISG</w:t>
      </w:r>
      <w:r w:rsidR="00A56632" w:rsidRPr="00C23E32">
        <w:rPr>
          <w:rFonts w:ascii="Times New Roman" w:hAnsi="Times New Roman" w:cs="Times New Roman"/>
        </w:rPr>
        <w:t xml:space="preserve"> και η σχέση της ρύθμισης με τις εθνικές διατάξεις για την παραγραφή</w:t>
      </w:r>
      <w:r w:rsidR="00E96D0C" w:rsidRPr="00C23E32">
        <w:rPr>
          <w:rFonts w:ascii="Times New Roman" w:hAnsi="Times New Roman" w:cs="Times New Roman"/>
        </w:rPr>
        <w:t>.</w:t>
      </w:r>
    </w:p>
    <w:p w14:paraId="34E8FFB5" w14:textId="5E3D8DA9" w:rsidR="00FD7599" w:rsidRPr="00C23E32" w:rsidRDefault="00FD7599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Η ρήτρα hardship και η ρήτρα force majeure στις διεθνείς πωλήσεις</w:t>
      </w:r>
      <w:r w:rsidR="00E96D0C" w:rsidRPr="00C23E32">
        <w:rPr>
          <w:rFonts w:ascii="Times New Roman" w:hAnsi="Times New Roman" w:cs="Times New Roman"/>
        </w:rPr>
        <w:t xml:space="preserve"> υπό το πρίσμα και του άρθρου 79 της </w:t>
      </w:r>
      <w:r w:rsidR="00E96D0C" w:rsidRPr="00C23E32">
        <w:rPr>
          <w:rFonts w:ascii="Times New Roman" w:hAnsi="Times New Roman" w:cs="Times New Roman"/>
          <w:lang w:val="en-US"/>
        </w:rPr>
        <w:t>CISG</w:t>
      </w:r>
      <w:r w:rsidRPr="00C23E32">
        <w:rPr>
          <w:rFonts w:ascii="Times New Roman" w:hAnsi="Times New Roman" w:cs="Times New Roman"/>
        </w:rPr>
        <w:t>: Συγκριτική ανάλυση, διακρίσεις και πρακτικές συνέπειες για τα συμβαλλόμενα μέρη.</w:t>
      </w:r>
    </w:p>
    <w:p w14:paraId="5CE8BF3D" w14:textId="77777777" w:rsidR="00FD7599" w:rsidRPr="00C23E32" w:rsidRDefault="00FD7599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Η αξίωση αποζημίωσης κατά τα άρ. 74–77 CISG: Υπολογισμός ζημίας, αιτιώδης σύνδεσμος, η αρχή της προβλεψιμότητας (foreseeability) και η υποχρέωση περιορισμού της ζημίας (mitigation).</w:t>
      </w:r>
    </w:p>
    <w:p w14:paraId="6821BF1C" w14:textId="77777777" w:rsidR="00122154" w:rsidRPr="00C23E32" w:rsidRDefault="00122154" w:rsidP="00C23E32">
      <w:pPr>
        <w:spacing w:after="120"/>
        <w:jc w:val="both"/>
        <w:rPr>
          <w:rFonts w:ascii="Times New Roman" w:hAnsi="Times New Roman" w:cs="Times New Roman"/>
        </w:rPr>
      </w:pPr>
    </w:p>
    <w:p w14:paraId="06BFAAD4" w14:textId="77777777" w:rsidR="00FD7599" w:rsidRPr="00C23E32" w:rsidRDefault="00FD759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Incoterms</w:t>
      </w:r>
    </w:p>
    <w:p w14:paraId="36E7C784" w14:textId="541F02E6" w:rsidR="00FD7599" w:rsidRPr="00C23E32" w:rsidRDefault="00FD7599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 xml:space="preserve">Η </w:t>
      </w:r>
      <w:r w:rsidR="00B36606" w:rsidRPr="00C23E32">
        <w:rPr>
          <w:rFonts w:ascii="Times New Roman" w:hAnsi="Times New Roman" w:cs="Times New Roman"/>
        </w:rPr>
        <w:t>λειτουργία</w:t>
      </w:r>
      <w:r w:rsidRPr="00C23E32">
        <w:rPr>
          <w:rFonts w:ascii="Times New Roman" w:hAnsi="Times New Roman" w:cs="Times New Roman"/>
        </w:rPr>
        <w:t xml:space="preserve"> των </w:t>
      </w:r>
      <w:proofErr w:type="spellStart"/>
      <w:r w:rsidRPr="00C23E32">
        <w:rPr>
          <w:rFonts w:ascii="Times New Roman" w:hAnsi="Times New Roman" w:cs="Times New Roman"/>
        </w:rPr>
        <w:t>Incoterms</w:t>
      </w:r>
      <w:proofErr w:type="spellEnd"/>
      <w:r w:rsidRPr="00C23E32">
        <w:rPr>
          <w:rFonts w:ascii="Times New Roman" w:hAnsi="Times New Roman" w:cs="Times New Roman"/>
        </w:rPr>
        <w:t xml:space="preserve"> </w:t>
      </w:r>
      <w:r w:rsidR="00B36606" w:rsidRPr="00C23E32">
        <w:rPr>
          <w:rFonts w:ascii="Times New Roman" w:hAnsi="Times New Roman" w:cs="Times New Roman"/>
        </w:rPr>
        <w:t>σ</w:t>
      </w:r>
      <w:r w:rsidR="00CE268D" w:rsidRPr="00C23E32">
        <w:rPr>
          <w:rFonts w:ascii="Times New Roman" w:hAnsi="Times New Roman" w:cs="Times New Roman"/>
        </w:rPr>
        <w:t xml:space="preserve">τις </w:t>
      </w:r>
      <w:r w:rsidR="00B36606" w:rsidRPr="00C23E32">
        <w:rPr>
          <w:rFonts w:ascii="Times New Roman" w:hAnsi="Times New Roman" w:cs="Times New Roman"/>
        </w:rPr>
        <w:t>συμβάσεις</w:t>
      </w:r>
      <w:r w:rsidRPr="00C23E32">
        <w:rPr>
          <w:rFonts w:ascii="Times New Roman" w:hAnsi="Times New Roman" w:cs="Times New Roman"/>
        </w:rPr>
        <w:t xml:space="preserve"> διεθνούς </w:t>
      </w:r>
      <w:r w:rsidR="00CE268D" w:rsidRPr="00C23E32">
        <w:rPr>
          <w:rFonts w:ascii="Times New Roman" w:hAnsi="Times New Roman" w:cs="Times New Roman"/>
        </w:rPr>
        <w:t xml:space="preserve">πώλησης, </w:t>
      </w:r>
      <w:r w:rsidRPr="00C23E32">
        <w:rPr>
          <w:rFonts w:ascii="Times New Roman" w:hAnsi="Times New Roman" w:cs="Times New Roman"/>
        </w:rPr>
        <w:t xml:space="preserve">μεταφοράς και ασφάλισης: Πώς οι εμπορικοί όροι προσδιορίζουν τις υποχρεώσεις </w:t>
      </w:r>
      <w:r w:rsidR="00CE268D" w:rsidRPr="00C23E32">
        <w:rPr>
          <w:rFonts w:ascii="Times New Roman" w:hAnsi="Times New Roman" w:cs="Times New Roman"/>
        </w:rPr>
        <w:t>των μερών;</w:t>
      </w:r>
    </w:p>
    <w:p w14:paraId="74DDE18D" w14:textId="7EABD914" w:rsidR="00FD7599" w:rsidRPr="00C23E32" w:rsidRDefault="00B36606" w:rsidP="00C23E32">
      <w:pPr>
        <w:spacing w:after="120"/>
        <w:ind w:left="7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(Ν</w:t>
      </w:r>
      <w:r w:rsidR="00FD7599" w:rsidRPr="00C23E32">
        <w:rPr>
          <w:rFonts w:ascii="Times New Roman" w:hAnsi="Times New Roman" w:cs="Times New Roman"/>
        </w:rPr>
        <w:t xml:space="preserve">ομική φύση των </w:t>
      </w:r>
      <w:proofErr w:type="spellStart"/>
      <w:r w:rsidR="00FD7599" w:rsidRPr="00C23E32">
        <w:rPr>
          <w:rFonts w:ascii="Times New Roman" w:hAnsi="Times New Roman" w:cs="Times New Roman"/>
        </w:rPr>
        <w:t>Incoterms</w:t>
      </w:r>
      <w:proofErr w:type="spellEnd"/>
      <w:r w:rsidRPr="00C23E32">
        <w:rPr>
          <w:rFonts w:ascii="Times New Roman" w:hAnsi="Times New Roman" w:cs="Times New Roman"/>
        </w:rPr>
        <w:t xml:space="preserve">, </w:t>
      </w:r>
      <w:r w:rsidR="00FD7599" w:rsidRPr="00C23E32">
        <w:rPr>
          <w:rFonts w:ascii="Times New Roman" w:hAnsi="Times New Roman" w:cs="Times New Roman"/>
        </w:rPr>
        <w:t>σχέση τους με τη Σύμβαση Βιέννης (CISG) και ερμηνευτικές δυσχέρειες στη διεθνή πρακτική</w:t>
      </w:r>
      <w:r w:rsidRPr="00C23E32">
        <w:rPr>
          <w:rFonts w:ascii="Times New Roman" w:hAnsi="Times New Roman" w:cs="Times New Roman"/>
        </w:rPr>
        <w:t>)</w:t>
      </w:r>
      <w:r w:rsidR="00FD7599" w:rsidRPr="00C23E32">
        <w:rPr>
          <w:rFonts w:ascii="Times New Roman" w:hAnsi="Times New Roman" w:cs="Times New Roman"/>
        </w:rPr>
        <w:t>.</w:t>
      </w:r>
    </w:p>
    <w:p w14:paraId="51F3E275" w14:textId="77777777" w:rsidR="00CF5107" w:rsidRPr="00C23E32" w:rsidRDefault="00CF5107" w:rsidP="00C23E32">
      <w:pPr>
        <w:spacing w:after="120"/>
        <w:ind w:left="720"/>
        <w:jc w:val="both"/>
        <w:rPr>
          <w:rFonts w:ascii="Times New Roman" w:hAnsi="Times New Roman" w:cs="Times New Roman"/>
        </w:rPr>
      </w:pPr>
    </w:p>
    <w:p w14:paraId="29391134" w14:textId="73918CC3" w:rsidR="00CF5107" w:rsidRPr="00C23E32" w:rsidRDefault="00CF5107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 xml:space="preserve">Η ανάπτυξη της δράσης του εμπόρου εκτός της έδρας του- Συμβάσεις εμπορικής συνεργασίας  </w:t>
      </w:r>
    </w:p>
    <w:p w14:paraId="31D40C66" w14:textId="40BDCACF" w:rsidR="00CF5107" w:rsidRPr="00C23E32" w:rsidRDefault="00CF5107" w:rsidP="00C23E32">
      <w:pPr>
        <w:pStyle w:val="a6"/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 xml:space="preserve">Εμπορική αντιπροσωπεία, διανομή και </w:t>
      </w:r>
      <w:r w:rsidRPr="00C23E32">
        <w:rPr>
          <w:rFonts w:ascii="Times New Roman" w:hAnsi="Times New Roman" w:cs="Times New Roman"/>
          <w:lang w:val="en-US"/>
        </w:rPr>
        <w:t>franchising</w:t>
      </w:r>
      <w:r w:rsidRPr="00C23E32">
        <w:rPr>
          <w:rFonts w:ascii="Times New Roman" w:hAnsi="Times New Roman" w:cs="Times New Roman"/>
        </w:rPr>
        <w:t>: Συγκριτική ανάλυση, νομική φύση και πλαίσιο και πρακτικά πλεονεκτήματα</w:t>
      </w:r>
      <w:r w:rsidR="002C3BCA" w:rsidRPr="00C23E32">
        <w:rPr>
          <w:rFonts w:ascii="Times New Roman" w:hAnsi="Times New Roman" w:cs="Times New Roman"/>
        </w:rPr>
        <w:t xml:space="preserve"> και μειονεκτήματα</w:t>
      </w:r>
      <w:r w:rsidRPr="00C23E32">
        <w:rPr>
          <w:rFonts w:ascii="Times New Roman" w:hAnsi="Times New Roman" w:cs="Times New Roman"/>
        </w:rPr>
        <w:t xml:space="preserve">. </w:t>
      </w:r>
    </w:p>
    <w:p w14:paraId="514CA9D0" w14:textId="7D3B256E" w:rsidR="00CF5107" w:rsidRPr="00C23E32" w:rsidRDefault="00CF5107" w:rsidP="00C23E32">
      <w:pPr>
        <w:pStyle w:val="a6"/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 xml:space="preserve">Επίλυση διαφορών και εφαρμοστέο δίκαιο στην εμπορική αντιπροσωπεία, τη διανομή και το </w:t>
      </w:r>
      <w:r w:rsidRPr="00C23E32">
        <w:rPr>
          <w:rFonts w:ascii="Times New Roman" w:hAnsi="Times New Roman" w:cs="Times New Roman"/>
          <w:lang w:val="en-US"/>
        </w:rPr>
        <w:t>franchising</w:t>
      </w:r>
      <w:r w:rsidRPr="00C23E32">
        <w:rPr>
          <w:rFonts w:ascii="Times New Roman" w:hAnsi="Times New Roman" w:cs="Times New Roman"/>
        </w:rPr>
        <w:t>.</w:t>
      </w:r>
    </w:p>
    <w:p w14:paraId="6A715E5A" w14:textId="2728B3B1" w:rsidR="00CF5107" w:rsidRPr="00C23E32" w:rsidRDefault="002C3BCA" w:rsidP="00C23E32">
      <w:pPr>
        <w:pStyle w:val="a6"/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Βασικά</w:t>
      </w:r>
      <w:r w:rsidR="00CF5107" w:rsidRPr="00C23E32">
        <w:rPr>
          <w:rFonts w:ascii="Times New Roman" w:hAnsi="Times New Roman" w:cs="Times New Roman"/>
        </w:rPr>
        <w:t xml:space="preserve"> </w:t>
      </w:r>
      <w:r w:rsidRPr="00C23E32">
        <w:rPr>
          <w:rFonts w:ascii="Times New Roman" w:hAnsi="Times New Roman" w:cs="Times New Roman"/>
        </w:rPr>
        <w:t>ζητήματα</w:t>
      </w:r>
      <w:r w:rsidR="00CF5107" w:rsidRPr="00C23E32">
        <w:rPr>
          <w:rFonts w:ascii="Times New Roman" w:hAnsi="Times New Roman" w:cs="Times New Roman"/>
        </w:rPr>
        <w:t xml:space="preserve"> κατά την </w:t>
      </w:r>
      <w:r w:rsidRPr="00C23E32">
        <w:rPr>
          <w:rFonts w:ascii="Times New Roman" w:hAnsi="Times New Roman" w:cs="Times New Roman"/>
        </w:rPr>
        <w:t>κατάρτιση,</w:t>
      </w:r>
      <w:r w:rsidR="00CF5107" w:rsidRPr="00C23E32">
        <w:rPr>
          <w:rFonts w:ascii="Times New Roman" w:hAnsi="Times New Roman" w:cs="Times New Roman"/>
        </w:rPr>
        <w:t xml:space="preserve"> </w:t>
      </w:r>
      <w:r w:rsidRPr="00C23E32">
        <w:rPr>
          <w:rFonts w:ascii="Times New Roman" w:hAnsi="Times New Roman" w:cs="Times New Roman"/>
        </w:rPr>
        <w:t>λειτουργία</w:t>
      </w:r>
      <w:r w:rsidR="00CF5107" w:rsidRPr="00C23E32">
        <w:rPr>
          <w:rFonts w:ascii="Times New Roman" w:hAnsi="Times New Roman" w:cs="Times New Roman"/>
        </w:rPr>
        <w:t xml:space="preserve"> </w:t>
      </w:r>
      <w:r w:rsidRPr="00C23E32">
        <w:rPr>
          <w:rFonts w:ascii="Times New Roman" w:hAnsi="Times New Roman" w:cs="Times New Roman"/>
        </w:rPr>
        <w:t xml:space="preserve">και λήξη </w:t>
      </w:r>
      <w:r w:rsidR="00CF5107" w:rsidRPr="00C23E32">
        <w:rPr>
          <w:rFonts w:ascii="Times New Roman" w:hAnsi="Times New Roman" w:cs="Times New Roman"/>
        </w:rPr>
        <w:t xml:space="preserve">των </w:t>
      </w:r>
      <w:r w:rsidRPr="00C23E32">
        <w:rPr>
          <w:rFonts w:ascii="Times New Roman" w:hAnsi="Times New Roman" w:cs="Times New Roman"/>
        </w:rPr>
        <w:t>συμβάσεων</w:t>
      </w:r>
      <w:r w:rsidR="00CF5107" w:rsidRPr="00C23E32">
        <w:rPr>
          <w:rFonts w:ascii="Times New Roman" w:hAnsi="Times New Roman" w:cs="Times New Roman"/>
        </w:rPr>
        <w:t xml:space="preserve"> </w:t>
      </w:r>
      <w:r w:rsidRPr="00C23E32">
        <w:rPr>
          <w:rFonts w:ascii="Times New Roman" w:hAnsi="Times New Roman" w:cs="Times New Roman"/>
        </w:rPr>
        <w:t xml:space="preserve">εμπορικής αντιπροσωπείας, διανομής και </w:t>
      </w:r>
      <w:r w:rsidRPr="00C23E32">
        <w:rPr>
          <w:rFonts w:ascii="Times New Roman" w:hAnsi="Times New Roman" w:cs="Times New Roman"/>
          <w:lang w:val="en-US"/>
        </w:rPr>
        <w:t>franchising</w:t>
      </w:r>
      <w:r w:rsidRPr="00C23E32">
        <w:rPr>
          <w:rFonts w:ascii="Times New Roman" w:hAnsi="Times New Roman" w:cs="Times New Roman"/>
        </w:rPr>
        <w:t xml:space="preserve"> (τύπος, προστασία του διαμεσολαβητή ως ασθενέστερου, ζητήματα ανταγωνισμού, προστασία από αιφνίδια λήξη, αποζημίωση πελατείας). </w:t>
      </w:r>
    </w:p>
    <w:p w14:paraId="15B3A0B3" w14:textId="1D9A7A7A" w:rsidR="002C3BCA" w:rsidRPr="00C23E32" w:rsidRDefault="002C3BCA" w:rsidP="00C23E32">
      <w:pPr>
        <w:pStyle w:val="a6"/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 xml:space="preserve">Η αποζημίωση πελατείας του διαμεσολαβητή (εμπορικού αντιπροσώπου, διανομέα, </w:t>
      </w:r>
      <w:r w:rsidRPr="00C23E32">
        <w:rPr>
          <w:rFonts w:ascii="Times New Roman" w:hAnsi="Times New Roman" w:cs="Times New Roman"/>
          <w:lang w:val="en-US"/>
        </w:rPr>
        <w:t>franchisee</w:t>
      </w:r>
      <w:r w:rsidRPr="00C23E32">
        <w:rPr>
          <w:rFonts w:ascii="Times New Roman" w:hAnsi="Times New Roman" w:cs="Times New Roman"/>
        </w:rPr>
        <w:t xml:space="preserve">) στο </w:t>
      </w:r>
      <w:proofErr w:type="spellStart"/>
      <w:r w:rsidRPr="00C23E32">
        <w:rPr>
          <w:rFonts w:ascii="Times New Roman" w:hAnsi="Times New Roman" w:cs="Times New Roman"/>
        </w:rPr>
        <w:t>ιδ.δ.δ</w:t>
      </w:r>
      <w:proofErr w:type="spellEnd"/>
      <w:r w:rsidRPr="00C23E32">
        <w:rPr>
          <w:rFonts w:ascii="Times New Roman" w:hAnsi="Times New Roman" w:cs="Times New Roman"/>
        </w:rPr>
        <w:t xml:space="preserve"> (ως κανόνας αμέσου εφαρμογής ενωσιακός και/ ή εθνικός) – Οι βασικές αποφάσεις του ΔΕΕ στις υποθέσεις </w:t>
      </w:r>
      <w:r w:rsidRPr="00C23E32">
        <w:rPr>
          <w:rFonts w:ascii="Times New Roman" w:hAnsi="Times New Roman" w:cs="Times New Roman"/>
          <w:lang w:val="en-US"/>
        </w:rPr>
        <w:t>Ingmar</w:t>
      </w:r>
      <w:r w:rsidRPr="00C23E32">
        <w:rPr>
          <w:rFonts w:ascii="Times New Roman" w:hAnsi="Times New Roman" w:cs="Times New Roman"/>
        </w:rPr>
        <w:t xml:space="preserve"> και </w:t>
      </w:r>
      <w:proofErr w:type="spellStart"/>
      <w:r w:rsidRPr="00C23E32">
        <w:rPr>
          <w:rFonts w:ascii="Times New Roman" w:hAnsi="Times New Roman" w:cs="Times New Roman"/>
          <w:lang w:val="en-US"/>
        </w:rPr>
        <w:t>Unamar</w:t>
      </w:r>
      <w:proofErr w:type="spellEnd"/>
      <w:r w:rsidRPr="00C23E32">
        <w:rPr>
          <w:rFonts w:ascii="Times New Roman" w:hAnsi="Times New Roman" w:cs="Times New Roman"/>
        </w:rPr>
        <w:t xml:space="preserve"> και η ελληνική νομολογία. </w:t>
      </w:r>
    </w:p>
    <w:p w14:paraId="2E9E38A7" w14:textId="77777777" w:rsidR="00CF5107" w:rsidRPr="00C23E32" w:rsidRDefault="00CF5107" w:rsidP="00C23E32">
      <w:pPr>
        <w:spacing w:after="120"/>
        <w:ind w:left="720"/>
        <w:jc w:val="both"/>
        <w:rPr>
          <w:rFonts w:ascii="Times New Roman" w:hAnsi="Times New Roman" w:cs="Times New Roman"/>
        </w:rPr>
      </w:pPr>
    </w:p>
    <w:p w14:paraId="788AC408" w14:textId="77777777" w:rsidR="00FD7599" w:rsidRPr="00C23E32" w:rsidRDefault="00FD759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Σύμβαση Μεταφοράς</w:t>
      </w:r>
    </w:p>
    <w:p w14:paraId="34043062" w14:textId="77777777" w:rsidR="00FD7599" w:rsidRPr="00C23E32" w:rsidRDefault="00FD7599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 xml:space="preserve">Η </w:t>
      </w:r>
      <w:proofErr w:type="spellStart"/>
      <w:r w:rsidRPr="00C23E32">
        <w:rPr>
          <w:rFonts w:ascii="Times New Roman" w:hAnsi="Times New Roman" w:cs="Times New Roman"/>
        </w:rPr>
        <w:t>πολυτροπική</w:t>
      </w:r>
      <w:proofErr w:type="spellEnd"/>
      <w:r w:rsidRPr="00C23E32">
        <w:rPr>
          <w:rFonts w:ascii="Times New Roman" w:hAnsi="Times New Roman" w:cs="Times New Roman"/>
        </w:rPr>
        <w:t xml:space="preserve"> (</w:t>
      </w:r>
      <w:proofErr w:type="spellStart"/>
      <w:r w:rsidRPr="00C23E32">
        <w:rPr>
          <w:rFonts w:ascii="Times New Roman" w:hAnsi="Times New Roman" w:cs="Times New Roman"/>
        </w:rPr>
        <w:t>multimodal</w:t>
      </w:r>
      <w:proofErr w:type="spellEnd"/>
      <w:r w:rsidRPr="00C23E32">
        <w:rPr>
          <w:rFonts w:ascii="Times New Roman" w:hAnsi="Times New Roman" w:cs="Times New Roman"/>
        </w:rPr>
        <w:t>) μεταφορά: Νομικά ζητήματα ευθύνης όταν εμπλέκονται περισσότερα μέσα μεταφοράς — η πρόταση UNCITRAL και η πρακτική εφαρμογή.</w:t>
      </w:r>
    </w:p>
    <w:p w14:paraId="1FC0DC72" w14:textId="3D64C48D" w:rsidR="00FD7599" w:rsidRPr="00C23E32" w:rsidRDefault="009E7841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Το ιδιωτικό διεθνές δίκαιο</w:t>
      </w:r>
      <w:r w:rsidR="00FD7599" w:rsidRPr="00C23E32">
        <w:rPr>
          <w:rFonts w:ascii="Times New Roman" w:hAnsi="Times New Roman" w:cs="Times New Roman"/>
        </w:rPr>
        <w:t xml:space="preserve"> στις υποθέσεις διεθνών μεταφορών</w:t>
      </w:r>
    </w:p>
    <w:p w14:paraId="574D210B" w14:textId="77777777" w:rsidR="009E7841" w:rsidRPr="00C23E32" w:rsidRDefault="009E7841" w:rsidP="00C23E32">
      <w:pPr>
        <w:spacing w:after="120"/>
        <w:jc w:val="both"/>
        <w:rPr>
          <w:rFonts w:ascii="Times New Roman" w:hAnsi="Times New Roman" w:cs="Times New Roman"/>
        </w:rPr>
      </w:pPr>
    </w:p>
    <w:p w14:paraId="44D5C7C6" w14:textId="77777777" w:rsidR="00FD7599" w:rsidRPr="00C23E32" w:rsidRDefault="00FD7599" w:rsidP="00C23E32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C23E32">
        <w:rPr>
          <w:rFonts w:ascii="Times New Roman" w:hAnsi="Times New Roman" w:cs="Times New Roman"/>
          <w:b/>
          <w:bCs/>
        </w:rPr>
        <w:t>Εξασφάλιση Πιστώσεων</w:t>
      </w:r>
    </w:p>
    <w:p w14:paraId="585DBFE9" w14:textId="59A2C21C" w:rsidR="00FD7599" w:rsidRPr="00C23E32" w:rsidRDefault="00FD7599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 xml:space="preserve">Η πίστωση </w:t>
      </w:r>
      <w:r w:rsidR="00CE268D" w:rsidRPr="00C23E32">
        <w:rPr>
          <w:rFonts w:ascii="Times New Roman" w:hAnsi="Times New Roman" w:cs="Times New Roman"/>
        </w:rPr>
        <w:t xml:space="preserve">έναντι εγγράφων </w:t>
      </w:r>
      <w:r w:rsidRPr="00C23E32">
        <w:rPr>
          <w:rFonts w:ascii="Times New Roman" w:hAnsi="Times New Roman" w:cs="Times New Roman"/>
        </w:rPr>
        <w:t>(</w:t>
      </w:r>
      <w:proofErr w:type="spellStart"/>
      <w:r w:rsidRPr="00C23E32">
        <w:rPr>
          <w:rFonts w:ascii="Times New Roman" w:hAnsi="Times New Roman" w:cs="Times New Roman"/>
        </w:rPr>
        <w:t>documentary</w:t>
      </w:r>
      <w:proofErr w:type="spellEnd"/>
      <w:r w:rsidRPr="00C23E32">
        <w:rPr>
          <w:rFonts w:ascii="Times New Roman" w:hAnsi="Times New Roman" w:cs="Times New Roman"/>
        </w:rPr>
        <w:t xml:space="preserve"> </w:t>
      </w:r>
      <w:proofErr w:type="spellStart"/>
      <w:r w:rsidRPr="00C23E32">
        <w:rPr>
          <w:rFonts w:ascii="Times New Roman" w:hAnsi="Times New Roman" w:cs="Times New Roman"/>
        </w:rPr>
        <w:t>credit</w:t>
      </w:r>
      <w:proofErr w:type="spellEnd"/>
      <w:r w:rsidR="00CE268D" w:rsidRPr="00C23E32">
        <w:rPr>
          <w:rFonts w:ascii="Times New Roman" w:hAnsi="Times New Roman" w:cs="Times New Roman"/>
        </w:rPr>
        <w:t xml:space="preserve"> - </w:t>
      </w:r>
      <w:proofErr w:type="spellStart"/>
      <w:r w:rsidR="00CE268D" w:rsidRPr="00C23E32">
        <w:rPr>
          <w:rFonts w:ascii="Times New Roman" w:hAnsi="Times New Roman" w:cs="Times New Roman"/>
        </w:rPr>
        <w:t>letter</w:t>
      </w:r>
      <w:proofErr w:type="spellEnd"/>
      <w:r w:rsidR="00CE268D" w:rsidRPr="00C23E32">
        <w:rPr>
          <w:rFonts w:ascii="Times New Roman" w:hAnsi="Times New Roman" w:cs="Times New Roman"/>
        </w:rPr>
        <w:t xml:space="preserve"> of </w:t>
      </w:r>
      <w:proofErr w:type="spellStart"/>
      <w:r w:rsidR="00CE268D" w:rsidRPr="00C23E32">
        <w:rPr>
          <w:rFonts w:ascii="Times New Roman" w:hAnsi="Times New Roman" w:cs="Times New Roman"/>
        </w:rPr>
        <w:t>credit</w:t>
      </w:r>
      <w:proofErr w:type="spellEnd"/>
      <w:r w:rsidR="00CE268D" w:rsidRPr="00C23E32">
        <w:rPr>
          <w:rFonts w:ascii="Times New Roman" w:hAnsi="Times New Roman" w:cs="Times New Roman"/>
        </w:rPr>
        <w:t xml:space="preserve"> - </w:t>
      </w:r>
      <w:proofErr w:type="spellStart"/>
      <w:r w:rsidR="00CE268D" w:rsidRPr="00C23E32">
        <w:rPr>
          <w:rFonts w:ascii="Times New Roman" w:hAnsi="Times New Roman" w:cs="Times New Roman"/>
        </w:rPr>
        <w:t>standby</w:t>
      </w:r>
      <w:proofErr w:type="spellEnd"/>
      <w:r w:rsidR="00CE268D" w:rsidRPr="00C23E32">
        <w:rPr>
          <w:rFonts w:ascii="Times New Roman" w:hAnsi="Times New Roman" w:cs="Times New Roman"/>
        </w:rPr>
        <w:t xml:space="preserve"> </w:t>
      </w:r>
      <w:proofErr w:type="spellStart"/>
      <w:r w:rsidR="00CE268D" w:rsidRPr="00C23E32">
        <w:rPr>
          <w:rFonts w:ascii="Times New Roman" w:hAnsi="Times New Roman" w:cs="Times New Roman"/>
        </w:rPr>
        <w:t>letters</w:t>
      </w:r>
      <w:proofErr w:type="spellEnd"/>
      <w:r w:rsidR="00CE268D" w:rsidRPr="00C23E32">
        <w:rPr>
          <w:rFonts w:ascii="Times New Roman" w:hAnsi="Times New Roman" w:cs="Times New Roman"/>
        </w:rPr>
        <w:t xml:space="preserve"> of </w:t>
      </w:r>
      <w:proofErr w:type="spellStart"/>
      <w:r w:rsidR="00CE268D" w:rsidRPr="00C23E32">
        <w:rPr>
          <w:rFonts w:ascii="Times New Roman" w:hAnsi="Times New Roman" w:cs="Times New Roman"/>
        </w:rPr>
        <w:t>credit</w:t>
      </w:r>
      <w:proofErr w:type="spellEnd"/>
      <w:r w:rsidR="00CE268D" w:rsidRPr="00C23E32">
        <w:rPr>
          <w:rFonts w:ascii="Times New Roman" w:hAnsi="Times New Roman" w:cs="Times New Roman"/>
        </w:rPr>
        <w:t xml:space="preserve"> </w:t>
      </w:r>
      <w:r w:rsidRPr="00C23E32">
        <w:rPr>
          <w:rFonts w:ascii="Times New Roman" w:hAnsi="Times New Roman" w:cs="Times New Roman"/>
        </w:rPr>
        <w:t xml:space="preserve">) ως μέσο εξασφάλισης </w:t>
      </w:r>
      <w:r w:rsidR="00CE268D" w:rsidRPr="00C23E32">
        <w:rPr>
          <w:rFonts w:ascii="Times New Roman" w:hAnsi="Times New Roman" w:cs="Times New Roman"/>
        </w:rPr>
        <w:t xml:space="preserve">αλλά και πληρωμής </w:t>
      </w:r>
      <w:r w:rsidRPr="00C23E32">
        <w:rPr>
          <w:rFonts w:ascii="Times New Roman" w:hAnsi="Times New Roman" w:cs="Times New Roman"/>
        </w:rPr>
        <w:t>στις διεθνείς συναλλαγές: </w:t>
      </w:r>
      <w:r w:rsidR="00CE268D" w:rsidRPr="00C23E32">
        <w:rPr>
          <w:rFonts w:ascii="Times New Roman" w:hAnsi="Times New Roman" w:cs="Times New Roman"/>
        </w:rPr>
        <w:t>Αυτόνομη λ</w:t>
      </w:r>
      <w:r w:rsidRPr="00C23E32">
        <w:rPr>
          <w:rFonts w:ascii="Times New Roman" w:hAnsi="Times New Roman" w:cs="Times New Roman"/>
        </w:rPr>
        <w:t>ειτουργία, μέρη, κανόνες UCP 600 του ICC και πρακτικά ζητήματα</w:t>
      </w:r>
      <w:r w:rsidR="00CE268D" w:rsidRPr="00C23E32">
        <w:rPr>
          <w:rFonts w:ascii="Times New Roman" w:hAnsi="Times New Roman" w:cs="Times New Roman"/>
        </w:rPr>
        <w:t xml:space="preserve"> (συμπεριλαμβανομένων ζητημάτων διεθνούς δικαιοδοσίας και εφαρμοστέου δικαίου)</w:t>
      </w:r>
      <w:r w:rsidRPr="00C23E32">
        <w:rPr>
          <w:rFonts w:ascii="Times New Roman" w:hAnsi="Times New Roman" w:cs="Times New Roman"/>
        </w:rPr>
        <w:t>.</w:t>
      </w:r>
    </w:p>
    <w:p w14:paraId="1F982457" w14:textId="46BFA70F" w:rsidR="00FD7599" w:rsidRPr="00C23E32" w:rsidRDefault="00FD7599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Η εγγυητική επιστολή στις διεθνείς συναλλαγές: Νομική φύση, διακρίσεις (</w:t>
      </w:r>
      <w:r w:rsidR="004E20C9" w:rsidRPr="00C23E32">
        <w:rPr>
          <w:rFonts w:ascii="Times New Roman" w:hAnsi="Times New Roman" w:cs="Times New Roman"/>
        </w:rPr>
        <w:t xml:space="preserve">ιδίως </w:t>
      </w:r>
      <w:r w:rsidRPr="00C23E32">
        <w:rPr>
          <w:rFonts w:ascii="Times New Roman" w:hAnsi="Times New Roman" w:cs="Times New Roman"/>
        </w:rPr>
        <w:t>εγγυήσεις πρώτης ζήτησης)</w:t>
      </w:r>
      <w:r w:rsidR="00CE268D" w:rsidRPr="00C23E32">
        <w:rPr>
          <w:rFonts w:ascii="Times New Roman" w:hAnsi="Times New Roman" w:cs="Times New Roman"/>
        </w:rPr>
        <w:t xml:space="preserve">, </w:t>
      </w:r>
      <w:r w:rsidR="004E20C9" w:rsidRPr="00C23E32">
        <w:rPr>
          <w:rFonts w:ascii="Times New Roman" w:hAnsi="Times New Roman" w:cs="Times New Roman"/>
        </w:rPr>
        <w:t xml:space="preserve">αρχή αυτονομίας, </w:t>
      </w:r>
      <w:r w:rsidRPr="00C23E32">
        <w:rPr>
          <w:rFonts w:ascii="Times New Roman" w:hAnsi="Times New Roman" w:cs="Times New Roman"/>
        </w:rPr>
        <w:t>κανόνες URDG 758</w:t>
      </w:r>
      <w:r w:rsidR="004E20C9" w:rsidRPr="00C23E32">
        <w:rPr>
          <w:rFonts w:ascii="Times New Roman" w:hAnsi="Times New Roman" w:cs="Times New Roman"/>
        </w:rPr>
        <w:t xml:space="preserve"> και πρακτικά ζητήματα (συμπεριλαμβανομένων ζητημάτων διεθνούς δικαιοδοσίας και εφαρμοστέου δικαίου)</w:t>
      </w:r>
      <w:r w:rsidRPr="00C23E32">
        <w:rPr>
          <w:rFonts w:ascii="Times New Roman" w:hAnsi="Times New Roman" w:cs="Times New Roman"/>
        </w:rPr>
        <w:t>.</w:t>
      </w:r>
    </w:p>
    <w:p w14:paraId="2AB6D727" w14:textId="77777777" w:rsidR="00FD7599" w:rsidRPr="00C23E32" w:rsidRDefault="00FD7599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Factoring και forfeiting ως μέθοδοι χρηματοδότησης και εξασφάλισης διεθνών πωλήσεων: Συγκριτική ανάλυση, νομικό πλαίσιο και πρακτικά πλεονεκτήματα.</w:t>
      </w:r>
    </w:p>
    <w:p w14:paraId="486E309B" w14:textId="070873B6" w:rsidR="00040833" w:rsidRPr="00C23E32" w:rsidRDefault="00FD7599" w:rsidP="00C23E32">
      <w:pPr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C23E32">
        <w:rPr>
          <w:rFonts w:ascii="Times New Roman" w:hAnsi="Times New Roman" w:cs="Times New Roman"/>
        </w:rPr>
        <w:t>Η εμπράγματη ασφάλεια στις διεθνείς συναλλαγές χρηματοδότησης: Ζητήματα εφαρμοστέου δικαίου, αναγνώρισης αλλοδαπών εμπράγματων δικαιωμάτων και η προοπτική εναρμόνισης.</w:t>
      </w:r>
    </w:p>
    <w:sectPr w:rsidR="00040833" w:rsidRPr="00C23E3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111A5" w14:textId="77777777" w:rsidR="00197D00" w:rsidRDefault="00197D00" w:rsidP="007A41CC">
      <w:r>
        <w:separator/>
      </w:r>
    </w:p>
  </w:endnote>
  <w:endnote w:type="continuationSeparator" w:id="0">
    <w:p w14:paraId="3F0028D9" w14:textId="77777777" w:rsidR="00197D00" w:rsidRDefault="00197D00" w:rsidP="007A4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8646964"/>
      <w:docPartObj>
        <w:docPartGallery w:val="Page Numbers (Bottom of Page)"/>
        <w:docPartUnique/>
      </w:docPartObj>
    </w:sdtPr>
    <w:sdtEndPr/>
    <w:sdtContent>
      <w:p w14:paraId="526A7D90" w14:textId="2AFE7722" w:rsidR="007A41CC" w:rsidRDefault="007A41CC">
        <w:pPr>
          <w:pStyle w:val="af"/>
          <w:jc w:val="center"/>
        </w:pPr>
        <w: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]</w:t>
        </w:r>
      </w:p>
    </w:sdtContent>
  </w:sdt>
  <w:p w14:paraId="5FF525F0" w14:textId="77777777" w:rsidR="007A41CC" w:rsidRDefault="007A41C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C0DBB" w14:textId="77777777" w:rsidR="00197D00" w:rsidRDefault="00197D00" w:rsidP="007A41CC">
      <w:r>
        <w:separator/>
      </w:r>
    </w:p>
  </w:footnote>
  <w:footnote w:type="continuationSeparator" w:id="0">
    <w:p w14:paraId="1B929AB4" w14:textId="77777777" w:rsidR="00197D00" w:rsidRDefault="00197D00" w:rsidP="007A4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7230"/>
    <w:multiLevelType w:val="hybridMultilevel"/>
    <w:tmpl w:val="E886E3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B64C6"/>
    <w:multiLevelType w:val="multilevel"/>
    <w:tmpl w:val="758CFF9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274B09"/>
    <w:multiLevelType w:val="multilevel"/>
    <w:tmpl w:val="DCDEE2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9664E6"/>
    <w:multiLevelType w:val="multilevel"/>
    <w:tmpl w:val="DCDEE2C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8156F"/>
    <w:multiLevelType w:val="multilevel"/>
    <w:tmpl w:val="DCDEE2C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D51F6C"/>
    <w:multiLevelType w:val="multilevel"/>
    <w:tmpl w:val="E6A6F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2FF34702"/>
    <w:multiLevelType w:val="multilevel"/>
    <w:tmpl w:val="96B2A2F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5844CA"/>
    <w:multiLevelType w:val="multilevel"/>
    <w:tmpl w:val="0FCC7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43780AE6"/>
    <w:multiLevelType w:val="multilevel"/>
    <w:tmpl w:val="DCDEE2C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3E1BB8"/>
    <w:multiLevelType w:val="multilevel"/>
    <w:tmpl w:val="13D40AC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7F4CD9"/>
    <w:multiLevelType w:val="multilevel"/>
    <w:tmpl w:val="E6A6F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5DC81993"/>
    <w:multiLevelType w:val="multilevel"/>
    <w:tmpl w:val="8CFE6D5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595BD9"/>
    <w:multiLevelType w:val="multilevel"/>
    <w:tmpl w:val="C298C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BC22F6"/>
    <w:multiLevelType w:val="multilevel"/>
    <w:tmpl w:val="DCDEE2C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5189276">
    <w:abstractNumId w:val="10"/>
  </w:num>
  <w:num w:numId="2" w16cid:durableId="1928033159">
    <w:abstractNumId w:val="2"/>
  </w:num>
  <w:num w:numId="3" w16cid:durableId="1009259844">
    <w:abstractNumId w:val="11"/>
  </w:num>
  <w:num w:numId="4" w16cid:durableId="76173805">
    <w:abstractNumId w:val="1"/>
  </w:num>
  <w:num w:numId="5" w16cid:durableId="1067919804">
    <w:abstractNumId w:val="6"/>
  </w:num>
  <w:num w:numId="6" w16cid:durableId="1642225746">
    <w:abstractNumId w:val="9"/>
  </w:num>
  <w:num w:numId="7" w16cid:durableId="1220627216">
    <w:abstractNumId w:val="8"/>
  </w:num>
  <w:num w:numId="8" w16cid:durableId="262155289">
    <w:abstractNumId w:val="3"/>
  </w:num>
  <w:num w:numId="9" w16cid:durableId="1782795124">
    <w:abstractNumId w:val="13"/>
  </w:num>
  <w:num w:numId="10" w16cid:durableId="1822112862">
    <w:abstractNumId w:val="4"/>
  </w:num>
  <w:num w:numId="11" w16cid:durableId="725683233">
    <w:abstractNumId w:val="0"/>
  </w:num>
  <w:num w:numId="12" w16cid:durableId="1758092668">
    <w:abstractNumId w:val="12"/>
  </w:num>
  <w:num w:numId="13" w16cid:durableId="778569408">
    <w:abstractNumId w:val="7"/>
  </w:num>
  <w:num w:numId="14" w16cid:durableId="658391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99"/>
    <w:rsid w:val="00004133"/>
    <w:rsid w:val="00040833"/>
    <w:rsid w:val="000554B0"/>
    <w:rsid w:val="00087204"/>
    <w:rsid w:val="000927FC"/>
    <w:rsid w:val="000F7B5A"/>
    <w:rsid w:val="00122154"/>
    <w:rsid w:val="00197D00"/>
    <w:rsid w:val="0020606D"/>
    <w:rsid w:val="00213175"/>
    <w:rsid w:val="00217AED"/>
    <w:rsid w:val="002548D6"/>
    <w:rsid w:val="002B23E7"/>
    <w:rsid w:val="002C3BCA"/>
    <w:rsid w:val="00312390"/>
    <w:rsid w:val="00316370"/>
    <w:rsid w:val="003842FD"/>
    <w:rsid w:val="003A6B76"/>
    <w:rsid w:val="003D2DC8"/>
    <w:rsid w:val="0043764B"/>
    <w:rsid w:val="004437D2"/>
    <w:rsid w:val="00463438"/>
    <w:rsid w:val="004E20C9"/>
    <w:rsid w:val="004E4A50"/>
    <w:rsid w:val="004F613B"/>
    <w:rsid w:val="0052122C"/>
    <w:rsid w:val="00523201"/>
    <w:rsid w:val="00566E21"/>
    <w:rsid w:val="00590E56"/>
    <w:rsid w:val="005A054F"/>
    <w:rsid w:val="005A44A4"/>
    <w:rsid w:val="005C5217"/>
    <w:rsid w:val="005C5774"/>
    <w:rsid w:val="00681524"/>
    <w:rsid w:val="006919CC"/>
    <w:rsid w:val="006F7E11"/>
    <w:rsid w:val="0072331E"/>
    <w:rsid w:val="00771F21"/>
    <w:rsid w:val="007A41CC"/>
    <w:rsid w:val="007B459A"/>
    <w:rsid w:val="00856046"/>
    <w:rsid w:val="00934549"/>
    <w:rsid w:val="009B0E0A"/>
    <w:rsid w:val="009C7E5D"/>
    <w:rsid w:val="009E1B4E"/>
    <w:rsid w:val="009E7841"/>
    <w:rsid w:val="009F3D6A"/>
    <w:rsid w:val="00A1057D"/>
    <w:rsid w:val="00A20C65"/>
    <w:rsid w:val="00A46187"/>
    <w:rsid w:val="00A5269F"/>
    <w:rsid w:val="00A56632"/>
    <w:rsid w:val="00A72ECA"/>
    <w:rsid w:val="00AA1FA6"/>
    <w:rsid w:val="00AC7883"/>
    <w:rsid w:val="00B00439"/>
    <w:rsid w:val="00B10297"/>
    <w:rsid w:val="00B36606"/>
    <w:rsid w:val="00B455A5"/>
    <w:rsid w:val="00C05BC4"/>
    <w:rsid w:val="00C06DA8"/>
    <w:rsid w:val="00C23E32"/>
    <w:rsid w:val="00C32516"/>
    <w:rsid w:val="00C47D92"/>
    <w:rsid w:val="00C51D73"/>
    <w:rsid w:val="00C90331"/>
    <w:rsid w:val="00C97543"/>
    <w:rsid w:val="00CE268D"/>
    <w:rsid w:val="00CF5107"/>
    <w:rsid w:val="00D12E5B"/>
    <w:rsid w:val="00DF580C"/>
    <w:rsid w:val="00DF6FF9"/>
    <w:rsid w:val="00E71910"/>
    <w:rsid w:val="00E73751"/>
    <w:rsid w:val="00E7605A"/>
    <w:rsid w:val="00E96D0C"/>
    <w:rsid w:val="00F5493C"/>
    <w:rsid w:val="00FA66F5"/>
    <w:rsid w:val="00FB42E6"/>
    <w:rsid w:val="00FC14AB"/>
    <w:rsid w:val="00FD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F6B4B"/>
  <w15:chartTrackingRefBased/>
  <w15:docId w15:val="{70609E57-D0CB-EF49-98EE-247DA9D0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D7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D7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D7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D7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D7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D75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D75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D75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D75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D75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D75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D75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D759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D759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D759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D759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D759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D75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D75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D7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D75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D7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D75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D759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D759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D759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D7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D759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D7599"/>
    <w:rPr>
      <w:b/>
      <w:bCs/>
      <w:smallCaps/>
      <w:color w:val="0F4761" w:themeColor="accent1" w:themeShade="BF"/>
      <w:spacing w:val="5"/>
    </w:rPr>
  </w:style>
  <w:style w:type="character" w:styleId="aa">
    <w:name w:val="Strong"/>
    <w:basedOn w:val="a0"/>
    <w:uiPriority w:val="22"/>
    <w:qFormat/>
    <w:rsid w:val="00FD7599"/>
    <w:rPr>
      <w:b/>
      <w:bCs/>
    </w:rPr>
  </w:style>
  <w:style w:type="character" w:styleId="ab">
    <w:name w:val="annotation reference"/>
    <w:basedOn w:val="a0"/>
    <w:uiPriority w:val="99"/>
    <w:semiHidden/>
    <w:unhideWhenUsed/>
    <w:rsid w:val="00566E21"/>
    <w:rPr>
      <w:sz w:val="16"/>
      <w:szCs w:val="16"/>
    </w:rPr>
  </w:style>
  <w:style w:type="paragraph" w:styleId="ac">
    <w:name w:val="annotation text"/>
    <w:basedOn w:val="a"/>
    <w:link w:val="Char3"/>
    <w:uiPriority w:val="99"/>
    <w:unhideWhenUsed/>
    <w:rsid w:val="00566E21"/>
    <w:rPr>
      <w:sz w:val="20"/>
      <w:szCs w:val="20"/>
    </w:rPr>
  </w:style>
  <w:style w:type="character" w:customStyle="1" w:styleId="Char3">
    <w:name w:val="Κείμενο σχολίου Char"/>
    <w:basedOn w:val="a0"/>
    <w:link w:val="ac"/>
    <w:uiPriority w:val="99"/>
    <w:rsid w:val="00566E21"/>
    <w:rPr>
      <w:sz w:val="20"/>
      <w:szCs w:val="20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566E21"/>
    <w:rPr>
      <w:b/>
      <w:bCs/>
    </w:rPr>
  </w:style>
  <w:style w:type="character" w:customStyle="1" w:styleId="Char4">
    <w:name w:val="Θέμα σχολίου Char"/>
    <w:basedOn w:val="Char3"/>
    <w:link w:val="ad"/>
    <w:uiPriority w:val="99"/>
    <w:semiHidden/>
    <w:rsid w:val="00566E21"/>
    <w:rPr>
      <w:b/>
      <w:bCs/>
      <w:sz w:val="20"/>
      <w:szCs w:val="20"/>
    </w:rPr>
  </w:style>
  <w:style w:type="paragraph" w:styleId="ae">
    <w:name w:val="header"/>
    <w:basedOn w:val="a"/>
    <w:link w:val="Char5"/>
    <w:uiPriority w:val="99"/>
    <w:unhideWhenUsed/>
    <w:rsid w:val="007A41CC"/>
    <w:pPr>
      <w:tabs>
        <w:tab w:val="center" w:pos="4153"/>
        <w:tab w:val="right" w:pos="8306"/>
      </w:tabs>
    </w:pPr>
  </w:style>
  <w:style w:type="character" w:customStyle="1" w:styleId="Char5">
    <w:name w:val="Κεφαλίδα Char"/>
    <w:basedOn w:val="a0"/>
    <w:link w:val="ae"/>
    <w:uiPriority w:val="99"/>
    <w:rsid w:val="007A41CC"/>
  </w:style>
  <w:style w:type="paragraph" w:styleId="af">
    <w:name w:val="footer"/>
    <w:basedOn w:val="a"/>
    <w:link w:val="Char6"/>
    <w:uiPriority w:val="99"/>
    <w:unhideWhenUsed/>
    <w:rsid w:val="007A41CC"/>
    <w:pPr>
      <w:tabs>
        <w:tab w:val="center" w:pos="4153"/>
        <w:tab w:val="right" w:pos="8306"/>
      </w:tabs>
    </w:pPr>
  </w:style>
  <w:style w:type="character" w:customStyle="1" w:styleId="Char6">
    <w:name w:val="Υποσέλιδο Char"/>
    <w:basedOn w:val="a0"/>
    <w:link w:val="af"/>
    <w:uiPriority w:val="99"/>
    <w:rsid w:val="007A4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927</Words>
  <Characters>5011</Characters>
  <Application>Microsoft Office Word</Application>
  <DocSecurity>0</DocSecurity>
  <Lines>41</Lines>
  <Paragraphs>11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Phaedon Varesis</dc:creator>
  <cp:keywords/>
  <dc:description/>
  <cp:lastModifiedBy>Chrysafo Tsouka</cp:lastModifiedBy>
  <cp:revision>2</cp:revision>
  <dcterms:created xsi:type="dcterms:W3CDTF">2026-03-10T04:00:00Z</dcterms:created>
  <dcterms:modified xsi:type="dcterms:W3CDTF">2026-03-10T04:00:00Z</dcterms:modified>
</cp:coreProperties>
</file>