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04F22" w14:textId="77777777" w:rsidR="008E3D35" w:rsidRPr="008E3D35" w:rsidRDefault="008E3D35" w:rsidP="008E3D35">
      <w:pPr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l-GR"/>
          <w14:ligatures w14:val="none"/>
        </w:rPr>
      </w:pPr>
      <w:r w:rsidRPr="008E3D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l-GR"/>
          <w14:ligatures w14:val="none"/>
        </w:rPr>
        <w:t>Ενδεικτική Αρθρογραφία</w:t>
      </w:r>
    </w:p>
    <w:p w14:paraId="2D78905D" w14:textId="77777777" w:rsidR="008E3D35" w:rsidRPr="008E3D35" w:rsidRDefault="008E3D35" w:rsidP="008E3D35">
      <w:pPr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l-GR"/>
          <w14:ligatures w14:val="none"/>
        </w:rPr>
      </w:pPr>
      <w:r w:rsidRPr="008E3D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l-GR"/>
          <w14:ligatures w14:val="none"/>
        </w:rPr>
        <w:t>Ελληνική</w:t>
      </w:r>
    </w:p>
    <w:p w14:paraId="0546FE6E" w14:textId="77777777" w:rsidR="008E3D35" w:rsidRPr="008E3D35" w:rsidRDefault="008E3D35" w:rsidP="008E3D35">
      <w:pPr>
        <w:numPr>
          <w:ilvl w:val="0"/>
          <w:numId w:val="2"/>
        </w:numPr>
        <w:spacing w:before="100" w:beforeAutospacing="1" w:after="100" w:afterAutospacing="1" w:line="276" w:lineRule="auto"/>
        <w:ind w:right="-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l-GR"/>
          <w14:ligatures w14:val="none"/>
        </w:rPr>
      </w:pPr>
      <w:r w:rsidRPr="008E3D3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l-GR"/>
          <w14:ligatures w14:val="none"/>
        </w:rPr>
        <w:t xml:space="preserve"> </w:t>
      </w:r>
      <w:proofErr w:type="spellStart"/>
      <w:r w:rsidRPr="008E3D35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l-GR"/>
          <w14:ligatures w14:val="none"/>
        </w:rPr>
        <w:t>Ακριβοπούλου</w:t>
      </w:r>
      <w:proofErr w:type="spellEnd"/>
      <w:r w:rsidRPr="008E3D35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l-GR"/>
          <w14:ligatures w14:val="none"/>
        </w:rPr>
        <w:t xml:space="preserve"> </w:t>
      </w:r>
      <w:r w:rsidRPr="008E3D35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X</w:t>
      </w:r>
      <w:r w:rsidRPr="008E3D35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l-GR"/>
          <w14:ligatures w14:val="none"/>
        </w:rPr>
        <w:t>.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, «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Το δικαίωμα προστασίας έναντι 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της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 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κλιματικής αλλαγής»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, Περ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ιβάλλον και 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Δ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ίκαιο 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2/2024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, σελ. 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192-199</w:t>
      </w:r>
    </w:p>
    <w:p w14:paraId="15A4AA47" w14:textId="77777777" w:rsidR="008E3D35" w:rsidRDefault="008E3D35" w:rsidP="008E3D3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</w:pPr>
      <w:r w:rsidRPr="008E3D35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l-GR"/>
          <w14:ligatures w14:val="none"/>
        </w:rPr>
        <w:t>Αυγερινοπούλου Δ.Θ.,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 «Η μετριοπαθής συμφωνία των 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Παρισίων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 για την κλιματική αλλαγή», Νόμος και Φύση, 2018, 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https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://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nomosphysis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.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org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.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gr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/17392/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i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metriopathis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symfonia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ton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parision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gia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tin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klimatiki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-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allagi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/ #_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ftnref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8 </w:t>
      </w:r>
    </w:p>
    <w:p w14:paraId="52049E2F" w14:textId="39090506" w:rsidR="008E3D35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l-GR"/>
        </w:rPr>
      </w:pPr>
      <w:r w:rsidRPr="008E3D35">
        <w:rPr>
          <w:rFonts w:asciiTheme="majorBidi" w:hAnsiTheme="majorBidi" w:cstheme="majorBidi"/>
          <w:i/>
          <w:iCs/>
          <w:sz w:val="28"/>
          <w:szCs w:val="28"/>
          <w:lang w:val="el-GR"/>
        </w:rPr>
        <w:t>Μητσιοπούλου Σ</w:t>
      </w:r>
      <w:r>
        <w:rPr>
          <w:rFonts w:asciiTheme="majorBidi" w:hAnsiTheme="majorBidi" w:cstheme="majorBidi"/>
          <w:i/>
          <w:iCs/>
          <w:sz w:val="28"/>
          <w:szCs w:val="28"/>
          <w:lang w:val="el-GR"/>
        </w:rPr>
        <w:t>.</w:t>
      </w:r>
      <w:r>
        <w:rPr>
          <w:rFonts w:asciiTheme="majorBidi" w:hAnsiTheme="majorBidi" w:cstheme="majorBidi"/>
          <w:sz w:val="28"/>
          <w:szCs w:val="28"/>
          <w:lang w:val="el-GR"/>
        </w:rPr>
        <w:t>,</w:t>
      </w:r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 «Αστική ευθύνη του κράτους για ζημία από την κλιματική αλλαγή», Περιβάλλον και Δίκαιο, 4/2022, σελ.525-532</w:t>
      </w:r>
    </w:p>
    <w:p w14:paraId="51BC537E" w14:textId="77777777" w:rsidR="008E3D35" w:rsidRPr="0030108E" w:rsidRDefault="008E3D35" w:rsidP="008E3D35">
      <w:pPr>
        <w:pStyle w:val="ListParagraph"/>
        <w:jc w:val="both"/>
        <w:rPr>
          <w:rFonts w:asciiTheme="majorBidi" w:hAnsiTheme="majorBidi" w:cstheme="majorBidi"/>
          <w:sz w:val="28"/>
          <w:szCs w:val="28"/>
          <w:lang w:val="el-GR"/>
        </w:rPr>
      </w:pPr>
    </w:p>
    <w:p w14:paraId="51B26AA8" w14:textId="7095648B" w:rsidR="008E3D35" w:rsidRDefault="008E3D35" w:rsidP="008E3D35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</w:pP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 </w:t>
      </w:r>
      <w:r w:rsidRPr="008E3D35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el-GR"/>
          <w14:ligatures w14:val="none"/>
        </w:rPr>
        <w:t>Μπουκουβάλα Β.</w:t>
      </w:r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, «Θεμελιώδη δικαιώματα και φυσικές καταστροφές υπό το πρίσμα των κλιματικών διαφορών», </w:t>
      </w:r>
      <w:proofErr w:type="spellStart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>ΔιΔικ</w:t>
      </w:r>
      <w:proofErr w:type="spellEnd"/>
      <w:r w:rsidRPr="008E3D35">
        <w:rPr>
          <w:rFonts w:ascii="Times New Roman" w:eastAsia="Calibri" w:hAnsi="Times New Roman" w:cs="Times New Roman"/>
          <w:kern w:val="0"/>
          <w:sz w:val="28"/>
          <w:szCs w:val="28"/>
          <w:lang w:val="el-GR"/>
          <w14:ligatures w14:val="none"/>
        </w:rPr>
        <w:t xml:space="preserve"> 1/2020, σ. 160-168</w:t>
      </w:r>
    </w:p>
    <w:p w14:paraId="42E2DE3F" w14:textId="77777777" w:rsidR="008E3D35" w:rsidRPr="008E3D35" w:rsidRDefault="008E3D35" w:rsidP="008E3D35">
      <w:pPr>
        <w:pStyle w:val="ListParagraph"/>
        <w:rPr>
          <w:rFonts w:asciiTheme="majorBidi" w:hAnsiTheme="majorBidi" w:cstheme="majorBidi"/>
          <w:i/>
          <w:iCs/>
          <w:sz w:val="28"/>
          <w:szCs w:val="28"/>
          <w:lang w:val="el-GR"/>
        </w:rPr>
      </w:pPr>
    </w:p>
    <w:p w14:paraId="4EED6E91" w14:textId="37D00045" w:rsidR="008E3D35" w:rsidRPr="008E3D35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8"/>
          <w:szCs w:val="28"/>
          <w:lang w:val="el-GR"/>
        </w:rPr>
      </w:pPr>
      <w:r w:rsidRPr="008E3D35">
        <w:rPr>
          <w:rFonts w:asciiTheme="majorBidi" w:hAnsiTheme="majorBidi" w:cstheme="majorBidi"/>
          <w:i/>
          <w:iCs/>
          <w:sz w:val="28"/>
          <w:szCs w:val="28"/>
          <w:lang w:val="el-GR"/>
        </w:rPr>
        <w:t xml:space="preserve">Παπαγεωργίου Μιχαήλ, «Η δικονομία του ΕΔΔΑ εν εξελίξει για τη διασφάλιση των δικαιωμάτων μέσα από τις διαπολιτειακές δεσμεύσεις ενός κοινού δημοσίου συμφέροντος. Κλιματική Αλλαγή, Κλιματικός </w:t>
      </w:r>
      <w:proofErr w:type="spellStart"/>
      <w:r w:rsidRPr="008E3D35">
        <w:rPr>
          <w:rFonts w:asciiTheme="majorBidi" w:hAnsiTheme="majorBidi" w:cstheme="majorBidi"/>
          <w:i/>
          <w:iCs/>
          <w:sz w:val="28"/>
          <w:szCs w:val="28"/>
          <w:lang w:val="el-GR"/>
        </w:rPr>
        <w:t>Δικαιωματισμός</w:t>
      </w:r>
      <w:proofErr w:type="spellEnd"/>
      <w:r w:rsidRPr="008E3D35">
        <w:rPr>
          <w:rFonts w:asciiTheme="majorBidi" w:hAnsiTheme="majorBidi" w:cstheme="majorBidi"/>
          <w:i/>
          <w:iCs/>
          <w:sz w:val="28"/>
          <w:szCs w:val="28"/>
          <w:lang w:val="el-GR"/>
        </w:rPr>
        <w:t xml:space="preserve"> και Κλιματική Διακυβερνητική προστασία.», Περιβάλλον και Δίκαιο, 4/2022, σελ.533-541</w:t>
      </w:r>
    </w:p>
    <w:p w14:paraId="269D49A2" w14:textId="77777777" w:rsidR="008E3D35" w:rsidRPr="0030108E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l-GR"/>
        </w:rPr>
      </w:pPr>
      <w:proofErr w:type="spellStart"/>
      <w:r w:rsidRPr="008E3D35">
        <w:rPr>
          <w:rFonts w:asciiTheme="majorBidi" w:hAnsiTheme="majorBidi" w:cstheme="majorBidi"/>
          <w:i/>
          <w:iCs/>
          <w:sz w:val="28"/>
          <w:szCs w:val="28"/>
          <w:lang w:val="el-GR"/>
        </w:rPr>
        <w:t>Σακελλαροπούλου</w:t>
      </w:r>
      <w:proofErr w:type="spellEnd"/>
      <w:r w:rsidRPr="008E3D35">
        <w:rPr>
          <w:rFonts w:asciiTheme="majorBidi" w:hAnsiTheme="majorBidi" w:cstheme="majorBidi"/>
          <w:i/>
          <w:iCs/>
          <w:sz w:val="28"/>
          <w:szCs w:val="28"/>
          <w:lang w:val="el-GR"/>
        </w:rPr>
        <w:t xml:space="preserve"> Κ.</w:t>
      </w:r>
      <w:r w:rsidRPr="0030108E">
        <w:rPr>
          <w:rFonts w:asciiTheme="majorBidi" w:hAnsiTheme="majorBidi" w:cstheme="majorBidi"/>
          <w:sz w:val="28"/>
          <w:szCs w:val="28"/>
          <w:lang w:val="el-GR"/>
        </w:rPr>
        <w:t>, «Η κλιματική κρίση και ο ρόλος του δικαστή» σε: Περιβαλλοντικές προκλήσεις στον 21</w:t>
      </w:r>
      <w:r w:rsidRPr="0030108E">
        <w:rPr>
          <w:rFonts w:asciiTheme="majorBidi" w:hAnsiTheme="majorBidi" w:cstheme="majorBidi"/>
          <w:sz w:val="28"/>
          <w:szCs w:val="28"/>
          <w:vertAlign w:val="superscript"/>
          <w:lang w:val="el-GR"/>
        </w:rPr>
        <w:t>ο</w:t>
      </w:r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 αιώνα (Ένωση Διοικητικών Δικαστών/</w:t>
      </w:r>
      <w:proofErr w:type="spellStart"/>
      <w:r w:rsidRPr="0030108E">
        <w:rPr>
          <w:rFonts w:asciiTheme="majorBidi" w:hAnsiTheme="majorBidi" w:cstheme="majorBidi"/>
          <w:sz w:val="28"/>
          <w:szCs w:val="28"/>
          <w:lang w:val="el-GR"/>
        </w:rPr>
        <w:t>Χαροκόπειο</w:t>
      </w:r>
      <w:proofErr w:type="spellEnd"/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 Πανεπιστήμιο/Πολυτεχνείο Κρήτης/Δικηγορικός Σύλλογος Χανίων), </w:t>
      </w:r>
      <w:proofErr w:type="spellStart"/>
      <w:r w:rsidRPr="0030108E">
        <w:rPr>
          <w:rFonts w:asciiTheme="majorBidi" w:hAnsiTheme="majorBidi" w:cstheme="majorBidi"/>
          <w:sz w:val="28"/>
          <w:szCs w:val="28"/>
          <w:lang w:val="el-GR"/>
        </w:rPr>
        <w:t>Σάκκουλας</w:t>
      </w:r>
      <w:proofErr w:type="spellEnd"/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, 2020, σελ. 1-12 </w:t>
      </w:r>
    </w:p>
    <w:p w14:paraId="146B5332" w14:textId="77777777" w:rsidR="008E3D35" w:rsidRPr="0079760B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sz w:val="28"/>
          <w:szCs w:val="28"/>
          <w:lang w:val="el-GR"/>
        </w:rPr>
      </w:pPr>
      <w:proofErr w:type="spellStart"/>
      <w:r w:rsidRPr="0030108E">
        <w:rPr>
          <w:rFonts w:asciiTheme="majorBidi" w:hAnsiTheme="majorBidi" w:cstheme="majorBidi"/>
          <w:i/>
          <w:iCs/>
          <w:sz w:val="28"/>
          <w:szCs w:val="28"/>
          <w:lang w:val="el-GR"/>
        </w:rPr>
        <w:t>Τσακαλογιάννη</w:t>
      </w:r>
      <w:proofErr w:type="spellEnd"/>
      <w:r w:rsidRPr="0030108E">
        <w:rPr>
          <w:rFonts w:asciiTheme="majorBidi" w:hAnsiTheme="majorBidi" w:cstheme="majorBidi"/>
          <w:i/>
          <w:iCs/>
          <w:sz w:val="28"/>
          <w:szCs w:val="28"/>
          <w:lang w:val="el-GR"/>
        </w:rPr>
        <w:t xml:space="preserve"> Ι.</w:t>
      </w:r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, Η κλιματική αλλαγή ενώπιον του ΕΔΔΑ: σκέψεις σε συνέχεια της ιστορικής (;) απόφασης στην υπόθεση </w:t>
      </w:r>
      <w:r w:rsidRPr="0030108E">
        <w:rPr>
          <w:rFonts w:asciiTheme="majorBidi" w:hAnsiTheme="majorBidi" w:cstheme="majorBidi"/>
          <w:sz w:val="28"/>
          <w:szCs w:val="28"/>
        </w:rPr>
        <w:t>Verein</w:t>
      </w:r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proofErr w:type="spellStart"/>
      <w:r w:rsidRPr="0030108E">
        <w:rPr>
          <w:rFonts w:asciiTheme="majorBidi" w:hAnsiTheme="majorBidi" w:cstheme="majorBidi"/>
          <w:sz w:val="28"/>
          <w:szCs w:val="28"/>
        </w:rPr>
        <w:t>KlimaSeniorinnen</w:t>
      </w:r>
      <w:proofErr w:type="spellEnd"/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Pr="0030108E">
        <w:rPr>
          <w:rFonts w:asciiTheme="majorBidi" w:hAnsiTheme="majorBidi" w:cstheme="majorBidi"/>
          <w:sz w:val="28"/>
          <w:szCs w:val="28"/>
        </w:rPr>
        <w:t>Schweiz</w:t>
      </w:r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proofErr w:type="spellStart"/>
      <w:r w:rsidRPr="0030108E">
        <w:rPr>
          <w:rFonts w:asciiTheme="majorBidi" w:hAnsiTheme="majorBidi" w:cstheme="majorBidi"/>
          <w:sz w:val="28"/>
          <w:szCs w:val="28"/>
          <w:lang w:val="el-GR"/>
        </w:rPr>
        <w:t>κλπ</w:t>
      </w:r>
      <w:proofErr w:type="spellEnd"/>
      <w:r w:rsidRPr="0030108E">
        <w:rPr>
          <w:rFonts w:asciiTheme="majorBidi" w:hAnsiTheme="majorBidi" w:cstheme="majorBidi"/>
          <w:sz w:val="28"/>
          <w:szCs w:val="28"/>
          <w:lang w:val="el-GR"/>
        </w:rPr>
        <w:t xml:space="preserve">  κατά Ελβετίας, Περιβάλλον και Δίκαιο 2/2024, σελ.200-210</w:t>
      </w:r>
    </w:p>
    <w:p w14:paraId="74636FA4" w14:textId="77777777" w:rsidR="008E3D35" w:rsidRPr="0030108E" w:rsidRDefault="008E3D35" w:rsidP="008E3D35">
      <w:pPr>
        <w:pStyle w:val="ListParagraph"/>
        <w:jc w:val="both"/>
        <w:rPr>
          <w:rFonts w:asciiTheme="majorBidi" w:hAnsiTheme="majorBidi" w:cstheme="majorBidi"/>
          <w:sz w:val="28"/>
          <w:szCs w:val="28"/>
          <w:lang w:val="el-GR"/>
        </w:rPr>
      </w:pPr>
    </w:p>
    <w:p w14:paraId="25BED58D" w14:textId="77777777" w:rsidR="008E3D35" w:rsidRPr="0079760B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l-GR"/>
        </w:rPr>
      </w:pPr>
      <w:proofErr w:type="spellStart"/>
      <w:r w:rsidRPr="0079760B">
        <w:rPr>
          <w:rFonts w:asciiTheme="majorBidi" w:hAnsiTheme="majorBidi" w:cstheme="majorBidi"/>
          <w:i/>
          <w:iCs/>
          <w:sz w:val="28"/>
          <w:szCs w:val="28"/>
          <w:lang w:val="el-GR"/>
        </w:rPr>
        <w:t>Τσοκανάς</w:t>
      </w:r>
      <w:proofErr w:type="spellEnd"/>
      <w:r w:rsidRPr="0079760B">
        <w:rPr>
          <w:rFonts w:asciiTheme="majorBidi" w:hAnsiTheme="majorBidi" w:cstheme="majorBidi"/>
          <w:i/>
          <w:iCs/>
          <w:sz w:val="28"/>
          <w:szCs w:val="28"/>
          <w:lang w:val="el-GR"/>
        </w:rPr>
        <w:t xml:space="preserve"> Ν.,</w:t>
      </w:r>
      <w:r w:rsidRPr="0079760B">
        <w:rPr>
          <w:rFonts w:asciiTheme="majorBidi" w:hAnsiTheme="majorBidi" w:cstheme="majorBidi"/>
          <w:sz w:val="28"/>
          <w:szCs w:val="28"/>
          <w:lang w:val="el-GR"/>
        </w:rPr>
        <w:t xml:space="preserve"> «Η δικαστική αντιμετώπιση των φυσικών καταστροφών που οφείλονται στην κλιματική αλλαγή σε ΗΠΑ και Ευρώπη», </w:t>
      </w:r>
      <w:proofErr w:type="spellStart"/>
      <w:r w:rsidRPr="0079760B">
        <w:rPr>
          <w:rFonts w:asciiTheme="majorBidi" w:hAnsiTheme="majorBidi" w:cstheme="majorBidi"/>
          <w:sz w:val="28"/>
          <w:szCs w:val="28"/>
          <w:lang w:val="el-GR"/>
        </w:rPr>
        <w:t>ΔιΔικ</w:t>
      </w:r>
      <w:proofErr w:type="spellEnd"/>
      <w:r w:rsidRPr="0079760B">
        <w:rPr>
          <w:rFonts w:asciiTheme="majorBidi" w:hAnsiTheme="majorBidi" w:cstheme="majorBidi"/>
          <w:sz w:val="28"/>
          <w:szCs w:val="28"/>
          <w:lang w:val="el-GR"/>
        </w:rPr>
        <w:t xml:space="preserve"> 1/2020, σ.</w:t>
      </w:r>
      <w:r w:rsidRPr="0079760B">
        <w:rPr>
          <w:rFonts w:asciiTheme="majorBidi" w:hAnsiTheme="majorBidi" w:cstheme="majorBidi"/>
          <w:sz w:val="28"/>
          <w:szCs w:val="28"/>
          <w:lang w:val="el-GR"/>
        </w:rPr>
        <w:t xml:space="preserve"> </w:t>
      </w:r>
      <w:r w:rsidRPr="0079760B">
        <w:rPr>
          <w:rFonts w:asciiTheme="majorBidi" w:hAnsiTheme="majorBidi" w:cstheme="majorBidi"/>
          <w:sz w:val="28"/>
          <w:szCs w:val="28"/>
          <w:lang w:val="el-GR"/>
        </w:rPr>
        <w:t>92-109</w:t>
      </w:r>
    </w:p>
    <w:p w14:paraId="55FAC6B7" w14:textId="13208F8C" w:rsidR="008E3D35" w:rsidRPr="002340DE" w:rsidRDefault="008E3D35" w:rsidP="008E3D35">
      <w:pPr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E3D35">
        <w:rPr>
          <w:rFonts w:asciiTheme="majorBidi" w:hAnsiTheme="majorBidi" w:cstheme="majorBidi"/>
          <w:b/>
          <w:bCs/>
          <w:sz w:val="28"/>
          <w:szCs w:val="28"/>
          <w:lang w:val="el-GR"/>
        </w:rPr>
        <w:t>Ξενόγλωσση</w:t>
      </w:r>
    </w:p>
    <w:p w14:paraId="10A6500C" w14:textId="77777777" w:rsidR="008E3D35" w:rsidRPr="008E3D35" w:rsidRDefault="008E3D35" w:rsidP="008E3D35">
      <w:pPr>
        <w:ind w:left="36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8E3D35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Busson B.  « The Action for Compensation for moral damage suffered by environmental protection </w:t>
      </w:r>
      <w:proofErr w:type="spellStart"/>
      <w:proofErr w:type="gramStart"/>
      <w:r w:rsidRPr="008E3D35">
        <w:rPr>
          <w:rFonts w:asciiTheme="majorBidi" w:hAnsiTheme="majorBidi" w:cstheme="majorBidi"/>
          <w:i/>
          <w:iCs/>
          <w:sz w:val="28"/>
          <w:szCs w:val="28"/>
          <w:lang w:val="en-GB"/>
        </w:rPr>
        <w:t>assosiations</w:t>
      </w:r>
      <w:proofErr w:type="spellEnd"/>
      <w:r w:rsidRPr="008E3D35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 before</w:t>
      </w:r>
      <w:proofErr w:type="gramEnd"/>
      <w:r w:rsidRPr="008E3D35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the administrative judge (EC judgement, 30 March 2015, ASPAS, no 375144 » AJDA, 2015, p. 1754 onward</w:t>
      </w:r>
    </w:p>
    <w:p w14:paraId="57598F9C" w14:textId="77777777" w:rsidR="008E3D35" w:rsidRPr="008E3D35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</w:pPr>
      <w:proofErr w:type="spellStart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lastRenderedPageBreak/>
        <w:t>Cournil</w:t>
      </w:r>
      <w:proofErr w:type="spellEnd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 xml:space="preserve"> C. et Fleury </w:t>
      </w:r>
      <w:proofErr w:type="gramStart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M. ,</w:t>
      </w:r>
      <w:proofErr w:type="gramEnd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 xml:space="preserve">  « De « l’ Affaire du siècle » au « casse du siècle » ? Quand le climat pénètre avec fracas le droit de la responsabilité administrative » La Revue des Droits de l’homme, février 2021, </w:t>
      </w:r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el-GR"/>
        </w:rPr>
        <w:t>διαθέσιμο</w:t>
      </w:r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 xml:space="preserve"> </w:t>
      </w:r>
      <w:proofErr w:type="gramStart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el-GR"/>
        </w:rPr>
        <w:t>σε</w:t>
      </w:r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:</w:t>
      </w:r>
      <w:proofErr w:type="gramEnd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 xml:space="preserve"> </w:t>
      </w:r>
      <w:hyperlink r:id="rId7" w:history="1">
        <w:r w:rsidRPr="008E3D35">
          <w:rPr>
            <w:rStyle w:val="Hyperlink"/>
            <w:rFonts w:asciiTheme="majorBidi" w:hAnsiTheme="majorBidi" w:cstheme="majorBidi"/>
            <w:i/>
            <w:iCs/>
            <w:sz w:val="28"/>
            <w:szCs w:val="28"/>
            <w:shd w:val="clear" w:color="auto" w:fill="FFFFFF"/>
            <w:lang w:val="fr-FR"/>
          </w:rPr>
          <w:t>https://doi.org/10.4000/revdh.11141</w:t>
        </w:r>
      </w:hyperlink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 xml:space="preserve"> </w:t>
      </w:r>
    </w:p>
    <w:p w14:paraId="36FF3E63" w14:textId="77777777" w:rsidR="008E3D35" w:rsidRPr="00170D4C" w:rsidRDefault="008E3D35" w:rsidP="008E3D35">
      <w:pPr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</w:pPr>
      <w:r w:rsidRPr="00170D4C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 xml:space="preserve">Martin G., « </w:t>
      </w:r>
      <w:r w:rsidRPr="00170D4C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Réflexions sur la d</w:t>
      </w:r>
      <w:r w:rsidRPr="00170D4C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éfinition du dommage a l’environnement : le dommage écologique « pur »</w:t>
      </w:r>
      <w:r w:rsidRPr="00170D4C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 »</w:t>
      </w:r>
      <w:r w:rsidRPr="00170D4C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, in Droit et environnement. Propos pluridisciplinaire sur un droit en construction, PUAM, 1995</w:t>
      </w:r>
    </w:p>
    <w:p w14:paraId="448E96D0" w14:textId="77777777" w:rsidR="008E3D35" w:rsidRPr="00170D4C" w:rsidRDefault="008E3D35" w:rsidP="008E3D35">
      <w:pPr>
        <w:numPr>
          <w:ilvl w:val="0"/>
          <w:numId w:val="1"/>
        </w:numPr>
        <w:jc w:val="both"/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en-GB"/>
        </w:rPr>
      </w:pPr>
      <w:r w:rsidRPr="00170D4C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en-GB"/>
        </w:rPr>
        <w:t>Peel J., « Issues in climate change litigation», Climate change governance: policy and litigation in a multi-level system, Carbon and Climate Law Review, Vol. 5, no 1, 2011, p.16-17.</w:t>
      </w:r>
    </w:p>
    <w:p w14:paraId="2D3C771D" w14:textId="77777777" w:rsidR="008E3D35" w:rsidRPr="008E3D35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</w:pPr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Torre-Schaub M(</w:t>
      </w:r>
      <w:proofErr w:type="spellStart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dir</w:t>
      </w:r>
      <w:proofErr w:type="spellEnd"/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.),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 xml:space="preserve"> Les dynamiques du contentieux climatique Usages et mobilisations du droit pour la case climatique- Rapport final de recherche, décembre 2019, 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el-GR"/>
        </w:rPr>
        <w:t>σ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 xml:space="preserve">. 244, 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el-GR"/>
        </w:rPr>
        <w:t>διαθέσιμο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 xml:space="preserve"> </w:t>
      </w:r>
      <w:proofErr w:type="gramStart"/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el-GR"/>
        </w:rPr>
        <w:t>σε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>:</w:t>
      </w:r>
      <w:proofErr w:type="gramEnd"/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 xml:space="preserve"> </w:t>
      </w:r>
      <w:hyperlink r:id="rId8" w:history="1">
        <w:r w:rsidRPr="0030108E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  <w:lang w:val="fr-FR"/>
          </w:rPr>
          <w:t>http://www.gip-recerche-justice.fr/wp-content/uploads/2020/01/17.05-RF-contentieux-climatiques.pdf</w:t>
        </w:r>
      </w:hyperlink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 xml:space="preserve"> </w:t>
      </w:r>
    </w:p>
    <w:p w14:paraId="0CB3A979" w14:textId="77777777" w:rsidR="008E3D35" w:rsidRPr="0030108E" w:rsidRDefault="008E3D35" w:rsidP="008E3D35">
      <w:pPr>
        <w:pStyle w:val="ListParagraph"/>
        <w:jc w:val="both"/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</w:pPr>
    </w:p>
    <w:p w14:paraId="5D691A56" w14:textId="77777777" w:rsidR="008E3D35" w:rsidRPr="0030108E" w:rsidRDefault="008E3D35" w:rsidP="008E3D3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</w:pPr>
      <w:r w:rsidRPr="008E3D35">
        <w:rPr>
          <w:rFonts w:asciiTheme="majorBidi" w:hAnsiTheme="majorBidi" w:cstheme="majorBidi"/>
          <w:i/>
          <w:iCs/>
          <w:color w:val="202122"/>
          <w:sz w:val="28"/>
          <w:szCs w:val="28"/>
          <w:shd w:val="clear" w:color="auto" w:fill="FFFFFF"/>
          <w:lang w:val="fr-FR"/>
        </w:rPr>
        <w:t>Torre-Schaub M,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 xml:space="preserve"> « La construction d’une responsabilité climatique au prétoire : vers un changement de paradigme de la responsabilité climatique ?» Dossier Energie-Environnement-Infrastructures no 8-9, LexisNexis, aout- septembre 2018, 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el-GR"/>
        </w:rPr>
        <w:t>σ</w:t>
      </w:r>
      <w:r w:rsidRPr="0030108E">
        <w:rPr>
          <w:rFonts w:asciiTheme="majorBidi" w:hAnsiTheme="majorBidi" w:cstheme="majorBidi"/>
          <w:color w:val="202122"/>
          <w:sz w:val="28"/>
          <w:szCs w:val="28"/>
          <w:shd w:val="clear" w:color="auto" w:fill="FFFFFF"/>
          <w:lang w:val="fr-FR"/>
        </w:rPr>
        <w:t>. 28-33</w:t>
      </w:r>
    </w:p>
    <w:p w14:paraId="6AFB3502" w14:textId="77777777" w:rsidR="00E643DF" w:rsidRPr="008E3D35" w:rsidRDefault="00E643DF">
      <w:pPr>
        <w:rPr>
          <w:lang w:val="fr-FR"/>
        </w:rPr>
      </w:pPr>
    </w:p>
    <w:sectPr w:rsidR="00E643DF" w:rsidRPr="008E3D3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E7086" w14:textId="77777777" w:rsidR="008E3D35" w:rsidRDefault="008E3D35" w:rsidP="008E3D35">
      <w:pPr>
        <w:spacing w:after="0" w:line="240" w:lineRule="auto"/>
      </w:pPr>
      <w:r>
        <w:separator/>
      </w:r>
    </w:p>
  </w:endnote>
  <w:endnote w:type="continuationSeparator" w:id="0">
    <w:p w14:paraId="0412C2A7" w14:textId="77777777" w:rsidR="008E3D35" w:rsidRDefault="008E3D35" w:rsidP="008E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796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D7B26" w14:textId="702E181D" w:rsidR="008E3D35" w:rsidRDefault="008E3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FB2F7C" w14:textId="77777777" w:rsidR="008E3D35" w:rsidRDefault="008E3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77F64" w14:textId="77777777" w:rsidR="008E3D35" w:rsidRDefault="008E3D35" w:rsidP="008E3D35">
      <w:pPr>
        <w:spacing w:after="0" w:line="240" w:lineRule="auto"/>
      </w:pPr>
      <w:r>
        <w:separator/>
      </w:r>
    </w:p>
  </w:footnote>
  <w:footnote w:type="continuationSeparator" w:id="0">
    <w:p w14:paraId="0287F7CC" w14:textId="77777777" w:rsidR="008E3D35" w:rsidRDefault="008E3D35" w:rsidP="008E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81F21"/>
    <w:multiLevelType w:val="hybridMultilevel"/>
    <w:tmpl w:val="CC9AE17C"/>
    <w:lvl w:ilvl="0" w:tplc="77BE3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C5AB4"/>
    <w:multiLevelType w:val="hybridMultilevel"/>
    <w:tmpl w:val="5312735E"/>
    <w:lvl w:ilvl="0" w:tplc="0C208E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841476">
    <w:abstractNumId w:val="0"/>
  </w:num>
  <w:num w:numId="2" w16cid:durableId="77525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5"/>
    <w:rsid w:val="008E3D35"/>
    <w:rsid w:val="00D631B8"/>
    <w:rsid w:val="00E6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C824"/>
  <w15:chartTrackingRefBased/>
  <w15:docId w15:val="{5AA24FBC-9F6D-40F3-9D47-5911357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D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D3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D35"/>
  </w:style>
  <w:style w:type="paragraph" w:styleId="Footer">
    <w:name w:val="footer"/>
    <w:basedOn w:val="Normal"/>
    <w:link w:val="FooterChar"/>
    <w:uiPriority w:val="99"/>
    <w:unhideWhenUsed/>
    <w:rsid w:val="008E3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p-recerche-justice.fr/wp-content/uploads/2020/01/17.05-RF-contentieux-climatiqu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000/revdh.11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dacoronia dacoronia</dc:creator>
  <cp:keywords/>
  <dc:description/>
  <cp:lastModifiedBy>dacoronia dacoronia</cp:lastModifiedBy>
  <cp:revision>1</cp:revision>
  <dcterms:created xsi:type="dcterms:W3CDTF">2024-10-03T08:47:00Z</dcterms:created>
  <dcterms:modified xsi:type="dcterms:W3CDTF">2024-10-03T08:53:00Z</dcterms:modified>
</cp:coreProperties>
</file>