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5F" w:rsidRDefault="0011625F" w:rsidP="0011625F">
      <w:pPr>
        <w:pStyle w:val="c19centre"/>
      </w:pPr>
      <w:r>
        <w:t>URTEIL DES GERICHTSHOFS (Große Kammer)</w:t>
      </w:r>
    </w:p>
    <w:p w:rsidR="0011625F" w:rsidRDefault="0011625F" w:rsidP="0011625F">
      <w:pPr>
        <w:pStyle w:val="c19centre"/>
      </w:pPr>
      <w:r>
        <w:t>26. Februar 2013(</w:t>
      </w:r>
      <w:bookmarkStart w:id="0" w:name="Footref*"/>
      <w:r>
        <w:fldChar w:fldCharType="begin"/>
      </w:r>
      <w:r>
        <w:instrText xml:space="preserve"> HYPERLINK "http://curia.europa.eu/juris/document/document.jsf?text=&amp;docid=134202&amp;pageIndex=0&amp;doclang=DE&amp;mode=lst&amp;dir=&amp;occ=first&amp;part=1&amp;cid=575016" \l "Footnote*" </w:instrText>
      </w:r>
      <w:r>
        <w:fldChar w:fldCharType="separate"/>
      </w:r>
      <w:r>
        <w:rPr>
          <w:rStyle w:val="-"/>
        </w:rPr>
        <w:t>*</w:t>
      </w:r>
      <w:r>
        <w:fldChar w:fldCharType="end"/>
      </w:r>
      <w:bookmarkEnd w:id="0"/>
      <w:r>
        <w:t>)</w:t>
      </w:r>
    </w:p>
    <w:p w:rsidR="0011625F" w:rsidRDefault="0011625F" w:rsidP="0011625F">
      <w:pPr>
        <w:pStyle w:val="c71indicateur"/>
      </w:pPr>
      <w:r>
        <w:t>„Charta der Grundrechte der Europäischen Union – Anwendungsbereich – Art. 51 – Durchführung des Unionsrechts – Bekämpfung von die Eigenmittel der Union gefährdenden Verhaltensweisen – Art. 50 – Grundsatz ne bis in idem – Nationale Regelung, die bei der Ahndung ein und desselben Fehlverhaltens zu zwei getrennten Verfahren, einem verwaltungsrechtlichen und einem strafrechtlichen, führt – Vereinbarkeit“</w:t>
      </w:r>
    </w:p>
    <w:p w:rsidR="0011625F" w:rsidRDefault="0011625F" w:rsidP="0011625F">
      <w:pPr>
        <w:pStyle w:val="c02alineaalta"/>
      </w:pPr>
      <w:r>
        <w:t>In der Rechtssache C</w:t>
      </w:r>
      <w:r>
        <w:noBreakHyphen/>
        <w:t>617/10</w:t>
      </w:r>
    </w:p>
    <w:p w:rsidR="0011625F" w:rsidRDefault="0011625F" w:rsidP="0011625F">
      <w:pPr>
        <w:pStyle w:val="c02alineaalta"/>
      </w:pPr>
      <w:r>
        <w:t>betreffend ein Vorabentscheidungsersuchen nach Art. 267 AEUV, eingereicht vom Haparanda tingsrätt (Schweden) mit Entscheidung vom 23. Dezember 2010, beim Gerichtshof eingegangen am 27. Dezember 2010, in dem Verfahren</w:t>
      </w:r>
    </w:p>
    <w:p w:rsidR="0011625F" w:rsidRDefault="0011625F" w:rsidP="0011625F">
      <w:pPr>
        <w:pStyle w:val="c02alineaalta"/>
      </w:pPr>
      <w:r>
        <w:rPr>
          <w:b/>
          <w:bCs/>
        </w:rPr>
        <w:t>Åklagare</w:t>
      </w:r>
    </w:p>
    <w:p w:rsidR="0011625F" w:rsidRDefault="0011625F" w:rsidP="0011625F">
      <w:pPr>
        <w:pStyle w:val="c02alineaalta"/>
      </w:pPr>
      <w:r>
        <w:t>gegen</w:t>
      </w:r>
    </w:p>
    <w:p w:rsidR="0011625F" w:rsidRDefault="0011625F" w:rsidP="0011625F">
      <w:pPr>
        <w:pStyle w:val="c02alineaalta"/>
      </w:pPr>
      <w:r>
        <w:rPr>
          <w:b/>
          <w:bCs/>
        </w:rPr>
        <w:t>Hans Åkerberg Fransson</w:t>
      </w:r>
    </w:p>
    <w:p w:rsidR="0011625F" w:rsidRDefault="0011625F" w:rsidP="0011625F">
      <w:pPr>
        <w:pStyle w:val="c02alineaalta"/>
      </w:pPr>
      <w:r>
        <w:t>erlässt</w:t>
      </w:r>
    </w:p>
    <w:p w:rsidR="0011625F" w:rsidRDefault="0011625F" w:rsidP="0011625F">
      <w:pPr>
        <w:pStyle w:val="c19centre"/>
      </w:pPr>
      <w:r>
        <w:t>DER GERICHTSHOF (Große Kammer)</w:t>
      </w:r>
    </w:p>
    <w:p w:rsidR="0011625F" w:rsidRDefault="0011625F" w:rsidP="0011625F">
      <w:pPr>
        <w:pStyle w:val="c02alineaalta"/>
      </w:pPr>
      <w:r>
        <w:t>unter Mitwirkung des Präsidenten V. Skouris, des Vizepräsidenten K. Lenaerts, der Kammerpräsidenten A. Tizzano, M. Ilešič, G. Arestis, J. Malenovský, der Richter A. Borg Barthet und J.</w:t>
      </w:r>
      <w:r>
        <w:noBreakHyphen/>
        <w:t>C. Bonichot, der Richterin C. Toader sowie der Richter J.</w:t>
      </w:r>
      <w:r>
        <w:noBreakHyphen/>
        <w:t>J. Kasel und M. Safjan (Berichterstatter),</w:t>
      </w:r>
    </w:p>
    <w:p w:rsidR="0011625F" w:rsidRDefault="0011625F" w:rsidP="0011625F">
      <w:pPr>
        <w:pStyle w:val="c02alineaalta"/>
      </w:pPr>
      <w:r>
        <w:t>Generalanwalt: P. Cruz Villalón,</w:t>
      </w:r>
    </w:p>
    <w:p w:rsidR="0011625F" w:rsidRDefault="0011625F" w:rsidP="0011625F">
      <w:pPr>
        <w:pStyle w:val="c02alineaalta"/>
      </w:pPr>
      <w:r>
        <w:t>Kanzler: C. Strömholm, Verwaltungsrätin,</w:t>
      </w:r>
    </w:p>
    <w:p w:rsidR="0011625F" w:rsidRDefault="0011625F" w:rsidP="0011625F">
      <w:pPr>
        <w:pStyle w:val="c02alineaalta"/>
      </w:pPr>
      <w:r>
        <w:t>aufgrund des schriftlichen Verfahrens und auf die mündliche Verhandlung vom 24. Januar 2012,</w:t>
      </w:r>
    </w:p>
    <w:p w:rsidR="0011625F" w:rsidRDefault="0011625F" w:rsidP="0011625F">
      <w:pPr>
        <w:pStyle w:val="c02alineaalta"/>
      </w:pPr>
      <w:r>
        <w:t>unter Berücksichtigung der Erklärungen</w:t>
      </w:r>
    </w:p>
    <w:p w:rsidR="0011625F" w:rsidRDefault="0011625F" w:rsidP="0011625F">
      <w:pPr>
        <w:pStyle w:val="c03tiretlong"/>
      </w:pPr>
      <w:r>
        <w:t>–        von Herrn Åkerberg Fransson, Prozessbevollmächtigter: J. Sterner, advokat, und U. Bernitz, professor,</w:t>
      </w:r>
    </w:p>
    <w:p w:rsidR="0011625F" w:rsidRDefault="0011625F" w:rsidP="0011625F">
      <w:pPr>
        <w:pStyle w:val="c03tiretlong"/>
      </w:pPr>
      <w:r>
        <w:t>–        der schwedischen Regierung, vertreten durch A. Falk und S. Johannesson als Bevollmächtigte,</w:t>
      </w:r>
    </w:p>
    <w:p w:rsidR="0011625F" w:rsidRDefault="0011625F" w:rsidP="0011625F">
      <w:pPr>
        <w:pStyle w:val="c03tiretlong"/>
      </w:pPr>
      <w:r>
        <w:lastRenderedPageBreak/>
        <w:t>–        der tschechischen Regierung, vertreten durch M. Smolek und J. Vláčil als Bevollmächtigte,</w:t>
      </w:r>
    </w:p>
    <w:p w:rsidR="0011625F" w:rsidRDefault="0011625F" w:rsidP="0011625F">
      <w:pPr>
        <w:pStyle w:val="c03tiretlong"/>
      </w:pPr>
      <w:r>
        <w:t>–        der dänischen Regierung, vertreten durch C. Vang als Bevollmächtigten,</w:t>
      </w:r>
    </w:p>
    <w:p w:rsidR="0011625F" w:rsidRDefault="0011625F" w:rsidP="0011625F">
      <w:pPr>
        <w:pStyle w:val="c03tiretlong"/>
      </w:pPr>
      <w:r>
        <w:t>–        der deutschen Regierung, vertreten durch T. Henze als Bevollmächtigten,</w:t>
      </w:r>
    </w:p>
    <w:p w:rsidR="0011625F" w:rsidRDefault="0011625F" w:rsidP="0011625F">
      <w:pPr>
        <w:pStyle w:val="c03tiretlong"/>
      </w:pPr>
      <w:r>
        <w:t>–        Irlands, vertreten durch D. O’Hagan als Bevollmächtigten im Beistand von M. McDowell, SC,</w:t>
      </w:r>
    </w:p>
    <w:p w:rsidR="0011625F" w:rsidRDefault="0011625F" w:rsidP="0011625F">
      <w:pPr>
        <w:pStyle w:val="c03tiretlong"/>
      </w:pPr>
      <w:r>
        <w:t>–        der griechischen Regierung, vertreten durch K. Paraskevopoulou und Z. Chatzipavlou als Bevollmächtigte,</w:t>
      </w:r>
    </w:p>
    <w:p w:rsidR="0011625F" w:rsidRDefault="0011625F" w:rsidP="0011625F">
      <w:pPr>
        <w:pStyle w:val="c03tiretlong"/>
      </w:pPr>
      <w:r>
        <w:t>–        der französischen Regierung, vertreten durch N. Rouam als Bevollmächtigte,</w:t>
      </w:r>
    </w:p>
    <w:p w:rsidR="0011625F" w:rsidRDefault="0011625F" w:rsidP="0011625F">
      <w:pPr>
        <w:pStyle w:val="c03tiretlong"/>
      </w:pPr>
      <w:r>
        <w:t>–        der niederländischen Regierung, vertreten durch C. Wissels und J. Langer als Bevollmächtigte,</w:t>
      </w:r>
    </w:p>
    <w:p w:rsidR="0011625F" w:rsidRDefault="0011625F" w:rsidP="0011625F">
      <w:pPr>
        <w:pStyle w:val="c03tiretlong"/>
      </w:pPr>
      <w:r>
        <w:t>–        der österreichischen Regierung, vertreten durch C. Pesendorfer als Bevollmächtigte,</w:t>
      </w:r>
    </w:p>
    <w:p w:rsidR="0011625F" w:rsidRDefault="0011625F" w:rsidP="0011625F">
      <w:pPr>
        <w:pStyle w:val="c03tiretlong"/>
      </w:pPr>
      <w:r>
        <w:t>–        der Europäischen Kommission, vertreten durch R. Lyal und J. Enegren als Bevollmächtigte,</w:t>
      </w:r>
    </w:p>
    <w:p w:rsidR="0011625F" w:rsidRDefault="0011625F" w:rsidP="0011625F">
      <w:pPr>
        <w:pStyle w:val="c02alineaalta"/>
      </w:pPr>
      <w:r>
        <w:t>nach Anhörung der Schlussanträge des Generalanwalts in der Sitzung vom 12. Juni 2012</w:t>
      </w:r>
    </w:p>
    <w:p w:rsidR="0011625F" w:rsidRDefault="0011625F" w:rsidP="0011625F">
      <w:pPr>
        <w:pStyle w:val="c02alineaalta"/>
      </w:pPr>
      <w:r>
        <w:t>folgendes</w:t>
      </w:r>
    </w:p>
    <w:p w:rsidR="0011625F" w:rsidRDefault="0011625F" w:rsidP="0011625F">
      <w:pPr>
        <w:pStyle w:val="c75debutdesmotifs"/>
      </w:pPr>
      <w:r>
        <w:rPr>
          <w:b/>
          <w:bCs/>
        </w:rPr>
        <w:t>Urteil</w:t>
      </w:r>
    </w:p>
    <w:p w:rsidR="0011625F" w:rsidRDefault="0011625F" w:rsidP="0011625F">
      <w:pPr>
        <w:pStyle w:val="c01pointnumerotealtn"/>
      </w:pPr>
      <w:bookmarkStart w:id="1" w:name="point1"/>
      <w:r>
        <w:t>1</w:t>
      </w:r>
      <w:bookmarkEnd w:id="1"/>
      <w:r>
        <w:t xml:space="preserve">        Das Vorabentscheidungsersuchen betrifft die Auslegung des Grundsatzes </w:t>
      </w:r>
      <w:r>
        <w:rPr>
          <w:i/>
          <w:iCs/>
        </w:rPr>
        <w:t xml:space="preserve">ne bis in idem </w:t>
      </w:r>
      <w:r>
        <w:t>im Unionsrecht.</w:t>
      </w:r>
    </w:p>
    <w:p w:rsidR="0011625F" w:rsidRDefault="0011625F" w:rsidP="0011625F">
      <w:pPr>
        <w:pStyle w:val="c01pointnumerotealtn"/>
      </w:pPr>
      <w:bookmarkStart w:id="2" w:name="point2"/>
      <w:r>
        <w:t>2</w:t>
      </w:r>
      <w:bookmarkEnd w:id="2"/>
      <w:r>
        <w:t>        Dieses Ersuchen ergeht im Rahmen eines Strafverfahrens, das aufgrund einer vom Åklagare (Staatsanwalt) erhobenen Anklage wegen Steuerhinterziehung in einem schweren Fall gegen Herrn Åkerberg Fransson eingeleitet wurde.</w:t>
      </w:r>
    </w:p>
    <w:p w:rsidR="0011625F" w:rsidRDefault="0011625F" w:rsidP="0011625F">
      <w:pPr>
        <w:pStyle w:val="c04titre1"/>
      </w:pPr>
      <w:r>
        <w:t> </w:t>
      </w:r>
      <w:r>
        <w:rPr>
          <w:b/>
          <w:bCs/>
        </w:rPr>
        <w:t>Rechtlicher Rahmen</w:t>
      </w:r>
    </w:p>
    <w:p w:rsidR="0011625F" w:rsidRDefault="0011625F" w:rsidP="0011625F">
      <w:pPr>
        <w:pStyle w:val="c05titre2"/>
      </w:pPr>
      <w:r>
        <w:t> </w:t>
      </w:r>
      <w:r>
        <w:rPr>
          <w:i/>
          <w:iCs/>
        </w:rPr>
        <w:t>Europäische Konvention zum Schutz der Menschenrechte und Grundfreiheiten</w:t>
      </w:r>
    </w:p>
    <w:p w:rsidR="0011625F" w:rsidRDefault="0011625F" w:rsidP="0011625F">
      <w:pPr>
        <w:pStyle w:val="c01pointnumerotealtn"/>
      </w:pPr>
      <w:bookmarkStart w:id="3" w:name="point3"/>
      <w:r>
        <w:t>3</w:t>
      </w:r>
      <w:bookmarkEnd w:id="3"/>
      <w:r>
        <w:t>        Art. 4 des am 22. November 1984 in Straßburg unterzeichneten Protokolls Nr. 7 zur Europäischen Konvention zum Schutz der Menschenrechte und Grundfreiheiten (im Folgenden: Protokoll Nr. 7) bestimmt unter der Überschrift „Recht, wegen derselben Strafsache nicht zweimal vor Gericht gestellt oder bestraft zu werden“:</w:t>
      </w:r>
    </w:p>
    <w:p w:rsidR="0011625F" w:rsidRDefault="0011625F" w:rsidP="0011625F">
      <w:pPr>
        <w:pStyle w:val="c02alineaalta"/>
      </w:pPr>
      <w:r>
        <w:lastRenderedPageBreak/>
        <w:t>„(1)      Niemand darf wegen einer Straftat, wegen der er bereits nach dem Gesetz und dem Strafverfahrensrecht eines Staates rechtskräftig verurteilt oder freigesprochen worden ist, in einem Strafverfahren desselben Staates erneut verfolgt oder bestraft werden.</w:t>
      </w:r>
    </w:p>
    <w:p w:rsidR="0011625F" w:rsidRDefault="0011625F" w:rsidP="0011625F">
      <w:pPr>
        <w:pStyle w:val="c02alineaalta"/>
      </w:pPr>
      <w:r>
        <w:t>(2)      Artikel 1 schließt die Wiederaufnahme des Verfahrens nach dem Gesetz und dem Strafverfahrensrecht des betreffenden Staates nicht aus, falls neue oder neu bekannt gewordene Tatsachen vorliegen oder das vorausgegangene Verfahren schwere, den Ausgang des Verfahrens berührende Mängel aufweist.</w:t>
      </w:r>
    </w:p>
    <w:p w:rsidR="0011625F" w:rsidRDefault="0011625F" w:rsidP="0011625F">
      <w:pPr>
        <w:pStyle w:val="c02alineaalta"/>
      </w:pPr>
      <w:r>
        <w:t>(3)      Von diesem Artikel darf nicht nach Artikel 15 der [am 4. November 1950 in Rom unterzeichneten Europäischen Konvention zum Schutz der Menschenrechte und Grundfreiheiten, im Folgenden: EMRK] abgewichen werden.“</w:t>
      </w:r>
    </w:p>
    <w:p w:rsidR="0011625F" w:rsidRDefault="0011625F" w:rsidP="0011625F">
      <w:pPr>
        <w:pStyle w:val="c05titre2"/>
      </w:pPr>
      <w:r>
        <w:t> </w:t>
      </w:r>
      <w:r>
        <w:rPr>
          <w:i/>
          <w:iCs/>
        </w:rPr>
        <w:t>Unionsrecht</w:t>
      </w:r>
    </w:p>
    <w:p w:rsidR="0011625F" w:rsidRDefault="0011625F" w:rsidP="0011625F">
      <w:pPr>
        <w:pStyle w:val="c06titre3"/>
      </w:pPr>
      <w:r>
        <w:t> Charta der Grundrechte der Europäischen Union</w:t>
      </w:r>
    </w:p>
    <w:p w:rsidR="0011625F" w:rsidRDefault="0011625F" w:rsidP="0011625F">
      <w:pPr>
        <w:pStyle w:val="c01pointnumerotealtn"/>
      </w:pPr>
      <w:bookmarkStart w:id="4" w:name="point4"/>
      <w:r>
        <w:t>4</w:t>
      </w:r>
      <w:bookmarkEnd w:id="4"/>
      <w:r>
        <w:t>        Art. 50 der Charta der Grundrechte der Europäischen Union (im Folgenden: Charta) mit der Überschrift „Recht, wegen derselben Straftat nicht zweimal strafrechtlich verfolgt oder bestraft zu werden“ hat folgenden Wortlaut:</w:t>
      </w:r>
    </w:p>
    <w:p w:rsidR="0011625F" w:rsidRDefault="0011625F" w:rsidP="0011625F">
      <w:pPr>
        <w:pStyle w:val="c02alineaalta"/>
      </w:pPr>
      <w:r>
        <w:t>„Niemand darf wegen einer Straftat, derentwegen er bereits in der Union nach dem Gesetz rechtskräftig verurteilt oder freigesprochen worden ist, in einem Strafverfahren erneut verfolgt oder bestraft werden.“</w:t>
      </w:r>
    </w:p>
    <w:p w:rsidR="0011625F" w:rsidRDefault="0011625F" w:rsidP="0011625F">
      <w:pPr>
        <w:pStyle w:val="c01pointnumerotealtn"/>
      </w:pPr>
      <w:bookmarkStart w:id="5" w:name="point5"/>
      <w:r>
        <w:t>5</w:t>
      </w:r>
      <w:bookmarkEnd w:id="5"/>
      <w:r>
        <w:t>        Art. 51 der Charta definiert deren Anwendungsbereich wie folgt:</w:t>
      </w:r>
    </w:p>
    <w:p w:rsidR="0011625F" w:rsidRDefault="0011625F" w:rsidP="0011625F">
      <w:pPr>
        <w:pStyle w:val="c02alineaalta"/>
      </w:pPr>
      <w:r>
        <w:t>„(1)      Diese Charta gilt für die Organe, Einrichtungen und sonstigen Stellen der Union unter Wahrung des Subsidiaritätsprinzips und für die Mitgliedstaaten ausschließlich bei der Durchführung des Rechts der Union. Dementsprechend achten sie die Rechte, halten sie sich an die Grundsätze und fördern sie deren Anwendung entsprechend ihren jeweiligen Zuständigkeiten.</w:t>
      </w:r>
    </w:p>
    <w:p w:rsidR="0011625F" w:rsidRDefault="0011625F" w:rsidP="0011625F">
      <w:pPr>
        <w:pStyle w:val="c02alineaalta"/>
      </w:pPr>
      <w:r>
        <w:t>(2)      Diese Charta dehnt den Geltungsbereich des Unionsrechts nicht über die Zuständigkeiten der Union hinaus aus und begründet weder neue Zuständigkeiten noch neue Aufgaben für die Union, noch ändert sie die in den Verträgen festgelegten Zuständigkeiten und Aufgaben.“</w:t>
      </w:r>
    </w:p>
    <w:p w:rsidR="0011625F" w:rsidRDefault="0011625F" w:rsidP="0011625F">
      <w:pPr>
        <w:pStyle w:val="c06titre3"/>
      </w:pPr>
      <w:r>
        <w:t> Sechste Richtlinie 77/388/EWG</w:t>
      </w:r>
    </w:p>
    <w:p w:rsidR="0011625F" w:rsidRDefault="0011625F" w:rsidP="0011625F">
      <w:pPr>
        <w:pStyle w:val="c01pointnumerotealtn"/>
      </w:pPr>
      <w:bookmarkStart w:id="6" w:name="point6"/>
      <w:r>
        <w:t>6</w:t>
      </w:r>
      <w:bookmarkEnd w:id="6"/>
      <w:r>
        <w:t>        Art. 22 der Sechsten Richtlinie 77/388/EWG des Rates vom 17. Mai 1977 zur Harmonisierung der Rechtsvorschriften der Mitgliedstaaten über die Umsatzsteuern – Gemeinsames Mehrwertsteuersystem: einheitliche steuerpflichtige Bemessungsgrundlage in der Fassung des Art. 28h dieser Richtlinie (ABl. L 145, S. 1, im Folgenden auch: Sechste Richtlinie) bestimmt:</w:t>
      </w:r>
    </w:p>
    <w:p w:rsidR="0011625F" w:rsidRDefault="0011625F" w:rsidP="0011625F">
      <w:pPr>
        <w:pStyle w:val="c02alineaalta"/>
      </w:pPr>
      <w:r>
        <w:lastRenderedPageBreak/>
        <w:t>„…</w:t>
      </w:r>
    </w:p>
    <w:p w:rsidR="0011625F" w:rsidRDefault="0011625F" w:rsidP="0011625F">
      <w:pPr>
        <w:pStyle w:val="c02alineaalta"/>
      </w:pPr>
      <w:r>
        <w:t>(4)      Jeder Steuerpflichtige hat innerhalb eines Zeitraums, der von den einzelnen Mitgliedstaaten festzulegen ist, eine Steuererklärung abzugeben. …</w:t>
      </w:r>
    </w:p>
    <w:p w:rsidR="0011625F" w:rsidRDefault="0011625F" w:rsidP="0011625F">
      <w:pPr>
        <w:pStyle w:val="c02alineaalta"/>
      </w:pPr>
      <w:r>
        <w:t>…</w:t>
      </w:r>
    </w:p>
    <w:p w:rsidR="0011625F" w:rsidRDefault="0011625F" w:rsidP="0011625F">
      <w:pPr>
        <w:pStyle w:val="c02alineaalta"/>
      </w:pPr>
      <w:r>
        <w:t>(8) … [D]ie Mitgliedstaaten [können] weitere Pflichten vorsehen, die sie als erforderlich erachten, um die genaue Erhebung der Steuer sicherzustellen und Steuerhinterziehungen zu vermeiden.</w:t>
      </w:r>
    </w:p>
    <w:p w:rsidR="0011625F" w:rsidRDefault="0011625F" w:rsidP="0011625F">
      <w:pPr>
        <w:pStyle w:val="c02alineaalta"/>
      </w:pPr>
      <w:r>
        <w:t>…“</w:t>
      </w:r>
    </w:p>
    <w:p w:rsidR="0011625F" w:rsidRDefault="0011625F" w:rsidP="0011625F">
      <w:pPr>
        <w:pStyle w:val="c05titre2"/>
      </w:pPr>
      <w:r>
        <w:t> </w:t>
      </w:r>
      <w:r>
        <w:rPr>
          <w:i/>
          <w:iCs/>
        </w:rPr>
        <w:t>Schwedisches Recht</w:t>
      </w:r>
    </w:p>
    <w:p w:rsidR="0011625F" w:rsidRDefault="0011625F" w:rsidP="0011625F">
      <w:pPr>
        <w:pStyle w:val="c01pointnumerotealtn"/>
      </w:pPr>
      <w:bookmarkStart w:id="7" w:name="point7"/>
      <w:r>
        <w:t>7</w:t>
      </w:r>
      <w:bookmarkEnd w:id="7"/>
      <w:r>
        <w:t>        § 2 des Gesetzes (1971:69) über Steuerstraftaten (Skattebrottslag [1971:69], im Folgenden: Skattebrottslag) lautet:</w:t>
      </w:r>
    </w:p>
    <w:p w:rsidR="0011625F" w:rsidRDefault="0011625F" w:rsidP="0011625F">
      <w:pPr>
        <w:pStyle w:val="c02alineaalta"/>
      </w:pPr>
      <w:r>
        <w:t>„Wer in anderer Weise als mündlich vorsätzlich falsche Angaben gegenüber einer Behörde macht oder es unterlässt, eine Steuererklärung, eine Kontrollmitteilung oder eine andere vorgeschriebene Mitteilung bei einer Behörde einzureichen und dadurch die Gefahr hervorruft, dass dem Fiskus Steuereinnahmen entgehen oder dem Täter oder einem Dritten Steuern zu Unrecht gutgeschrieben oder erstattet werden, wird wegen Steuerhinterziehung mit Freiheitsstrafe bis zu zwei Jahren bestraft.“</w:t>
      </w:r>
    </w:p>
    <w:p w:rsidR="0011625F" w:rsidRDefault="0011625F" w:rsidP="0011625F">
      <w:pPr>
        <w:pStyle w:val="c01pointnumerotealtn"/>
      </w:pPr>
      <w:bookmarkStart w:id="8" w:name="point8"/>
      <w:r>
        <w:t>8</w:t>
      </w:r>
      <w:bookmarkEnd w:id="8"/>
      <w:r>
        <w:t>        § 4 des Skattebrottslag bestimmt:</w:t>
      </w:r>
    </w:p>
    <w:p w:rsidR="0011625F" w:rsidRDefault="0011625F" w:rsidP="0011625F">
      <w:pPr>
        <w:pStyle w:val="c02alineaalta"/>
      </w:pPr>
      <w:r>
        <w:t>„In schweren Fällen wird die Steuerhinterziehung nach § 2 als Steuervergehen in einem schweren Fall mit Freiheitsstrafe von sechs Monaten bis zu sechs Jahren bestraft.</w:t>
      </w:r>
    </w:p>
    <w:p w:rsidR="0011625F" w:rsidRDefault="0011625F" w:rsidP="0011625F">
      <w:pPr>
        <w:pStyle w:val="c02alineaalta"/>
      </w:pPr>
      <w:r>
        <w:t>Bei der Beurteilung, ob ein schwerer Fall vorliegt, ist insbesondere zu berücksichtigen, ob es um sehr hohe Beträge geht, ob der Täter falsche Belege verwendet oder eine irreführende Buchhaltung führt oder ob die Tat als Teil eines fortgesetzten kriminellen Handelns begangen worden ist, das planmäßig oder von erheblichem Umfang oder sonst besonders gefährlich gewesen ist.“</w:t>
      </w:r>
    </w:p>
    <w:p w:rsidR="0011625F" w:rsidRDefault="0011625F" w:rsidP="0011625F">
      <w:pPr>
        <w:pStyle w:val="c01pointnumerotealtn"/>
      </w:pPr>
      <w:bookmarkStart w:id="9" w:name="point9"/>
      <w:r>
        <w:t>9</w:t>
      </w:r>
      <w:bookmarkEnd w:id="9"/>
      <w:r>
        <w:t>        Das Gesetz (1990:324) über die Einkommensteuer (Taxeringslag [1990:324], im Folgenden: Taxeringslag) sieht in seinem Kapitel 5 § 1 Folgendes vor:</w:t>
      </w:r>
    </w:p>
    <w:p w:rsidR="0011625F" w:rsidRDefault="0011625F" w:rsidP="0011625F">
      <w:pPr>
        <w:pStyle w:val="c02alineaalta"/>
      </w:pPr>
      <w:r>
        <w:t>„Macht der Steuerpflichtige in einem Besteuerungsverfahren in anderer Weise als mündlich unrichtige Angaben im Hinblick auf seine Besteuerung, so wird eine besondere Abgabe (Steuerzuschlag) erhoben. Dies gilt auch, wenn der Steuerpflichtige derartige Angaben in einem gerichtlichen Steuerverfahren macht und diese Angaben nach Prüfung des Sachverhalts nicht akzeptiert werden.</w:t>
      </w:r>
    </w:p>
    <w:p w:rsidR="0011625F" w:rsidRDefault="0011625F" w:rsidP="0011625F">
      <w:pPr>
        <w:pStyle w:val="c02alineaalta"/>
      </w:pPr>
      <w:r>
        <w:lastRenderedPageBreak/>
        <w:t>Angaben sind unrichtig, wenn klar erkennbar ist, dass die Angaben, die der Steuerpflichtige macht, falsch sind oder dass der Steuerpflichtige es unterlassen hat, im Besteuerungsverfahren Angaben zu machen, zu denen er verpflichtet ist. Angaben sind jedoch nicht unrichtig, wenn sie zusammen mit anderen gemachten Angaben ausreichen, um einen richtigen Bescheid zu erlassen. Angaben sind auch dann nicht als unrichtig anzusehen, wenn sie so ungereimt sind, dass sie einem Bescheid offensichtlich nicht zugrunde gelegt werden können.“</w:t>
      </w:r>
    </w:p>
    <w:p w:rsidR="0011625F" w:rsidRDefault="0011625F" w:rsidP="0011625F">
      <w:pPr>
        <w:pStyle w:val="c01pointnumerotealtn"/>
      </w:pPr>
      <w:bookmarkStart w:id="10" w:name="point10"/>
      <w:r>
        <w:t>10</w:t>
      </w:r>
      <w:bookmarkEnd w:id="10"/>
      <w:r>
        <w:t>      Kapitel 5 § 4 des Taxeringslag bestimmt:</w:t>
      </w:r>
    </w:p>
    <w:p w:rsidR="0011625F" w:rsidRDefault="0011625F" w:rsidP="0011625F">
      <w:pPr>
        <w:pStyle w:val="c02alineaalta"/>
      </w:pPr>
      <w:r>
        <w:t>„Sind unrichtige Angaben gemacht worden, beträgt der Steuerzuschlag vierzig Prozent der in Kapitel 1 § 1 Abs. 1 bis 5 genannten Steuern, die, wenn die unrichtigen Angaben akzeptiert worden wären, dem Steuerpflichtigen oder dessen Ehegatten nicht auferlegt worden wären. Bei der Mehrwertsteuer beträgt der Steuerzuschlag zwanzig Prozent der Steuer, die dem Steuerpflichtigen zu Unrecht gutgeschrieben worden wäre.</w:t>
      </w:r>
    </w:p>
    <w:p w:rsidR="0011625F" w:rsidRDefault="0011625F" w:rsidP="0011625F">
      <w:pPr>
        <w:pStyle w:val="c02alineaalta"/>
      </w:pPr>
      <w:r>
        <w:t>Der Steuerzuschlag beträgt zehn Prozent bzw. bei der Mehrwertsteuer fünf Prozent, wenn die unrichtigen Angaben berichtigt worden sind oder mit Hilfe von Kontrollmitteilungen, die dem Skatteverk [schwedische Steuerverwaltung] normalerweise zugänglich sind und die ihm vor Ende November des fraglichen Steuerjahrs tatsächlich zugänglich waren, hätten berichtigt werden können.“</w:t>
      </w:r>
    </w:p>
    <w:p w:rsidR="0011625F" w:rsidRDefault="0011625F" w:rsidP="0011625F">
      <w:pPr>
        <w:pStyle w:val="c01pointnumerotealtn"/>
      </w:pPr>
      <w:bookmarkStart w:id="11" w:name="point11"/>
      <w:r>
        <w:t>11</w:t>
      </w:r>
      <w:bookmarkEnd w:id="11"/>
      <w:r>
        <w:t>      Nach Kapitel 5 § 14 des Taxeringslag gilt:</w:t>
      </w:r>
    </w:p>
    <w:p w:rsidR="0011625F" w:rsidRDefault="0011625F" w:rsidP="0011625F">
      <w:pPr>
        <w:pStyle w:val="c02alineaalta"/>
      </w:pPr>
      <w:r>
        <w:t>„Der Steuerpflichtige ist ganz oder teilweise von einer besonderen Abgabe zu befreien, wenn die Unrichtigkeiten oder das Unterlassen entschuldbar sind oder es aus anderen Gründen unbillig ist, die Abgabe in voller Höhe aufzuerlegen. Wenn der Steuerpflichtige teilweise von der besonderen Abgabe befreit wird, ist diese auf die Hälfte oder ein Viertel zu ermäßigen.</w:t>
      </w:r>
    </w:p>
    <w:p w:rsidR="0011625F" w:rsidRDefault="0011625F" w:rsidP="0011625F">
      <w:pPr>
        <w:pStyle w:val="c02alineaalta"/>
      </w:pPr>
      <w:r>
        <w:t>…</w:t>
      </w:r>
    </w:p>
    <w:p w:rsidR="0011625F" w:rsidRDefault="0011625F" w:rsidP="0011625F">
      <w:pPr>
        <w:pStyle w:val="c02alineaalta"/>
      </w:pPr>
      <w:r>
        <w:t>Bei der Beurteilung, ob es aus anderen Gründen unbillig ist, die Abgabe in voller Höhe aufzuerlegen, ist insbesondere zu berücksichtigten, ob:</w:t>
      </w:r>
    </w:p>
    <w:p w:rsidR="0011625F" w:rsidRDefault="0011625F" w:rsidP="0011625F">
      <w:pPr>
        <w:pStyle w:val="c02alineaalta"/>
      </w:pPr>
      <w:r>
        <w:t>…</w:t>
      </w:r>
    </w:p>
    <w:p w:rsidR="0011625F" w:rsidRDefault="0011625F" w:rsidP="0011625F">
      <w:pPr>
        <w:pStyle w:val="c02alineaalta"/>
      </w:pPr>
      <w:r>
        <w:t>3.      der Steuerpflichtige wegen der Unrichtigkeiten oder Versäumnisse eines Vergehens nach dem Gesetz über Steuerstraftaten (1971:69) für schuldig erklärt worden ist oder der Verfall eines Vermögensvorteils aus einer rechtswidrigen Tat nach Kapitel 36 § 1b des Brottsbalk (Strafgesetzbuch) angeordnet worden ist.“</w:t>
      </w:r>
    </w:p>
    <w:p w:rsidR="0011625F" w:rsidRDefault="0011625F" w:rsidP="0011625F">
      <w:pPr>
        <w:pStyle w:val="c04titre1"/>
      </w:pPr>
      <w:r>
        <w:t> </w:t>
      </w:r>
      <w:r>
        <w:rPr>
          <w:b/>
          <w:bCs/>
        </w:rPr>
        <w:t>Ausgangsverfahren und Vorlagefragen</w:t>
      </w:r>
    </w:p>
    <w:p w:rsidR="0011625F" w:rsidRDefault="0011625F" w:rsidP="0011625F">
      <w:pPr>
        <w:pStyle w:val="c01pointnumerotealtn"/>
      </w:pPr>
      <w:bookmarkStart w:id="12" w:name="point12"/>
      <w:r>
        <w:t>12</w:t>
      </w:r>
      <w:bookmarkEnd w:id="12"/>
      <w:r>
        <w:t xml:space="preserve">      Herr Åkerberg Fransson wurde am 9. Juni 2009 vor dem Haparanda tingsrätt u. a. wegen Steuerhinterziehung in einem schweren Fall angeklagt. Ihm wurde vorgeworfen, </w:t>
      </w:r>
      <w:r>
        <w:lastRenderedPageBreak/>
        <w:t>in seinen Steuererklärungen für die Steuerjahre 2004 und 2005 falsche Angaben gemacht zu haben, wodurch dem Staat beinahe Einnahmen bei der Einkommensteuer und der Mehrwertsteuer in Höhe von 319 143 SEK für das Steuerjahr 2004, davon 60 000 SEK Mehrwertsteuer, und von 307 633 SEK für das Steuerjahr 2005, davon 87 550 SEK Mehrwertsteuer, entgangen wären. Herrn Åkerberg Fransson wurde auch vorgeworfen, er habe keine Erklärungen für die Arbeitgeberabgaben für die Erklärungszeiträume Oktober 2004 und Oktober 2005 eingereicht, wodurch den Sozialversicherungsträgern beinahe Einnahmen in Höhe von 35 690 SEK und 35 862 SEK entgangen wären. Diese Vergehen wurden gemäß der Anklageschrift als schwere Fälle bewertet, da die Beträge hoch seien und die Vergehen Teil eines planmäßigen fortgesetzten kriminellen Handelns in großem Stil gewesen seien.</w:t>
      </w:r>
    </w:p>
    <w:p w:rsidR="0011625F" w:rsidRDefault="0011625F" w:rsidP="0011625F">
      <w:pPr>
        <w:pStyle w:val="c01pointnumerotealtn"/>
      </w:pPr>
      <w:bookmarkStart w:id="13" w:name="point13"/>
      <w:r>
        <w:t>13</w:t>
      </w:r>
      <w:bookmarkEnd w:id="13"/>
      <w:r>
        <w:t>      Mit Bescheid vom 24. Mai 2007 wurden Herrn Åkerberg Fransson vom Skatteverk für das Steuerjahr 2004 Steuerzuschläge in Höhe von 35 542 SEK für seine Einnahmen aus selbständiger Tätigkeit, 4 872 SEK für Mehrwertsteuer und 7 138 SEK für Arbeitgeberabgaben auferlegt. Mit gleichem Bescheid wurden ihm für das Steuerjahr 2005 Steuerzuschläge in Höhe von 54 240 SEK für seine Einnahmen aus selbständiger Tätigkeit, 3 255 SEK für Mehrwertsteuer und 7 172 SEK für Arbeitgeberabgaben auferlegt. Die Steuerzuschläge waren zu verzinsen. Sie wurden vor dem Verwaltungsgericht nicht angefochten. Die Anfechtungsfristen liefen für das Steuerjahr 2004 am 31. Dezember 2010 und für das Steuerjahr 2005 am 31. Dezember 2011 ab. Der Bescheid über die Festsetzung der Steuerzuschläge wurde mit derselben Tat der Abgabe unzutreffender Steuererklärungen begründet, die der Anklage der Staatsanwaltschaft zugrunde lag.</w:t>
      </w:r>
    </w:p>
    <w:p w:rsidR="0011625F" w:rsidRDefault="0011625F" w:rsidP="0011625F">
      <w:pPr>
        <w:pStyle w:val="c01pointnumerotealtn"/>
      </w:pPr>
      <w:bookmarkStart w:id="14" w:name="point14"/>
      <w:r>
        <w:t>14</w:t>
      </w:r>
      <w:bookmarkEnd w:id="14"/>
      <w:r>
        <w:t>      Dem vorlegenden Gericht stellt sich die Frage, ob die Anklage gegen Herrn Åkerberg Fransson unzulässig ist, weil er in einem anderen Verfahren bereits wegen derselben Tat bestraft wurde und ein Strafverfahren somit gegen das Verbot der Doppelbestrafung gemäß Art. 4 des Protokolls Nr. 7 und Art. 50 der Charta verstoßen würde.</w:t>
      </w:r>
    </w:p>
    <w:p w:rsidR="0011625F" w:rsidRDefault="0011625F" w:rsidP="0011625F">
      <w:pPr>
        <w:pStyle w:val="c01pointnumerotealtn"/>
      </w:pPr>
      <w:bookmarkStart w:id="15" w:name="point15"/>
      <w:r>
        <w:t>15</w:t>
      </w:r>
      <w:bookmarkEnd w:id="15"/>
      <w:r>
        <w:t>      Unter diesen Umständen hat das Haparanda tingsrätt beschlossen, das Verfahren auszusetzen und dem Gerichtshof folgende Fragen zur Vorabentscheidung vorzulegen:</w:t>
      </w:r>
    </w:p>
    <w:p w:rsidR="0011625F" w:rsidRDefault="0011625F" w:rsidP="0011625F">
      <w:pPr>
        <w:pStyle w:val="c09marge0avecretrait"/>
      </w:pPr>
      <w:r>
        <w:t>1.      Nach schwedischem Recht muss eine klare Stütze in der EMRK oder in der Rechtsprechung des Europäischen Gerichtshofs für Menschenrechte vorhanden sein, damit ein nationales Gericht nationale Bestimmungen unangewendet lassen kann, von denen zu befürchten ist, dass sie gegen das Verbot der Doppelbestrafung nach Art. 4 des Protokolls Nr. 7 und damit auch gegen Art. 50 der Charta verstoßen. Ist eine solche Bedingung im nationalen Recht, um nationale Bestimmungen unangewendet zu lassen, mit dem Unionsrecht vereinbar, insbesondere mit dessen allgemeinen Rechtsgrundsätzen, u. a. denen des Vorrangs und der unmittelbaren Wirkung des Unionsrechts?</w:t>
      </w:r>
    </w:p>
    <w:p w:rsidR="0011625F" w:rsidRDefault="0011625F" w:rsidP="0011625F">
      <w:pPr>
        <w:pStyle w:val="c09marge0avecretrait"/>
      </w:pPr>
      <w:r>
        <w:t xml:space="preserve">2.      Verstößt die Prüfung der Zulassung der Anklage wegen eines Steuervergehens gegen das Verbot der Doppelbestrafung gemäß Art. 4 des Protokolls Nr. 7 zur EMRK und Art. 50 der Charta, wenn in einem früheren Verwaltungsverfahren gegen den </w:t>
      </w:r>
      <w:r>
        <w:lastRenderedPageBreak/>
        <w:t>Angeklagten wegen derselben von ihm gemachten unrichtigen Angaben eine wirtschaftliche Sanktion (Steuerzuschlag) festgesetzt worden ist?</w:t>
      </w:r>
    </w:p>
    <w:p w:rsidR="0011625F" w:rsidRDefault="0011625F" w:rsidP="0011625F">
      <w:pPr>
        <w:pStyle w:val="c09marge0avecretrait"/>
      </w:pPr>
      <w:r>
        <w:t>3.      Ist es für die Beantwortung der zweiten Vorlagefrage von Bedeutung, dass diese Sanktionen in der Weise aufeinander abzustimmen sind, dass das ordentliche Gericht die Strafe im Strafverfahren unter Berücksichtigung der Tatsache herabsetzen kann, dass gegen den Angeklagten wegen derselben von ihm gemachten unrichtigen Angaben auch ein Steuerzuschlag festgesetzt wurde?</w:t>
      </w:r>
    </w:p>
    <w:p w:rsidR="0011625F" w:rsidRDefault="0011625F" w:rsidP="0011625F">
      <w:pPr>
        <w:pStyle w:val="c09marge0avecretrait"/>
      </w:pPr>
      <w:r>
        <w:t>4.      Im Rahmen des in der zweiten Vorlagefrage genannten Verbots der Doppelbestrafung kann es zulässig sein, in einem neuen Verfahren wegen derselben Handlung, die schon untersucht worden ist und zu Sanktionen gegen den Einzelnen geführt hat, weitere Sanktionen zu verhängen. Sind für den Fall, dass die zweite Frage bejaht wird, die Bedingungen nach dem Verbot der Doppelbestrafung für die Festsetzung mehrerer Sanktionen in getrennten Verfahren erfüllt, wenn in dem späteren Verfahren eine gegenüber dem früheren Verfahren neuerliche und selbständige Untersuchung des Sachverhalts erfolgt?</w:t>
      </w:r>
    </w:p>
    <w:p w:rsidR="0011625F" w:rsidRDefault="0011625F" w:rsidP="0011625F">
      <w:pPr>
        <w:pStyle w:val="c09marge0avecretrait"/>
      </w:pPr>
      <w:r>
        <w:t>5.      Das schwedische System der Festsetzung von Steuerzuschlägen und der Prüfung der Verantwortlichkeit für Steuervergehen in getrennten Verfahren wird mit einer Reihe von im Allgemeininteresse liegenden Gründen gerechtfertigt. Ist für den Fall, dass die zweite Frage bejaht wird, ein System wie das schwedische mit dem Verbot der Doppelbestrafung vereinbar, wenn es möglich wäre, ein System einzuführen, das vom Verbot der Doppelbestrafung nicht erfasst würde, ohne dass auf die Festsetzung von Steuerzuschlägen und die Prüfung der Verantwortlichkeit für Steuervergehen verzichtet werden müsste, indem in den Fällen, in denen es um die Verantwortlichkeit für Steuervergehen geht, die Entscheidung über die Festsetzung eines Steuerzuschlags vom Skatteverk oder gegebenenfalls dem Verwaltungsgericht auf das ordentliche Gericht übertragen wird, das diese Entscheidung im Zusammenhang mit seiner Prüfung der Zulassung der Anklage wegen eines Steuervergehens trifft?</w:t>
      </w:r>
    </w:p>
    <w:p w:rsidR="0011625F" w:rsidRDefault="0011625F" w:rsidP="0011625F">
      <w:pPr>
        <w:pStyle w:val="c04titre1"/>
      </w:pPr>
      <w:r>
        <w:t> </w:t>
      </w:r>
      <w:r>
        <w:rPr>
          <w:b/>
          <w:bCs/>
        </w:rPr>
        <w:t>Zur Zuständigkeit des Gerichtshofs</w:t>
      </w:r>
    </w:p>
    <w:p w:rsidR="0011625F" w:rsidRDefault="0011625F" w:rsidP="0011625F">
      <w:pPr>
        <w:pStyle w:val="c01pointnumerotealtn"/>
      </w:pPr>
      <w:bookmarkStart w:id="16" w:name="point16"/>
      <w:r>
        <w:t>16</w:t>
      </w:r>
      <w:bookmarkEnd w:id="16"/>
      <w:r>
        <w:t xml:space="preserve">      Die schwedische, die tschechische und die dänische Regierung, Irland, die niederländische Regierung sowie die Europäische Kommission halten die Vorlagefragen für unzulässig. Der Gerichtshof sei nur für deren Beantwortung zuständig, wenn die gegen Herrn Åkerberg Fransson festgesetzten steuerlichen Sanktionen sowie das gegen ihn eingeleitete Strafverfahren, die Gegenstand des Ausgangsverfahrens seien, auf der Durchführung von Unionsrecht beruhten. Dies sei aber weder bei der nationalen Rechtsvorschrift, aufgrund deren die steuerlichen Sanktionen festgesetzt worden seien, noch bei der nationalen Rechtsvorschrift, die als Grundlage der Anklage diene, der Fall. Gemäß Art. 51 Abs. 1 der Charta fielen die Sanktionen und das Strafverfahren also nicht unter den in Art. 50 der Charta verbürgten Grundsatz </w:t>
      </w:r>
      <w:r>
        <w:rPr>
          <w:i/>
          <w:iCs/>
        </w:rPr>
        <w:t>ne bis in idem</w:t>
      </w:r>
      <w:r>
        <w:t>.</w:t>
      </w:r>
    </w:p>
    <w:p w:rsidR="0011625F" w:rsidRDefault="0011625F" w:rsidP="0011625F">
      <w:pPr>
        <w:pStyle w:val="c01pointnumerotealtn"/>
      </w:pPr>
      <w:bookmarkStart w:id="17" w:name="point17"/>
      <w:r>
        <w:t>17</w:t>
      </w:r>
      <w:bookmarkEnd w:id="17"/>
      <w:r>
        <w:t xml:space="preserve">      Insoweit ist daran zu erinnern, dass der Anwendungsbereich der Charta, was das Handeln der Mitgliedstaaten betrifft, in Art. 51 Abs. 1 der Charta definiert ist. Danach </w:t>
      </w:r>
      <w:r>
        <w:lastRenderedPageBreak/>
        <w:t>gilt diese für die Mitgliedstaaten ausschließlich bei der Durchführung des Rechts der Union.</w:t>
      </w:r>
    </w:p>
    <w:p w:rsidR="0011625F" w:rsidRDefault="0011625F" w:rsidP="0011625F">
      <w:pPr>
        <w:pStyle w:val="c01pointnumerotealtn"/>
      </w:pPr>
      <w:bookmarkStart w:id="18" w:name="point18"/>
      <w:r>
        <w:t>18</w:t>
      </w:r>
      <w:bookmarkEnd w:id="18"/>
      <w:r>
        <w:t>      Diese Bestimmung der Charta bestätigt also die Rechtsprechung des Gerichtshofs zu der Frage, inwieweit das Handeln der Mitgliedstaaten den Anforderungen genügen muss, die sich aus den in der Unionsrechtsordnung garantierten Grundrechten ergeben.</w:t>
      </w:r>
    </w:p>
    <w:p w:rsidR="0011625F" w:rsidRDefault="0011625F" w:rsidP="0011625F">
      <w:pPr>
        <w:pStyle w:val="c01pointnumerotealtn"/>
      </w:pPr>
      <w:bookmarkStart w:id="19" w:name="point19"/>
      <w:r>
        <w:t>19</w:t>
      </w:r>
      <w:bookmarkEnd w:id="19"/>
      <w:r>
        <w:t>      Aus der ständigen Rechtsprechung des Gerichtshofs ergibt sich im Wesentlichen, dass die in der Unionsrechtsordnung garantierten Grundrechte in allen unionsrechtlich geregelten Fallgestaltungen, aber nicht außerhalb derselben Anwendung finden. Insoweit hat der Gerichtshof bereits festgestellt, dass er eine nationale Rechtsvorschrift nicht im Hinblick auf die Charta beurteilen kann, wenn sie nicht in den Geltungsbereich des Unionsrechts fällt. Sobald dagegen eine solche Vorschrift in den Geltungsbereich des Unionsrechts fällt, hat der im Rahmen eines Vorabentscheidungsersuchens angerufene Gerichtshof dem vorlegenden Gericht alle Auslegungshinweise zu geben, die es benötigt, um die Vereinbarkeit dieser Regelung mit den Grundrechten beurteilen zu können, deren Wahrung er sichert (vgl. in diesem Sinne u. a. Urteile vom 18. Juni 1991, ERT, C</w:t>
      </w:r>
      <w:r>
        <w:noBreakHyphen/>
        <w:t>260/89, Slg. 1991, I</w:t>
      </w:r>
      <w:r>
        <w:noBreakHyphen/>
        <w:t>2925, Randnr. 42, vom 29. Mai 1997, Kremzow, C</w:t>
      </w:r>
      <w:r>
        <w:noBreakHyphen/>
        <w:t>299/95, Slg. 1997, I</w:t>
      </w:r>
      <w:r>
        <w:noBreakHyphen/>
        <w:t>2629, Randnr. 15, vom 18. Dezember 1997, Annibaldi, C</w:t>
      </w:r>
      <w:r>
        <w:noBreakHyphen/>
        <w:t>309/96, Slg. 1997, I</w:t>
      </w:r>
      <w:r>
        <w:noBreakHyphen/>
        <w:t>7493, Randnr. 13, vom 22. Oktober 2002, Roquette Frères, C</w:t>
      </w:r>
      <w:r>
        <w:noBreakHyphen/>
        <w:t>94/00, Slg. 2002, I</w:t>
      </w:r>
      <w:r>
        <w:noBreakHyphen/>
        <w:t>9011, Randnr. 25, vom 18. Dezember 2008, Sopropé, C</w:t>
      </w:r>
      <w:r>
        <w:noBreakHyphen/>
        <w:t>349/07, Slg. 2008, I</w:t>
      </w:r>
      <w:r>
        <w:noBreakHyphen/>
        <w:t>10369, Randnr. 34, vom 15. November 2011, Dereci u. a., C</w:t>
      </w:r>
      <w:r>
        <w:noBreakHyphen/>
        <w:t>256/11, Slg. 2011, I</w:t>
      </w:r>
      <w:r>
        <w:noBreakHyphen/>
        <w:t>11315, Randnr. 72, sowie vom 7. Juni 2012, Vinkov, C</w:t>
      </w:r>
      <w:r>
        <w:noBreakHyphen/>
        <w:t>27/11, Randnr. 58).</w:t>
      </w:r>
    </w:p>
    <w:p w:rsidR="0011625F" w:rsidRDefault="0011625F" w:rsidP="0011625F">
      <w:pPr>
        <w:pStyle w:val="c01pointnumerotealtn"/>
      </w:pPr>
      <w:bookmarkStart w:id="20" w:name="point20"/>
      <w:r>
        <w:t>20</w:t>
      </w:r>
      <w:bookmarkEnd w:id="20"/>
      <w:r>
        <w:t>      Diese Definition des Anwendungsbereichs der Grundrechte der Union wird durch die Erläuterungen zu Art. 51 der Charta bestätigt, die gemäß Art. 6 Abs. 1 Unterabs. 3 EUV und Art. 52 Abs. 7 der Charta für deren Auslegung zu berücksichtigen sind (vgl. in diesem Sinne Urteil vom 22. Dezember 2010, DEB, C</w:t>
      </w:r>
      <w:r>
        <w:noBreakHyphen/>
        <w:t>279/09, Slg. 2010, I</w:t>
      </w:r>
      <w:r>
        <w:noBreakHyphen/>
        <w:t>13849, Randnr. 32). Gemäß diesen Erläuterungen „[gilt d]ie Verpflichtung zur Einhaltung der im Rahmen der Union definierten Grundrechte für die Mitgliedstaaten … nur dann, wenn sie im Anwendungsbereich des Unionsrechts handeln“.</w:t>
      </w:r>
    </w:p>
    <w:p w:rsidR="0011625F" w:rsidRDefault="0011625F" w:rsidP="0011625F">
      <w:pPr>
        <w:pStyle w:val="c01pointnumerotealtn"/>
      </w:pPr>
      <w:bookmarkStart w:id="21" w:name="point21"/>
      <w:r>
        <w:t>21</w:t>
      </w:r>
      <w:bookmarkEnd w:id="21"/>
      <w:r>
        <w:t>      Da folglich die durch die Charta garantierten Grundrechte zu beachten sind, wenn eine nationale Rechtsvorschrift in den Geltungsbereich des Unionsrechts fällt, sind keine Fallgestaltungen denkbar, die vom Unionsrecht erfasst würden, ohne dass diese Grundrechte anwendbar wären. Die Anwendbarkeit des Unionsrechts umfasst die Anwendbarkeit der durch die Charta garantierten Grundrechte.</w:t>
      </w:r>
    </w:p>
    <w:p w:rsidR="0011625F" w:rsidRDefault="0011625F" w:rsidP="0011625F">
      <w:pPr>
        <w:pStyle w:val="c01pointnumerotealtn"/>
      </w:pPr>
      <w:bookmarkStart w:id="22" w:name="point22"/>
      <w:r>
        <w:t>22</w:t>
      </w:r>
      <w:bookmarkEnd w:id="22"/>
      <w:r>
        <w:t>      Wird dagegen eine rechtliche Situation nicht vom Unionsrecht erfasst, ist der Gerichtshof nicht zuständig, um über sie zu entscheiden, und die möglicherweise angeführten Bestimmungen der Charta können als solche keine neue Zuständigkeit begründen (vgl. in diesem Sinne Beschluss vom 12. Juli 2012, Currà u. a., C</w:t>
      </w:r>
      <w:r>
        <w:noBreakHyphen/>
        <w:t>466/11, Randnr. 26).</w:t>
      </w:r>
    </w:p>
    <w:p w:rsidR="0011625F" w:rsidRDefault="0011625F" w:rsidP="0011625F">
      <w:pPr>
        <w:pStyle w:val="c01pointnumerotealtn"/>
      </w:pPr>
      <w:bookmarkStart w:id="23" w:name="point23"/>
      <w:r>
        <w:t>23</w:t>
      </w:r>
      <w:bookmarkEnd w:id="23"/>
      <w:r>
        <w:t xml:space="preserve">      Diese Erwägungen entsprechen denen, die Art. 6 Abs. 1 EUV zugrunde liegen, wonach durch die Bestimmungen der Charta die in den Verträgen festgelegten </w:t>
      </w:r>
      <w:r>
        <w:lastRenderedPageBreak/>
        <w:t>Zuständigkeiten der Union in keiner Weise erweitert werden. Ebenso dehnt die Charta nach ihrem Art. 51 Abs. 2 den Geltungsbereich des Unionsrechts nicht über die Zuständigkeiten der Union hinaus aus und begründet weder neue Zuständigkeiten noch neue Aufgaben für die Union, noch ändert sie die in den Verträgen festgelegten Zuständigkeiten und Aufgaben (vgl. Urteil Dereci u. a., Randnr. 71).</w:t>
      </w:r>
    </w:p>
    <w:p w:rsidR="0011625F" w:rsidRDefault="0011625F" w:rsidP="0011625F">
      <w:pPr>
        <w:pStyle w:val="c01pointnumerotealtn"/>
      </w:pPr>
      <w:bookmarkStart w:id="24" w:name="point24"/>
      <w:r>
        <w:t>24</w:t>
      </w:r>
      <w:bookmarkEnd w:id="24"/>
      <w:r>
        <w:t>      Vorliegend ist zunächst festzustellen, dass die gegen Herrn Åkerberg Fransson festgesetzten steuerlichen Sanktionen und das gegen ihn eingeleitete Strafverfahren teilweise im Zusammenhang mit der Nichteinhaltung von Mitteilungspflichten auf dem Gebiet der Mehrwertsteuer stehen.</w:t>
      </w:r>
    </w:p>
    <w:p w:rsidR="0011625F" w:rsidRDefault="0011625F" w:rsidP="0011625F">
      <w:pPr>
        <w:pStyle w:val="c01pointnumerotealtn"/>
      </w:pPr>
      <w:bookmarkStart w:id="25" w:name="point25"/>
      <w:r>
        <w:t>25</w:t>
      </w:r>
      <w:bookmarkEnd w:id="25"/>
      <w:r>
        <w:t>      In Bezug auf die Mehrwertsteuer geht zum einen aus den Art. 2, 250 Abs. 1 und 273 der Richtlinie 2006/112/EG des Rates vom 28. November 2006 über das gemeinsame Mehrwertsteuersystem (ABl. L 347, S. 1), die den Wortlaut der Art. 2 und 22 Abs. 4 und 8 der Richtlinie 77/388 in der Fassung des Art. 28h dieser Richtlinie übernommen haben, und zum anderen aus Art. 4 Abs. 3 EUV hervor, dass jeder Mitgliedstaat verpflichtet ist, alle Rechts- und Verwaltungsvorschriften zu erlassen, die geeignet sind, die Erhebung der gesamten in seinem Hoheitsgebiet geschuldeten Mehrwertsteuer zu gewährleisten und den Betrug zu bekämpfen (vgl. Urteil vom 17. Juli 2008, Kommission/Italien, C</w:t>
      </w:r>
      <w:r>
        <w:noBreakHyphen/>
        <w:t>132/06, Slg. 2008, I</w:t>
      </w:r>
      <w:r>
        <w:noBreakHyphen/>
        <w:t>5457, Randnrn. 37 und 46).</w:t>
      </w:r>
    </w:p>
    <w:p w:rsidR="0011625F" w:rsidRDefault="0011625F" w:rsidP="0011625F">
      <w:pPr>
        <w:pStyle w:val="c01pointnumerotealtn"/>
      </w:pPr>
      <w:bookmarkStart w:id="26" w:name="point26"/>
      <w:r>
        <w:t>26</w:t>
      </w:r>
      <w:bookmarkEnd w:id="26"/>
      <w:r>
        <w:t>      Außerdem sind die Mitgliedstaaten nach Art. 325 AEUV verpflichtet, zur Bekämpfung von rechtswidrigen Handlungen, die sich gegen die finanziellen Interessen der Union richten, abschreckende und wirksame Maßnahmen zu ergreifen, insbesondere müssen sie zur Bekämpfung von Betrug, der sich gegen die finanziellen Interessen der Union richtet, dieselben Maßnahmen ergreifen wie zur Bekämpfung von Betrug, der sich gegen ihre eigenen finanziellen Interessen richtet (vgl. in diesem Sinne Urteil vom 28. Oktober 2010, SGS Belgium u. a., C</w:t>
      </w:r>
      <w:r>
        <w:noBreakHyphen/>
        <w:t>367/09, Slg. 2010, I</w:t>
      </w:r>
      <w:r>
        <w:noBreakHyphen/>
        <w:t>10761, Randnrn. 40 bis 42). Da die Eigenmittel der Union gemäß dem Wortlaut von Art. 2 Abs. 1 des Beschlusses 2007/436/EG, Euratom des Rates vom 7. Juni 2007 über das System der Eigenmittel der Europäischen Gemeinschaften (ABl. L 163, S. 17) u. a. die Einnahmen umfassen, die sich aus der Anwendung eines einheitlichen Satzes auf die nach den Unionsvorschriften bestimmte einheitliche Mehrwertsteuer-Eigenmittelbemessungsgrundlage ergeben, besteht ein unmittelbarer Zusammenhang zwischen der Erhebung der Mehrwertsteuereinnahmen unter Beachtung des einschlägigen Unionsrechts und der Zurverfügungstellung entsprechender Mehrwertsteuermittel für den Haushalt der Union, da jedes Versäumnis bei der Erhebung Ersterer potenziell zu einer Verringerung Letzterer führt (vgl. in diesem Sinne Urteil vom 15. November 2011, Kommission/Deutschland, C</w:t>
      </w:r>
      <w:r>
        <w:noBreakHyphen/>
        <w:t>539/09, Slg. 2011, I</w:t>
      </w:r>
      <w:r>
        <w:noBreakHyphen/>
        <w:t>11235, Randnr. 72).</w:t>
      </w:r>
    </w:p>
    <w:p w:rsidR="0011625F" w:rsidRDefault="0011625F" w:rsidP="0011625F">
      <w:pPr>
        <w:pStyle w:val="c01pointnumerotealtn"/>
      </w:pPr>
      <w:bookmarkStart w:id="27" w:name="point27"/>
      <w:r>
        <w:t>27</w:t>
      </w:r>
      <w:bookmarkEnd w:id="27"/>
      <w:r>
        <w:t>      Folglich sind steuerliche Sanktionen und ein Strafverfahren wegen Steuerhinterziehung wegen unrichtiger Angaben zur Mehrwertsteuer, wie im Fall des Angeklagten des Ausgangsverfahrens, als Durchführung von Art. 2, Art. 250 Abs. 1 und Art. 273 der Richtlinie 2006/112 (früher Art. 2 und 22 der Richtlinie 77/388) sowie von Art. 325 AEUV und somit als Durchführung des Unionsrechts im Sinne von Art. 51 Abs. 1 der Charta anzusehen.</w:t>
      </w:r>
    </w:p>
    <w:p w:rsidR="0011625F" w:rsidRDefault="0011625F" w:rsidP="0011625F">
      <w:pPr>
        <w:pStyle w:val="c01pointnumerotealtn"/>
      </w:pPr>
      <w:bookmarkStart w:id="28" w:name="point28"/>
      <w:r>
        <w:lastRenderedPageBreak/>
        <w:t>28</w:t>
      </w:r>
      <w:bookmarkEnd w:id="28"/>
      <w:r>
        <w:t>      Die Tatsache, dass die nationalen Rechtsvorschriften, die den steuerlichen Sanktionen und dem Strafverfahren zugrunde liegen, nicht zur Umsetzung der Richtlinie 2006/112 erlassen wurden, vermag dieses Ergebnis nicht in Frage zu stellen, da durch ihre Anwendung ein Verstoß gegen die Bestimmungen dieser Richtlinie geahndet und damit die den Mitgliedstaaten durch den Vertrag auferlegte Verpflichtung zur wirksamen Ahndung von die finanziellen Interessen der Union gefährdenden Verhaltensweisen erfüllt werden soll.</w:t>
      </w:r>
    </w:p>
    <w:p w:rsidR="0011625F" w:rsidRDefault="0011625F" w:rsidP="0011625F">
      <w:pPr>
        <w:pStyle w:val="c01pointnumerotealtn"/>
      </w:pPr>
      <w:bookmarkStart w:id="29" w:name="point29"/>
      <w:r>
        <w:t>29</w:t>
      </w:r>
      <w:bookmarkEnd w:id="29"/>
      <w:r>
        <w:t>      Hat das Gericht eines Mitgliedstaats zu prüfen, ob mit den Grundrechten eine nationale Vorschrift oder Maßnahme vereinbar ist, die in einer Situation, in der das Handeln eines Mitgliedstaats nicht vollständig durch das Unionsrecht bestimmt wird, das Unionsrecht im Sinne von Art. 51 Abs. 1 der Charta durchführt, steht es somit den nationalen Behörden und Gerichten weiterhin frei, nationale Schutzstandards für die Grundrechte anzuwenden, sofern durch diese Anwendung weder das Schutzniveau der Charta, wie sie vom Gerichtshof ausgelegt wird, noch der Vorrang, die Einheit und die Wirksamkeit des Unionsrechts beeinträchtigt werden (vgl. für diesen letzten Aspekt Urteil vom 26. Februar 2013, Melloni, C</w:t>
      </w:r>
      <w:r>
        <w:noBreakHyphen/>
        <w:t>399/11, Randnr. 60).</w:t>
      </w:r>
    </w:p>
    <w:p w:rsidR="0011625F" w:rsidRDefault="0011625F" w:rsidP="0011625F">
      <w:pPr>
        <w:pStyle w:val="c01pointnumerotealtn"/>
      </w:pPr>
      <w:bookmarkStart w:id="30" w:name="point30"/>
      <w:r>
        <w:t>30</w:t>
      </w:r>
      <w:bookmarkEnd w:id="30"/>
      <w:r>
        <w:t>      Dabei haben die nationalen Gerichte, wenn sie Bestimmungen der Charta auslegen sollen, die Möglichkeit und gegebenenfalls die Pflicht, den Gerichtshof um eine Vorabentscheidung nach Art. 267 AEUV zu ersuchen.</w:t>
      </w:r>
    </w:p>
    <w:p w:rsidR="0011625F" w:rsidRDefault="0011625F" w:rsidP="0011625F">
      <w:pPr>
        <w:pStyle w:val="c01pointnumerotealtn"/>
      </w:pPr>
      <w:bookmarkStart w:id="31" w:name="point31"/>
      <w:r>
        <w:t>31</w:t>
      </w:r>
      <w:bookmarkEnd w:id="31"/>
      <w:r>
        <w:t xml:space="preserve">      Aus diesen Erwägungen folgt, dass der Gerichtshof befugt ist, die Vorlagefragen zu beantworten und dem vorlegenden Gericht alle Auslegungshinweise zu geben, die es benötigt, um die Vereinbarkeit der nationalen Regelung mit dem in Art. 50 der Charta verankerten Grundsatz </w:t>
      </w:r>
      <w:r>
        <w:rPr>
          <w:i/>
          <w:iCs/>
        </w:rPr>
        <w:t xml:space="preserve">ne bis in idem </w:t>
      </w:r>
      <w:r>
        <w:t>beurteilen zu können.</w:t>
      </w:r>
    </w:p>
    <w:p w:rsidR="0011625F" w:rsidRDefault="0011625F" w:rsidP="0011625F">
      <w:pPr>
        <w:pStyle w:val="c04titre1"/>
      </w:pPr>
      <w:r>
        <w:t> </w:t>
      </w:r>
      <w:r>
        <w:rPr>
          <w:b/>
          <w:bCs/>
        </w:rPr>
        <w:t>Zu den Vorlagefragen</w:t>
      </w:r>
    </w:p>
    <w:p w:rsidR="0011625F" w:rsidRDefault="0011625F" w:rsidP="0011625F">
      <w:pPr>
        <w:pStyle w:val="c05titre2"/>
      </w:pPr>
      <w:r>
        <w:t> </w:t>
      </w:r>
      <w:r>
        <w:rPr>
          <w:i/>
          <w:iCs/>
        </w:rPr>
        <w:t>Zur zweiten, zur dritten und zur vierten Frage</w:t>
      </w:r>
    </w:p>
    <w:p w:rsidR="0011625F" w:rsidRDefault="0011625F" w:rsidP="0011625F">
      <w:pPr>
        <w:pStyle w:val="c01pointnumerotealtn"/>
      </w:pPr>
      <w:bookmarkStart w:id="32" w:name="point32"/>
      <w:r>
        <w:t>32</w:t>
      </w:r>
      <w:bookmarkEnd w:id="32"/>
      <w:r>
        <w:t xml:space="preserve">      Mit diesen Fragen, die zusammen zu beantworten sind, möchte das Haparanda tingsrätt im Wesentlichen vom Gerichtshof wissen, ob der in Art. 50 der Charta aufgestellte Grundsatz </w:t>
      </w:r>
      <w:r>
        <w:rPr>
          <w:i/>
          <w:iCs/>
        </w:rPr>
        <w:t>ne bis in idem</w:t>
      </w:r>
      <w:r>
        <w:t xml:space="preserve"> dahin auszulegen ist, dass er der Einleitung eines Strafverfahrens wegen Steuerhinterziehung gegen einen Angeschuldigten entgegensteht, wenn gegen diesen wegen derselben Tat der Abgabe unrichtiger Erklärungen bereits eine steuerliche Sanktion verhängt wurde.</w:t>
      </w:r>
    </w:p>
    <w:p w:rsidR="0011625F" w:rsidRDefault="0011625F" w:rsidP="0011625F">
      <w:pPr>
        <w:pStyle w:val="c01pointnumerotealtn"/>
      </w:pPr>
      <w:bookmarkStart w:id="33" w:name="point33"/>
      <w:r>
        <w:t>33</w:t>
      </w:r>
      <w:bookmarkEnd w:id="33"/>
      <w:r>
        <w:t xml:space="preserve">      Die Anwendung des in Art. 50 der Charta aufgestellten Grundsatzes </w:t>
      </w:r>
      <w:r>
        <w:rPr>
          <w:i/>
          <w:iCs/>
        </w:rPr>
        <w:t>ne bis in idem</w:t>
      </w:r>
      <w:r>
        <w:t xml:space="preserve"> auf ein Strafverfahren wegen Steuerhinterziehung wie das im Ausgangsverfahren fragliche setzt voraus, dass die gegen den Angeschuldigten bereits mittels einer unanfechtbar gewordenen Entscheidung getroffenen Maßnahmen strafrechtlichen Charakter haben.</w:t>
      </w:r>
    </w:p>
    <w:p w:rsidR="0011625F" w:rsidRDefault="0011625F" w:rsidP="0011625F">
      <w:pPr>
        <w:pStyle w:val="c01pointnumerotealtn"/>
      </w:pPr>
      <w:bookmarkStart w:id="34" w:name="point34"/>
      <w:r>
        <w:t>34</w:t>
      </w:r>
      <w:bookmarkEnd w:id="34"/>
      <w:r>
        <w:t xml:space="preserve">      Zunächst ist festzustellen, dass Art. 50 der Charta einen Mitgliedstaat nicht daran hindert, zur Ahndung derselben Tat der Nichtbeachtung von Erklärungspflichten im </w:t>
      </w:r>
      <w:r>
        <w:lastRenderedPageBreak/>
        <w:t>Bereich der Mehrwertsteuer steuerliche und strafrechtliche Sanktionen zu kombinieren. Die Mitgliedstaaten können, um die Erhebung der Einnahmen aus der Mehrwertsteuer in ihrer Gesamtheit und damit den Schutz der finanziellen Interessen der Union zu gewährleisten, die anwendbaren Sanktionen frei wählen (vgl. in diesem Sinne Urteile vom 21. September 1989, Kommission/Griechenland, 68/88, Slg. 1989, 2965, Randnr. 24, vom 7. Dezember 2000, de Andrade, C</w:t>
      </w:r>
      <w:r>
        <w:noBreakHyphen/>
        <w:t>213/99, Slg. 2000, I</w:t>
      </w:r>
      <w:r>
        <w:noBreakHyphen/>
        <w:t>11083, Randnr. 19, und vom 16. Oktober 2003, Hannl-Hofstetter, C</w:t>
      </w:r>
      <w:r>
        <w:noBreakHyphen/>
        <w:t>91/02, Slg. 2003, I</w:t>
      </w:r>
      <w:r>
        <w:noBreakHyphen/>
        <w:t>12077, Randnr. 17). Dabei kann es sich um verwaltungsrechtliche oder strafrechtliche Sanktionen oder um eine Kombination der beiden handeln. Nur wenn die verwaltungsrechtliche Sanktion strafrechtlichen Charakter im Sinne von Art. 50 der Charta hat und unanfechtbar geworden ist, steht diese Vorschrift der Einleitung eines Strafverfahrens gegen dieselbe Person wegen derselben Tat entgegen.</w:t>
      </w:r>
    </w:p>
    <w:p w:rsidR="0011625F" w:rsidRDefault="0011625F" w:rsidP="0011625F">
      <w:pPr>
        <w:pStyle w:val="c01pointnumerotealtn"/>
      </w:pPr>
      <w:bookmarkStart w:id="35" w:name="point35"/>
      <w:r>
        <w:t>35</w:t>
      </w:r>
      <w:bookmarkEnd w:id="35"/>
      <w:r>
        <w:t>      Sodann ist daran zu erinnern, dass für die Beurteilung der strafrechtlichen Natur von Steuerzuschlägen drei Kriterien maßgeblich sind: erstens die rechtliche Einordnung der Zuwiderhandlung im innerstaatlichen Recht, zweitens die Art der Zuwiderhandlung und drittens die Art und der Schweregrad der angedrohten Sanktion (Urteil vom 5. Juni 2012, Bonda, C</w:t>
      </w:r>
      <w:r>
        <w:noBreakHyphen/>
        <w:t>489/10, Randnr. 37).</w:t>
      </w:r>
    </w:p>
    <w:p w:rsidR="0011625F" w:rsidRDefault="0011625F" w:rsidP="0011625F">
      <w:pPr>
        <w:pStyle w:val="c01pointnumerotealtn"/>
      </w:pPr>
      <w:bookmarkStart w:id="36" w:name="point36"/>
      <w:r>
        <w:t>36</w:t>
      </w:r>
      <w:bookmarkEnd w:id="36"/>
      <w:r>
        <w:t>      Es ist Sache des vorlegenden Gerichts, im Licht dieser Kriterien zu beurteilen, ob die nach nationalem Recht vorgesehene Kumulierung von steuerlichen und strafrechtlichen Sanktionen anhand der nationalen Schutzstandards im Sinne von Randnr. 29 des vorliegenden Urteils zu prüfen ist, was das Gericht unter Umständen zu dem Ergebnis führen kann, dass diese Kumulierung gegen diese Standards verstößt, sofern die verbleibenden Sanktionen wirksam, angemessen und abschreckend sind (vgl. u. a. Urteil Kommission/Griechenland, Randnr. 24, vom 10. Juli 1990, Hansen, C</w:t>
      </w:r>
      <w:r>
        <w:noBreakHyphen/>
        <w:t>326/88, Slg. 1990, I</w:t>
      </w:r>
      <w:r>
        <w:noBreakHyphen/>
        <w:t>2911, Randnr. 17, vom 30. September 2003, Inspire Art, C</w:t>
      </w:r>
      <w:r>
        <w:noBreakHyphen/>
        <w:t>167/01, Slg. 2003, I</w:t>
      </w:r>
      <w:r>
        <w:noBreakHyphen/>
        <w:t>10155, Randnr. 62, vom 15. Januar 2004, Penycoed, C</w:t>
      </w:r>
      <w:r>
        <w:noBreakHyphen/>
        <w:t>230/01, Slg. 2004, I</w:t>
      </w:r>
      <w:r>
        <w:noBreakHyphen/>
        <w:t>937, Randnr. 36, und vom 3. Mai 2005, Berlusconi u. a., C</w:t>
      </w:r>
      <w:r>
        <w:noBreakHyphen/>
        <w:t>387/02, C</w:t>
      </w:r>
      <w:r>
        <w:noBreakHyphen/>
        <w:t>391/02 und C</w:t>
      </w:r>
      <w:r>
        <w:noBreakHyphen/>
        <w:t>403/02, Slg. 2005, I</w:t>
      </w:r>
      <w:r>
        <w:noBreakHyphen/>
        <w:t>3565 Randnr. 65).</w:t>
      </w:r>
    </w:p>
    <w:p w:rsidR="0011625F" w:rsidRDefault="0011625F" w:rsidP="0011625F">
      <w:pPr>
        <w:pStyle w:val="c01pointnumerotealtn"/>
      </w:pPr>
      <w:bookmarkStart w:id="37" w:name="point37"/>
      <w:r>
        <w:t>37</w:t>
      </w:r>
      <w:bookmarkEnd w:id="37"/>
      <w:r>
        <w:t xml:space="preserve">      Aufgrund der vorstehenden Erwägungen ist auf die zweite, die dritte und die vierte Frage zu antworten, dass der in Art. 50 der Charta aufgestellte Grundsatz </w:t>
      </w:r>
      <w:r>
        <w:rPr>
          <w:i/>
          <w:iCs/>
        </w:rPr>
        <w:t xml:space="preserve">ne bis in idem </w:t>
      </w:r>
      <w:r>
        <w:t>einen Mitgliedstaat nicht daran hindert, zur Ahndung derselben Tat der Nichtbeachtung von Erklärungspflichten im Bereich der Mehrwertsteuer eine steuerliche Sanktion und danach eine strafrechtliche Sanktion zu verhängen, sofern die erste Sanktion keinen strafrechtlichen Charakter hat, was vom nationalen Gericht zu prüfen ist.</w:t>
      </w:r>
    </w:p>
    <w:p w:rsidR="0011625F" w:rsidRDefault="0011625F" w:rsidP="0011625F">
      <w:pPr>
        <w:pStyle w:val="c05titre2"/>
      </w:pPr>
      <w:r>
        <w:t> </w:t>
      </w:r>
      <w:r>
        <w:rPr>
          <w:i/>
          <w:iCs/>
        </w:rPr>
        <w:t>Zur fünften Frage</w:t>
      </w:r>
    </w:p>
    <w:p w:rsidR="0011625F" w:rsidRDefault="0011625F" w:rsidP="0011625F">
      <w:pPr>
        <w:pStyle w:val="c01pointnumerotealtn"/>
      </w:pPr>
      <w:bookmarkStart w:id="38" w:name="point38"/>
      <w:r>
        <w:t>38</w:t>
      </w:r>
      <w:bookmarkEnd w:id="38"/>
      <w:r>
        <w:t xml:space="preserve">      Mit seiner fünften Frage möchte das Haparanda tingsrätt vom Gerichtshof im Wesentlichen wissen, ob mit dem in Art. 50 der Charta verbürgten Grundsatz </w:t>
      </w:r>
      <w:r>
        <w:rPr>
          <w:i/>
          <w:iCs/>
        </w:rPr>
        <w:t xml:space="preserve">ne bis in idem </w:t>
      </w:r>
      <w:r>
        <w:t>eine nationale Rechtsvorschrift vereinbar ist, die im Fall von Steuerhinterziehung die Kumulierung von steuerlichen und strafrechtlichen Sanktionen zulässt, die von ein und demselben Gericht verhängt worden sind.</w:t>
      </w:r>
    </w:p>
    <w:p w:rsidR="0011625F" w:rsidRDefault="0011625F" w:rsidP="0011625F">
      <w:pPr>
        <w:pStyle w:val="c01pointnumerotealtn"/>
      </w:pPr>
      <w:bookmarkStart w:id="39" w:name="point39"/>
      <w:r>
        <w:lastRenderedPageBreak/>
        <w:t>39</w:t>
      </w:r>
      <w:bookmarkEnd w:id="39"/>
      <w:r>
        <w:t>      Hierzu ist zunächst festzustellen, dass im Rahmen des Verfahrens nach Art. 267 AEUV nur das nationale Gericht, das mit dem Rechtsstreit befasst ist und in dessen Verantwortungsbereich die zu erlassende Entscheidung fällt, im Hinblick auf die Besonderheiten der Rechtssache sowohl die Erforderlichkeit einer Vorabentscheidung für den Erlass seines Urteils als auch die Erheblichkeit der dem Gerichtshof vorgelegten Fragen zu beurteilen hat. Daher ist der Gerichtshof grundsätzlich gehalten, über ihm vorgelegte Fragen zu befinden, wenn sie die Auslegung des Unionsrechts betreffen (vgl. u. a. Urteil vom 8. September 2011, Paint Graphos u. a., C</w:t>
      </w:r>
      <w:r>
        <w:noBreakHyphen/>
        <w:t>78/08 bis C</w:t>
      </w:r>
      <w:r>
        <w:noBreakHyphen/>
        <w:t>80/08, Slg. 2011, I</w:t>
      </w:r>
      <w:r>
        <w:noBreakHyphen/>
        <w:t>7611, Randnr. 30 und die dort angeführte Rechtsprechung).</w:t>
      </w:r>
    </w:p>
    <w:p w:rsidR="0011625F" w:rsidRDefault="0011625F" w:rsidP="0011625F">
      <w:pPr>
        <w:pStyle w:val="c01pointnumerotealtn"/>
      </w:pPr>
      <w:bookmarkStart w:id="40" w:name="point40"/>
      <w:r>
        <w:t>40</w:t>
      </w:r>
      <w:bookmarkEnd w:id="40"/>
      <w:r>
        <w:t>      Die Vermutung der Erheblichkeit der von den nationalen Gerichten zur Vorabentscheidung vorgelegten Fragen kann nur ausnahmsweise ausgeräumt werden, und zwar dann, wenn die erbetene Auslegung des Unionsrechts offensichtlich in keinem Zusammenhang mit der Realität oder dem Gegenstand des Ausgangsverfahrens steht, wenn das Problem hypothetischer Natur ist oder wenn der Gerichtshof nicht über die tatsächlichen und rechtlichen Angaben verfügt, die für eine zweckdienliche Beantwortung der ihm vorgelegten Fragen erforderlich sind (vgl. in diesem Sinne u. a. Urteil Paint Graphos u. a., Randnr. 31 und die dort angeführte Rechtsprechung).</w:t>
      </w:r>
    </w:p>
    <w:p w:rsidR="0011625F" w:rsidRDefault="0011625F" w:rsidP="0011625F">
      <w:pPr>
        <w:pStyle w:val="c01pointnumerotealtn"/>
      </w:pPr>
      <w:bookmarkStart w:id="41" w:name="point41"/>
      <w:r>
        <w:t>41</w:t>
      </w:r>
      <w:bookmarkEnd w:id="41"/>
      <w:r>
        <w:t>      Hier geht aus der Vorlageentscheidung hervor, dass die nationale Rechtsvorschrift, auf die das vorlegende Gericht Bezug nimmt, nicht die auf das Ausgangsverfahren anwendbare Bestimmung ist und dass sie derzeit im schwedischen Recht nicht existiert.</w:t>
      </w:r>
    </w:p>
    <w:p w:rsidR="0011625F" w:rsidRDefault="0011625F" w:rsidP="0011625F">
      <w:pPr>
        <w:pStyle w:val="c01pointnumerotealtn"/>
      </w:pPr>
      <w:bookmarkStart w:id="42" w:name="point42"/>
      <w:r>
        <w:t>42</w:t>
      </w:r>
      <w:bookmarkEnd w:id="42"/>
      <w:r>
        <w:t>      Somit ist die fünfte Frage für unzulässig zu erklären, da die dem Gerichtshof im Rahmen des Art. 267 AEUV übertragene Aufgabe darin besteht, zur Rechtspflege in den Mitgliedstaaten beizutragen, nicht aber darin, Gutachten zu allgemeinen oder hypothetischen Fragen abzugeben (vgl. u. a. Urteil Paint Graphos u. a., Randnr. 32 und die dort angeführte Rechtsprechung).</w:t>
      </w:r>
    </w:p>
    <w:p w:rsidR="0011625F" w:rsidRDefault="0011625F" w:rsidP="0011625F">
      <w:pPr>
        <w:pStyle w:val="c05titre2"/>
      </w:pPr>
      <w:r>
        <w:t> </w:t>
      </w:r>
      <w:r>
        <w:rPr>
          <w:i/>
          <w:iCs/>
        </w:rPr>
        <w:t>Zur ersten Frage</w:t>
      </w:r>
    </w:p>
    <w:p w:rsidR="0011625F" w:rsidRDefault="0011625F" w:rsidP="0011625F">
      <w:pPr>
        <w:pStyle w:val="c01pointnumerotealtn"/>
      </w:pPr>
      <w:bookmarkStart w:id="43" w:name="point43"/>
      <w:r>
        <w:t>43</w:t>
      </w:r>
      <w:bookmarkEnd w:id="43"/>
      <w:r>
        <w:t>      Mit seiner ersten Frage möchte das Haparanda tingsrätt vom Gerichtshof im Wesentlichen wissen, ob eine nationale Gerichtspraxis, die die Verpflichtung des nationalen Gerichts, Vorschriften, die gegen ein durch die EMRK oder die Charta garantiertes Grundrecht verstoßen, unangewendet zu lassen, davon abhängig macht, dass sich dieser Verstoß klar aus den betreffenden Rechtsvorschriften oder der entsprechenden Rechtsprechung ergibt, mit dem Unionsrecht vereinbar ist.</w:t>
      </w:r>
    </w:p>
    <w:p w:rsidR="0011625F" w:rsidRDefault="0011625F" w:rsidP="0011625F">
      <w:pPr>
        <w:pStyle w:val="c01pointnumerotealtn"/>
      </w:pPr>
      <w:bookmarkStart w:id="44" w:name="point44"/>
      <w:r>
        <w:t>44</w:t>
      </w:r>
      <w:bookmarkEnd w:id="44"/>
      <w:r>
        <w:t xml:space="preserve">      Was zunächst die Konsequenzen betrifft, die das nationale Gericht aus einem Widerspruch zwischen dem nationalen Recht und der EMRK zu ziehen hat, ist daran zu erinnern, dass die durch die EMRK anerkannten Grundrechte, wie Art. 6 Abs. 3 EUV bestätigt, als allgemeine Grundsätze zwar Teil des Unionsrechts sind, und dass nach Art. 52 Abs. 3 der Charta die in dieser enthaltenen Rechte, die den durch die EMRK garantierten Rechten entsprechen, die gleiche Bedeutung und Tragweite haben, wie sie ihnen in der genannten Konvention verliehen werden, doch stellt diese Konvention, solange die Union ihr nicht beigetreten ist, kein Rechtsinstrument dar, das formell in die </w:t>
      </w:r>
      <w:r>
        <w:lastRenderedPageBreak/>
        <w:t>Unionsrechtsordnung übernommen worden ist. Folglich regelt das Unionsrecht nicht das Verhältnis zwischen der EMRK und den Rechtsordnungen der Mitgliedstaaten und bestimmt auch nicht, welche Konsequenzen ein nationales Gericht aus einem Widerspruch zwischen den durch die EMRK gewährleisteten Rechten und einer nationalen Rechtsvorschrift zu ziehen hat (vgl. in diesem Sinne Urteil vom 24. April 2012, Kamberaj, C</w:t>
      </w:r>
      <w:r>
        <w:noBreakHyphen/>
        <w:t>571/10, Randnr. 62).</w:t>
      </w:r>
    </w:p>
    <w:p w:rsidR="0011625F" w:rsidRDefault="0011625F" w:rsidP="0011625F">
      <w:pPr>
        <w:pStyle w:val="c01pointnumerotealtn"/>
      </w:pPr>
      <w:bookmarkStart w:id="45" w:name="point45"/>
      <w:r>
        <w:t>45</w:t>
      </w:r>
      <w:bookmarkEnd w:id="45"/>
      <w:r>
        <w:t>      Was sodann die Konsequenzen betrifft, die das nationale Gericht aus einem Widerspruch zwischen Bestimmungen seines innerstaatlichen Rechts und den durch die Charta verbürgten Rechten zu ziehen hat, so ist dieses Gericht, das im Rahmen seiner Zuständigkeit die Bestimmungen des Unionsrechts anzuwenden hat, nach ständiger Rechtsprechung gehalten, für die volle Wirksamkeit dieser Normen Sorge zu tragen, indem es erforderlichenfalls jede – auch spätere – entgegenstehende Bestimmung des nationalen Rechts aus eigener Entscheidungsbefugnis unangewandt lässt, ohne dass es die vorherige Beseitigung dieser Bestimmung auf gesetzgeberischem Wege oder durch irgendein anderes verfassungsrechtliches Verfahren beantragen oder abwarten müsste (Urteile vom 9. März 1978, Simmenthal, 106/77, Slg. 1978, 629, Randnrn. 21 und 24, vom 19. November 2009, Filipiak, C</w:t>
      </w:r>
      <w:r>
        <w:noBreakHyphen/>
        <w:t>314/08, Slg. 2009, I</w:t>
      </w:r>
      <w:r>
        <w:noBreakHyphen/>
        <w:t>11049, Randnr. 81, sowie vom 22. Juni 2010, Melki und Abdeli, C</w:t>
      </w:r>
      <w:r>
        <w:noBreakHyphen/>
        <w:t>188/10 und C</w:t>
      </w:r>
      <w:r>
        <w:noBreakHyphen/>
        <w:t>189/10, Slg. 2010, I</w:t>
      </w:r>
      <w:r>
        <w:noBreakHyphen/>
        <w:t>5667, Randnr. 43).</w:t>
      </w:r>
    </w:p>
    <w:p w:rsidR="0011625F" w:rsidRDefault="0011625F" w:rsidP="0011625F">
      <w:pPr>
        <w:pStyle w:val="c01pointnumerotealtn"/>
      </w:pPr>
      <w:bookmarkStart w:id="46" w:name="point46"/>
      <w:r>
        <w:t>46</w:t>
      </w:r>
      <w:bookmarkEnd w:id="46"/>
      <w:r>
        <w:t>      Mit den in der Natur des Unionsrechts liegenden Erfordernissen ist nämlich jede Bestimmung einer nationalen Rechtsordnung oder jede Gesetzgebungs-, Verwaltungs- oder Gerichtspraxis unvereinbar, die dadurch zu einer Schwächung der Wirksamkeit des Unionsrechts führt, dass dem für die Anwendung dieses Rechts zuständigen Gericht die Befugnis abgesprochen wird, bereits zum Zeitpunkt dieser Anwendung alles Erforderliche zu tun, um diejenigen innerstaatlichen Rechtsvorschriften auszuschalten, die unter Umständen ein Hindernis für die volle Wirksamkeit der Unionsnormen bilden (Urteil Melki und Abdeli, Randnr. 44 und die dort angeführte Rechtsprechung).</w:t>
      </w:r>
    </w:p>
    <w:p w:rsidR="0011625F" w:rsidRDefault="0011625F" w:rsidP="0011625F">
      <w:pPr>
        <w:pStyle w:val="c01pointnumerotealtn"/>
      </w:pPr>
      <w:bookmarkStart w:id="47" w:name="point47"/>
      <w:r>
        <w:t>47</w:t>
      </w:r>
      <w:bookmarkEnd w:id="47"/>
      <w:r>
        <w:t>      Außerdem hat gemäß Art. 267 AEUV ein innerstaatliches Gericht, bei dem ein Rechtsstreit über das Unionsrecht anhängig ist und dem dessen Sinn oder Reichweite nicht klar ist, das Recht oder gegebenenfalls die Pflicht, dem Gerichtshof Fragen nach der Auslegung der fraglichen Bestimmung des Unionsrechts vorzulegen (vgl. in diesem Sinne Urteil vom 6. Oktober 1982, Cilfit u. a., 283/81, Slg. 1982, 3415).</w:t>
      </w:r>
    </w:p>
    <w:p w:rsidR="0011625F" w:rsidRDefault="0011625F" w:rsidP="0011625F">
      <w:pPr>
        <w:pStyle w:val="c01pointnumerotealtn"/>
      </w:pPr>
      <w:bookmarkStart w:id="48" w:name="point48"/>
      <w:r>
        <w:t>48</w:t>
      </w:r>
      <w:bookmarkEnd w:id="48"/>
      <w:r>
        <w:t>      Daraus folgt, dass das Unionsrecht einer Gerichtspraxis entgegensteht, die die Verpflichtung des nationalen Gerichts, Vorschriften, die gegen ein durch die Charta garantiertes Grundrecht verstoßen, unangewendet zu lassen, davon abhängig macht, dass sich dieser Verstoß klar aus den Bestimmungen der Charta oder aus der entsprechenden Rechtsprechung ergibt, da sie dem nationalen Gericht die Befugnis abspricht – gegebenenfalls in Zusammenarbeit mit dem Gerichtshof – die Vereinbarkeit dieser Bestimmung mit der Charta umfassend zu beurteilen.</w:t>
      </w:r>
    </w:p>
    <w:p w:rsidR="0011625F" w:rsidRDefault="0011625F" w:rsidP="0011625F">
      <w:pPr>
        <w:pStyle w:val="c01pointnumerotealtn"/>
      </w:pPr>
      <w:bookmarkStart w:id="49" w:name="point49"/>
      <w:r>
        <w:t>49</w:t>
      </w:r>
      <w:bookmarkEnd w:id="49"/>
      <w:r>
        <w:t>      Aufgrund der vorstehenden Erwägungen ist die erste Frage wie folgt zu beantworten:</w:t>
      </w:r>
    </w:p>
    <w:p w:rsidR="0011625F" w:rsidRDefault="0011625F" w:rsidP="0011625F">
      <w:pPr>
        <w:pStyle w:val="c03tiretlong"/>
      </w:pPr>
      <w:r>
        <w:lastRenderedPageBreak/>
        <w:t>–        Das Unionsrecht regelt nicht das Verhältnis zwischen der EMRK und den Rechtsordnungen der Mitgliedstaaten und bestimmt auch nicht, welche Konsequenzen ein nationales Gericht aus einem Widerspruch zwischen den durch die EMRK gewährleisteten Rechten und einer nationalen Rechtsvorschrift zu ziehen hat.</w:t>
      </w:r>
    </w:p>
    <w:p w:rsidR="0011625F" w:rsidRDefault="0011625F" w:rsidP="0011625F">
      <w:pPr>
        <w:pStyle w:val="c03tiretlong"/>
      </w:pPr>
      <w:r>
        <w:t>–        Das Unionsrecht steht einer Gerichtspraxis entgegen, die die Verpflichtung des nationalen Gerichts, Vorschriften, die gegen ein durch die Charta garantiertes Grundrecht verstoßen, unangewendet zu lassen, davon abhängig macht, dass sich dieser Verstoß klar aus den betreffenden Rechtsvorschriften oder der entsprechenden Rechtsprechung ergibt, da sie dem nationalen Gericht die Befugnis abspricht – gegebenenfalls in Zusammenarbeit mit dem Gerichtshof – die Vereinbarkeit dieser Bestimmung mit der Charta umfassend zu beurteilen.</w:t>
      </w:r>
    </w:p>
    <w:p w:rsidR="0011625F" w:rsidRDefault="0011625F" w:rsidP="0011625F">
      <w:pPr>
        <w:pStyle w:val="c04titre1"/>
      </w:pPr>
      <w:r>
        <w:t> </w:t>
      </w:r>
      <w:r>
        <w:rPr>
          <w:b/>
          <w:bCs/>
        </w:rPr>
        <w:t>Kosten</w:t>
      </w:r>
    </w:p>
    <w:p w:rsidR="0011625F" w:rsidRDefault="0011625F" w:rsidP="0011625F">
      <w:pPr>
        <w:pStyle w:val="c01pointnumerotealtn"/>
      </w:pPr>
      <w:bookmarkStart w:id="50" w:name="point50"/>
      <w:r>
        <w:t>50</w:t>
      </w:r>
      <w:bookmarkEnd w:id="50"/>
      <w:r>
        <w:t>      Für die Beteiligten des Ausgangsverfahrens ist das Verfahren Teil des bei dem vorlegenden Gericht anhängigen Verfahrens; die Kostenentscheidung ist daher Sache dieses Gerichts. Die Auslagen anderer Beteiligter für die Abgabe von Erklärungen vor dem Gerichtshof sind nicht erstattungsfähig.</w:t>
      </w:r>
    </w:p>
    <w:p w:rsidR="0011625F" w:rsidRDefault="0011625F" w:rsidP="0011625F">
      <w:pPr>
        <w:pStyle w:val="c41dispositifintroduction"/>
      </w:pPr>
      <w:r>
        <w:t>Aus diesen Gründen hat der Gerichtshof (Große Kammer) für Recht erkannt:</w:t>
      </w:r>
    </w:p>
    <w:p w:rsidR="0011625F" w:rsidRDefault="0011625F" w:rsidP="0011625F">
      <w:pPr>
        <w:pStyle w:val="c08dispositif"/>
      </w:pPr>
      <w:r>
        <w:t>1.      </w:t>
      </w:r>
      <w:r>
        <w:rPr>
          <w:b/>
          <w:bCs/>
        </w:rPr>
        <w:t xml:space="preserve">Der in Art. 50 der Charta der Grundrechte der Europäischen Union aufgestellte Grundsatz </w:t>
      </w:r>
      <w:r>
        <w:rPr>
          <w:b/>
          <w:bCs/>
          <w:i/>
          <w:iCs/>
        </w:rPr>
        <w:t xml:space="preserve">ne bis in idem </w:t>
      </w:r>
      <w:r>
        <w:rPr>
          <w:b/>
          <w:bCs/>
        </w:rPr>
        <w:t>hindert einen Mitgliedstaat nicht daran, zur Ahndung derselben Tat der Nichtbeachtung von Erklärungspflichten im Bereich der Mehrwertsteuer eine steuerliche Sanktion und danach eine strafrechtliche Sanktion zu verhängen, sofern die erste Sanktion keinen strafrechtlichen Charakter hat, was vom nationalen Gericht zu prüfen ist.</w:t>
      </w:r>
    </w:p>
    <w:p w:rsidR="0011625F" w:rsidRDefault="0011625F" w:rsidP="0011625F">
      <w:pPr>
        <w:pStyle w:val="c08dispositif"/>
      </w:pPr>
      <w:r>
        <w:t>2.      </w:t>
      </w:r>
      <w:r>
        <w:rPr>
          <w:b/>
          <w:bCs/>
        </w:rPr>
        <w:t>Das Unionsrecht regelt nicht das Verhältnis zwischen der am 4. November 1950 in Rom unterzeichneten Europäischen Konvention zum Schutz der Menschenrechte und Grundfreiheiten und den Rechtsordnungen der Mitgliedstaaten und bestimmt auch nicht, welche Konsequenzen ein nationales Gericht aus einem Widerspruch zwischen den durch diese Konvention gewährleisteten Rechten und einer nationalen Rechtsvorschrift zu ziehen hat.</w:t>
      </w:r>
    </w:p>
    <w:p w:rsidR="0011625F" w:rsidRDefault="0011625F" w:rsidP="0011625F">
      <w:pPr>
        <w:pStyle w:val="c32dispositifmarge1"/>
      </w:pPr>
      <w:r>
        <w:rPr>
          <w:b/>
          <w:bCs/>
        </w:rPr>
        <w:t>Das Unionsrecht steht einer Gerichtspraxis entgegen, die die Verpflichtung des nationalen Gerichts, Vorschriften, die gegen ein durch die Charta der Grundrechte der Europäischen Union garantiertes Grundrecht verstoßen, unangewendet zu lassen, davon abhängig macht, dass sich dieser Verstoß klar aus den betreffenden Rechtsvorschriften oder der entsprechenden Rechtsprechung ergibt, da sie dem nationalen Gericht die Befugnis abspricht – gegebenenfalls in Zusammenarbeit mit dem Gerichtshof der Europäischen Union – die Vereinbarkeit dieser Bestimmung mit der Charta umfassend zu beurteilen.</w:t>
      </w:r>
    </w:p>
    <w:p w:rsidR="0011625F" w:rsidRDefault="0011625F" w:rsidP="0011625F">
      <w:pPr>
        <w:pStyle w:val="c77signatures"/>
      </w:pPr>
      <w:r>
        <w:t>Unterschriften</w:t>
      </w:r>
    </w:p>
    <w:p w:rsidR="005D602F" w:rsidRDefault="0011625F">
      <w:bookmarkStart w:id="51" w:name="_GoBack"/>
      <w:bookmarkEnd w:id="51"/>
    </w:p>
    <w:sectPr w:rsidR="005D6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5F"/>
    <w:rsid w:val="0011625F"/>
    <w:rsid w:val="00717497"/>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36841-C183-4EBE-8578-E74C1F7A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entre">
    <w:name w:val="c19centre"/>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11625F"/>
    <w:rPr>
      <w:color w:val="0000FF"/>
      <w:u w:val="single"/>
    </w:rPr>
  </w:style>
  <w:style w:type="paragraph" w:customStyle="1" w:styleId="c71indicateur">
    <w:name w:val="c71indicateur"/>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titre2">
    <w:name w:val="c05titre2"/>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6titre3">
    <w:name w:val="c06titre3"/>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dispositif">
    <w:name w:val="c08dispositif"/>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dispositifmarge1">
    <w:name w:val="c32dispositifmarge1"/>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signatures">
    <w:name w:val="c77signatures"/>
    <w:basedOn w:val="a"/>
    <w:rsid w:val="00116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5666</Words>
  <Characters>32300</Characters>
  <Application>Microsoft Office Word</Application>
  <DocSecurity>0</DocSecurity>
  <Lines>269</Lines>
  <Paragraphs>75</Paragraphs>
  <ScaleCrop>false</ScaleCrop>
  <Company/>
  <LinksUpToDate>false</LinksUpToDate>
  <CharactersWithSpaces>37891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2017-01-26T10:10:00Z</dcterms:created>
  <dcterms:modified xsi:type="dcterms:W3CDTF">2017-01-26T10:10:00Z</dcterms:modified>
</cp:coreProperties>
</file>