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C293B" w14:textId="77777777" w:rsidR="00D60447" w:rsidRPr="00775034" w:rsidRDefault="00D60447" w:rsidP="0099725A">
      <w:pPr>
        <w:jc w:val="both"/>
        <w:rPr>
          <w:u w:val="single"/>
          <w:lang w:val="el-GR"/>
        </w:rPr>
      </w:pPr>
      <w:bookmarkStart w:id="0" w:name="_GoBack"/>
      <w:bookmarkEnd w:id="0"/>
      <w:r w:rsidRPr="00775034">
        <w:rPr>
          <w:u w:val="single"/>
          <w:lang w:val="el-GR"/>
        </w:rPr>
        <w:t>Μεταπτυχιακό πρόγραμμα Διεθνών Σπουδών</w:t>
      </w:r>
    </w:p>
    <w:p w14:paraId="4BB69EF7" w14:textId="77777777" w:rsidR="00E871FD" w:rsidRPr="0099725A" w:rsidRDefault="00D60447" w:rsidP="0099725A">
      <w:pPr>
        <w:jc w:val="both"/>
        <w:rPr>
          <w:lang w:val="el-GR"/>
        </w:rPr>
      </w:pPr>
      <w:r w:rsidRPr="0099725A">
        <w:rPr>
          <w:lang w:val="el-GR"/>
        </w:rPr>
        <w:t>Κατεύθυνση ιδιωτικού διεθνούς δικαίου</w:t>
      </w:r>
    </w:p>
    <w:p w14:paraId="37FD3E1A" w14:textId="77777777" w:rsidR="00D60447" w:rsidRPr="0099725A" w:rsidRDefault="00D60447" w:rsidP="0099725A">
      <w:pPr>
        <w:jc w:val="both"/>
        <w:rPr>
          <w:lang w:val="el-GR"/>
        </w:rPr>
      </w:pPr>
      <w:r w:rsidRPr="0099725A">
        <w:rPr>
          <w:lang w:val="el-GR"/>
        </w:rPr>
        <w:t>Υπεύθυνος Καθηγητής Χάρης Παμπούκης</w:t>
      </w:r>
    </w:p>
    <w:p w14:paraId="09443328" w14:textId="77777777" w:rsidR="00D60447" w:rsidRPr="0099725A" w:rsidRDefault="00D60447" w:rsidP="0099725A">
      <w:pPr>
        <w:jc w:val="both"/>
        <w:rPr>
          <w:lang w:val="el-GR"/>
        </w:rPr>
      </w:pPr>
      <w:r w:rsidRPr="0099725A">
        <w:rPr>
          <w:lang w:val="el-GR"/>
        </w:rPr>
        <w:t>Διδακτική ομάδα: Λέκτωρ Α. Γουργουρίνης, Δρ. Μεταλληνός, Δρ. Μαραζοπούλου</w:t>
      </w:r>
    </w:p>
    <w:p w14:paraId="186B327E" w14:textId="77777777" w:rsidR="00D60447" w:rsidRPr="0099725A" w:rsidRDefault="00D60447" w:rsidP="0099725A">
      <w:pPr>
        <w:jc w:val="both"/>
        <w:rPr>
          <w:lang w:val="el-GR"/>
        </w:rPr>
      </w:pPr>
    </w:p>
    <w:p w14:paraId="6F203A2F" w14:textId="77777777" w:rsidR="00775034" w:rsidRDefault="00775034" w:rsidP="0099725A">
      <w:pPr>
        <w:jc w:val="both"/>
        <w:rPr>
          <w:lang w:val="el-GR"/>
        </w:rPr>
      </w:pPr>
    </w:p>
    <w:p w14:paraId="426505C0" w14:textId="77777777" w:rsidR="00775034" w:rsidRDefault="00775034" w:rsidP="0099725A">
      <w:pPr>
        <w:jc w:val="both"/>
        <w:rPr>
          <w:lang w:val="el-GR"/>
        </w:rPr>
      </w:pPr>
    </w:p>
    <w:p w14:paraId="637CBEA6" w14:textId="0FCB1143" w:rsidR="00D60447" w:rsidRPr="00775034" w:rsidRDefault="00D60447" w:rsidP="0099725A">
      <w:pPr>
        <w:jc w:val="both"/>
        <w:rPr>
          <w:b/>
          <w:i/>
          <w:lang w:val="el-GR"/>
        </w:rPr>
      </w:pPr>
      <w:r w:rsidRPr="00775034">
        <w:rPr>
          <w:b/>
          <w:i/>
          <w:lang w:val="el-GR"/>
        </w:rPr>
        <w:t xml:space="preserve">Θέμα: Οι κληρονομικές σχέσεις στο ιδ.δ.δ. – Ιδιαίτερα ο </w:t>
      </w:r>
      <w:r w:rsidR="005E4E27">
        <w:rPr>
          <w:b/>
          <w:i/>
          <w:lang w:val="el-GR"/>
        </w:rPr>
        <w:t>Κανονισμός «κληρονομικές σχέσεις»</w:t>
      </w:r>
      <w:r w:rsidRPr="00775034">
        <w:rPr>
          <w:b/>
          <w:i/>
          <w:lang w:val="el-GR"/>
        </w:rPr>
        <w:t xml:space="preserve">  (650/2012)</w:t>
      </w:r>
    </w:p>
    <w:p w14:paraId="43AACCF5" w14:textId="77777777" w:rsidR="00D60447" w:rsidRPr="0099725A" w:rsidRDefault="00D60447" w:rsidP="0099725A">
      <w:pPr>
        <w:jc w:val="both"/>
        <w:rPr>
          <w:lang w:val="el-GR"/>
        </w:rPr>
      </w:pPr>
    </w:p>
    <w:p w14:paraId="0A85A701" w14:textId="77777777" w:rsidR="00D60447" w:rsidRPr="0099725A" w:rsidRDefault="00D60447" w:rsidP="0099725A">
      <w:pPr>
        <w:jc w:val="both"/>
        <w:rPr>
          <w:lang w:val="el-GR"/>
        </w:rPr>
      </w:pPr>
    </w:p>
    <w:p w14:paraId="4464763A" w14:textId="77777777" w:rsidR="00D60447" w:rsidRPr="0099725A" w:rsidRDefault="00D60447" w:rsidP="0099725A">
      <w:pPr>
        <w:jc w:val="both"/>
        <w:rPr>
          <w:lang w:val="el-GR"/>
        </w:rPr>
      </w:pPr>
    </w:p>
    <w:p w14:paraId="5D1876FF" w14:textId="77777777" w:rsidR="00D60447" w:rsidRPr="00775034" w:rsidRDefault="00D60447" w:rsidP="0099725A">
      <w:pPr>
        <w:jc w:val="both"/>
        <w:rPr>
          <w:b/>
          <w:lang w:val="el-GR"/>
        </w:rPr>
      </w:pPr>
      <w:r w:rsidRPr="00775034">
        <w:rPr>
          <w:b/>
          <w:lang w:val="el-GR"/>
        </w:rPr>
        <w:t>Θεματικές</w:t>
      </w:r>
    </w:p>
    <w:p w14:paraId="0E99EC02" w14:textId="77777777" w:rsidR="00E26031" w:rsidRPr="0099725A" w:rsidRDefault="00E26031" w:rsidP="0099725A">
      <w:pPr>
        <w:jc w:val="both"/>
        <w:rPr>
          <w:lang w:val="el-GR"/>
        </w:rPr>
      </w:pPr>
    </w:p>
    <w:p w14:paraId="41FFB443" w14:textId="77777777" w:rsidR="00E26031" w:rsidRPr="0099725A" w:rsidRDefault="00E26031" w:rsidP="0099725A">
      <w:pPr>
        <w:pStyle w:val="a3"/>
        <w:numPr>
          <w:ilvl w:val="0"/>
          <w:numId w:val="1"/>
        </w:numPr>
        <w:jc w:val="both"/>
        <w:rPr>
          <w:lang w:val="el-GR"/>
        </w:rPr>
      </w:pPr>
      <w:r w:rsidRPr="0099725A">
        <w:rPr>
          <w:lang w:val="el-GR"/>
        </w:rPr>
        <w:t>Εισαγωγή- Η σπουδαιότητα του Κανονισμού 650 ως προς τη διεθνής δικαιοδοσία και το εφαρμοστέο δίκαιο/ Προσδιορισμός τι καταλείπεται στο εσωτερικό δίκαιο (δικονομικό διεθνές και ΑΚ 28)- Η τάξη εξέτασης των ζητημάτων- Η σημασία το Προοιμίου και των ορισμών ως προς την ερμηνεία του</w:t>
      </w:r>
    </w:p>
    <w:p w14:paraId="09B33646" w14:textId="7144C252" w:rsidR="00E26031" w:rsidRPr="0099725A" w:rsidRDefault="00E26031" w:rsidP="0099725A">
      <w:pPr>
        <w:pStyle w:val="a3"/>
        <w:numPr>
          <w:ilvl w:val="0"/>
          <w:numId w:val="1"/>
        </w:numPr>
        <w:jc w:val="both"/>
        <w:rPr>
          <w:lang w:val="el-GR"/>
        </w:rPr>
      </w:pPr>
      <w:r w:rsidRPr="0099725A">
        <w:rPr>
          <w:lang w:val="el-GR"/>
        </w:rPr>
        <w:t>Οι γενι</w:t>
      </w:r>
      <w:r w:rsidR="005E4E27">
        <w:rPr>
          <w:lang w:val="el-GR"/>
        </w:rPr>
        <w:t xml:space="preserve">κές αρχές του Κανονισμού </w:t>
      </w:r>
      <w:r w:rsidRPr="0099725A">
        <w:rPr>
          <w:lang w:val="el-GR"/>
        </w:rPr>
        <w:t>.  Το υλικό πεδίο εφαρμογής του- προκρίματα – Το χρονικό πεδίο εφαρμογής του</w:t>
      </w:r>
    </w:p>
    <w:p w14:paraId="7280F24E" w14:textId="77777777" w:rsidR="005E4E27" w:rsidRDefault="005E4E27" w:rsidP="005E4E27">
      <w:pPr>
        <w:pStyle w:val="a3"/>
        <w:jc w:val="both"/>
        <w:rPr>
          <w:lang w:val="el-GR"/>
        </w:rPr>
      </w:pPr>
    </w:p>
    <w:p w14:paraId="57DC955E" w14:textId="7622FA82" w:rsidR="005E4E27" w:rsidRDefault="005E4E27" w:rsidP="005E4E27">
      <w:pPr>
        <w:pStyle w:val="a3"/>
        <w:ind w:left="2880"/>
        <w:jc w:val="both"/>
        <w:rPr>
          <w:lang w:val="el-GR"/>
        </w:rPr>
      </w:pPr>
      <w:r>
        <w:rPr>
          <w:lang w:val="el-GR"/>
        </w:rPr>
        <w:t>*        *       *</w:t>
      </w:r>
    </w:p>
    <w:p w14:paraId="445B1AE1" w14:textId="77777777" w:rsidR="005E4E27" w:rsidRDefault="005E4E27" w:rsidP="005E4E27">
      <w:pPr>
        <w:pStyle w:val="a3"/>
        <w:ind w:left="2880"/>
        <w:jc w:val="both"/>
        <w:rPr>
          <w:lang w:val="el-GR"/>
        </w:rPr>
      </w:pPr>
    </w:p>
    <w:p w14:paraId="3B35DD4B" w14:textId="0BD7FC03" w:rsidR="00E26031" w:rsidRPr="0099725A" w:rsidRDefault="00E26031" w:rsidP="0099725A">
      <w:pPr>
        <w:pStyle w:val="a3"/>
        <w:numPr>
          <w:ilvl w:val="0"/>
          <w:numId w:val="1"/>
        </w:numPr>
        <w:jc w:val="both"/>
        <w:rPr>
          <w:lang w:val="el-GR"/>
        </w:rPr>
      </w:pPr>
      <w:r w:rsidRPr="0099725A">
        <w:rPr>
          <w:lang w:val="el-GR"/>
        </w:rPr>
        <w:t>Διεθνής δικαιοδοσία- Γενική βάση δωσιδικίας του Κανονισμού</w:t>
      </w:r>
      <w:r w:rsidR="00BF5B63" w:rsidRPr="0099725A">
        <w:rPr>
          <w:lang w:val="el-GR"/>
        </w:rPr>
        <w:t>[ συνήθης κατοικία]- περιορισμένη ρήτρα παρέκτασης δικαιοδοσίας- Εξαίρεση δωσιδικίας (άρθρο 6)- Gleichlauff [σύνδεση νομοθετικής και δικαιοδοτικής εξουσίας]</w:t>
      </w:r>
    </w:p>
    <w:p w14:paraId="77EBC30C" w14:textId="6720A694" w:rsidR="00BF5B63" w:rsidRPr="0099725A" w:rsidRDefault="00BF5B63" w:rsidP="0099725A">
      <w:pPr>
        <w:pStyle w:val="a3"/>
        <w:numPr>
          <w:ilvl w:val="0"/>
          <w:numId w:val="1"/>
        </w:numPr>
        <w:jc w:val="both"/>
        <w:rPr>
          <w:lang w:val="el-GR"/>
        </w:rPr>
      </w:pPr>
      <w:r w:rsidRPr="0099725A">
        <w:rPr>
          <w:lang w:val="el-GR"/>
        </w:rPr>
        <w:t xml:space="preserve">Επικουρικές δικαιοδοτικές βάσεις – forum necessitatis- </w:t>
      </w:r>
    </w:p>
    <w:p w14:paraId="61A5CE15" w14:textId="2B1647D8" w:rsidR="00A21956" w:rsidRDefault="00A21956" w:rsidP="0099725A">
      <w:pPr>
        <w:pStyle w:val="a3"/>
        <w:numPr>
          <w:ilvl w:val="0"/>
          <w:numId w:val="1"/>
        </w:numPr>
        <w:jc w:val="both"/>
        <w:rPr>
          <w:lang w:val="el-GR"/>
        </w:rPr>
      </w:pPr>
      <w:r w:rsidRPr="0099725A">
        <w:rPr>
          <w:lang w:val="el-GR"/>
        </w:rPr>
        <w:t>Εκκρεμοδικία και ασφαλιστικά μέτρα</w:t>
      </w:r>
    </w:p>
    <w:p w14:paraId="7C61E950" w14:textId="77777777" w:rsidR="005E4E27" w:rsidRDefault="005E4E27" w:rsidP="005E4E27">
      <w:pPr>
        <w:pStyle w:val="a3"/>
        <w:jc w:val="both"/>
        <w:rPr>
          <w:lang w:val="el-GR"/>
        </w:rPr>
      </w:pPr>
    </w:p>
    <w:p w14:paraId="36F14616" w14:textId="5394E4D3" w:rsidR="005E4E27" w:rsidRDefault="005E4E27" w:rsidP="005E4E27">
      <w:pPr>
        <w:pStyle w:val="a3"/>
        <w:ind w:left="2880"/>
        <w:jc w:val="both"/>
        <w:rPr>
          <w:lang w:val="el-GR"/>
        </w:rPr>
      </w:pPr>
      <w:r>
        <w:rPr>
          <w:lang w:val="el-GR"/>
        </w:rPr>
        <w:t>*        *         *</w:t>
      </w:r>
    </w:p>
    <w:p w14:paraId="5340A82F" w14:textId="77777777" w:rsidR="005E4E27" w:rsidRPr="0099725A" w:rsidRDefault="005E4E27" w:rsidP="005E4E27">
      <w:pPr>
        <w:pStyle w:val="a3"/>
        <w:jc w:val="both"/>
        <w:rPr>
          <w:lang w:val="el-GR"/>
        </w:rPr>
      </w:pPr>
    </w:p>
    <w:p w14:paraId="5E6A323D" w14:textId="743B4677" w:rsidR="00A21956" w:rsidRPr="0099725A" w:rsidRDefault="00A21956" w:rsidP="0099725A">
      <w:pPr>
        <w:pStyle w:val="a3"/>
        <w:numPr>
          <w:ilvl w:val="0"/>
          <w:numId w:val="1"/>
        </w:numPr>
        <w:jc w:val="both"/>
        <w:rPr>
          <w:lang w:val="el-GR"/>
        </w:rPr>
      </w:pPr>
      <w:r w:rsidRPr="0099725A">
        <w:rPr>
          <w:lang w:val="el-GR"/>
        </w:rPr>
        <w:t>Εφαρμοστέο δίκαιο- ο κοινοτικός κανόνας συγκρούσεως του άρθρου 21- ο σύνδεσμος της συνήθους διαμονής- ρήτρα εξαιρέσεως της παρ. 2;</w:t>
      </w:r>
    </w:p>
    <w:p w14:paraId="144CE5B2" w14:textId="4854C900" w:rsidR="00A21956" w:rsidRDefault="00A21956" w:rsidP="0099725A">
      <w:pPr>
        <w:pStyle w:val="a3"/>
        <w:numPr>
          <w:ilvl w:val="0"/>
          <w:numId w:val="1"/>
        </w:numPr>
        <w:jc w:val="both"/>
        <w:rPr>
          <w:i/>
          <w:lang w:val="el-GR"/>
        </w:rPr>
      </w:pPr>
      <w:r w:rsidRPr="006B7D6A">
        <w:rPr>
          <w:i/>
          <w:lang w:val="el-GR"/>
        </w:rPr>
        <w:t>Professio juris</w:t>
      </w:r>
    </w:p>
    <w:p w14:paraId="4ACA97D1" w14:textId="00F533B5" w:rsidR="006B7D6A" w:rsidRPr="006B7D6A" w:rsidRDefault="006B7D6A" w:rsidP="0099725A">
      <w:pPr>
        <w:pStyle w:val="a3"/>
        <w:numPr>
          <w:ilvl w:val="0"/>
          <w:numId w:val="1"/>
        </w:numPr>
        <w:jc w:val="both"/>
        <w:rPr>
          <w:i/>
          <w:lang w:val="el-GR"/>
        </w:rPr>
      </w:pPr>
      <w:r>
        <w:rPr>
          <w:lang w:val="el-GR"/>
        </w:rPr>
        <w:t>Ρήτρα εξαιρέσεως (διαφυγής)</w:t>
      </w:r>
    </w:p>
    <w:p w14:paraId="210B44A2" w14:textId="3787D5A4" w:rsidR="00A21956" w:rsidRPr="0099725A" w:rsidRDefault="00A21956" w:rsidP="0099725A">
      <w:pPr>
        <w:pStyle w:val="a3"/>
        <w:numPr>
          <w:ilvl w:val="0"/>
          <w:numId w:val="1"/>
        </w:numPr>
        <w:jc w:val="both"/>
        <w:rPr>
          <w:lang w:val="el-GR"/>
        </w:rPr>
      </w:pPr>
      <w:r w:rsidRPr="0099725A">
        <w:rPr>
          <w:lang w:val="el-GR"/>
        </w:rPr>
        <w:t xml:space="preserve">Η έκταση εφαρμογής της </w:t>
      </w:r>
      <w:r w:rsidRPr="006B7D6A">
        <w:rPr>
          <w:i/>
          <w:lang w:val="el-GR"/>
        </w:rPr>
        <w:t>lex hereditatis</w:t>
      </w:r>
    </w:p>
    <w:p w14:paraId="7BDBB56F" w14:textId="5F446314" w:rsidR="00A21956" w:rsidRPr="0099725A" w:rsidRDefault="00A21956" w:rsidP="0099725A">
      <w:pPr>
        <w:pStyle w:val="a3"/>
        <w:numPr>
          <w:ilvl w:val="0"/>
          <w:numId w:val="1"/>
        </w:numPr>
        <w:jc w:val="both"/>
        <w:rPr>
          <w:lang w:val="el-GR"/>
        </w:rPr>
      </w:pPr>
      <w:r w:rsidRPr="0099725A">
        <w:rPr>
          <w:lang w:val="el-GR"/>
        </w:rPr>
        <w:t>Οι ουσιαστικοί κανόνες ως προς τυπική και ουσιαστική εγκυρότητα διαθηκών</w:t>
      </w:r>
    </w:p>
    <w:p w14:paraId="6A8A8605" w14:textId="75CA11D1" w:rsidR="00A21956" w:rsidRPr="0099725A" w:rsidRDefault="0099725A" w:rsidP="0099725A">
      <w:pPr>
        <w:pStyle w:val="a3"/>
        <w:numPr>
          <w:ilvl w:val="0"/>
          <w:numId w:val="1"/>
        </w:numPr>
        <w:jc w:val="both"/>
        <w:rPr>
          <w:lang w:val="el-GR"/>
        </w:rPr>
      </w:pPr>
      <w:r w:rsidRPr="0099725A">
        <w:rPr>
          <w:lang w:val="el-GR"/>
        </w:rPr>
        <w:t>Ο “διαχειριστής κληρονομίας” []</w:t>
      </w:r>
    </w:p>
    <w:p w14:paraId="17EBCDD4" w14:textId="2E69BF30" w:rsidR="0099725A" w:rsidRDefault="0099725A" w:rsidP="0099725A">
      <w:pPr>
        <w:pStyle w:val="a3"/>
        <w:numPr>
          <w:ilvl w:val="0"/>
          <w:numId w:val="1"/>
        </w:numPr>
        <w:jc w:val="both"/>
        <w:rPr>
          <w:lang w:val="el-GR"/>
        </w:rPr>
      </w:pPr>
      <w:r w:rsidRPr="0099725A">
        <w:rPr>
          <w:lang w:val="el-GR"/>
        </w:rPr>
        <w:t>Παραπομπή και διεθνής δημόσια τάξη</w:t>
      </w:r>
    </w:p>
    <w:p w14:paraId="0A5D1299" w14:textId="77777777" w:rsidR="005E4E27" w:rsidRDefault="005E4E27" w:rsidP="005E4E27">
      <w:pPr>
        <w:jc w:val="both"/>
        <w:rPr>
          <w:lang w:val="el-GR"/>
        </w:rPr>
      </w:pPr>
    </w:p>
    <w:p w14:paraId="3149F5B0" w14:textId="7D63389A" w:rsidR="005E4E27" w:rsidRPr="005E4E27" w:rsidRDefault="005E4E27" w:rsidP="005E4E27">
      <w:pPr>
        <w:ind w:left="2880"/>
        <w:jc w:val="both"/>
        <w:rPr>
          <w:lang w:val="el-GR"/>
        </w:rPr>
      </w:pPr>
      <w:r>
        <w:rPr>
          <w:lang w:val="el-GR"/>
        </w:rPr>
        <w:t>*         *         *</w:t>
      </w:r>
    </w:p>
    <w:p w14:paraId="54F3F779" w14:textId="3DA90B17" w:rsidR="0099725A" w:rsidRPr="0099725A" w:rsidRDefault="0099725A" w:rsidP="0099725A">
      <w:pPr>
        <w:pStyle w:val="a3"/>
        <w:numPr>
          <w:ilvl w:val="0"/>
          <w:numId w:val="1"/>
        </w:numPr>
        <w:jc w:val="both"/>
        <w:rPr>
          <w:lang w:val="el-GR"/>
        </w:rPr>
      </w:pPr>
      <w:r w:rsidRPr="0099725A">
        <w:rPr>
          <w:lang w:val="el-GR"/>
        </w:rPr>
        <w:lastRenderedPageBreak/>
        <w:t>Η αναγνώριση και εκτέλεση αλλοδαπών αποφάσεων κληρονομικών σχέσεων – προϋποθέσεις- διαδικασία- λόγοι αρνήσεως-</w:t>
      </w:r>
    </w:p>
    <w:p w14:paraId="1733EA1D" w14:textId="74011E0C" w:rsidR="0099725A" w:rsidRPr="0099725A" w:rsidRDefault="0099725A" w:rsidP="0099725A">
      <w:pPr>
        <w:pStyle w:val="a3"/>
        <w:numPr>
          <w:ilvl w:val="0"/>
          <w:numId w:val="1"/>
        </w:numPr>
        <w:jc w:val="both"/>
        <w:rPr>
          <w:lang w:val="el-GR"/>
        </w:rPr>
      </w:pPr>
      <w:r w:rsidRPr="0099725A">
        <w:rPr>
          <w:lang w:val="el-GR"/>
        </w:rPr>
        <w:t>Η ισχύς των δημοσίων εγγράφων και των δικαστικών συμβιβασμών</w:t>
      </w:r>
    </w:p>
    <w:p w14:paraId="530B4FCC" w14:textId="49DEFB57" w:rsidR="0099725A" w:rsidRPr="0099725A" w:rsidRDefault="0099725A" w:rsidP="0099725A">
      <w:pPr>
        <w:pStyle w:val="a3"/>
        <w:numPr>
          <w:ilvl w:val="0"/>
          <w:numId w:val="1"/>
        </w:numPr>
        <w:jc w:val="both"/>
        <w:rPr>
          <w:lang w:val="el-GR"/>
        </w:rPr>
      </w:pPr>
      <w:r w:rsidRPr="0099725A">
        <w:rPr>
          <w:lang w:val="el-GR"/>
        </w:rPr>
        <w:t xml:space="preserve">Το </w:t>
      </w:r>
      <w:r w:rsidR="005E4E27">
        <w:rPr>
          <w:lang w:val="el-GR"/>
        </w:rPr>
        <w:t>ευρωπαϊκό</w:t>
      </w:r>
      <w:r w:rsidRPr="0099725A">
        <w:rPr>
          <w:lang w:val="el-GR"/>
        </w:rPr>
        <w:t xml:space="preserve"> κληρονομητήριο</w:t>
      </w:r>
    </w:p>
    <w:p w14:paraId="699C2ADC" w14:textId="77777777" w:rsidR="0099725A" w:rsidRPr="0099725A" w:rsidRDefault="0099725A" w:rsidP="0099725A">
      <w:pPr>
        <w:pStyle w:val="a3"/>
        <w:jc w:val="both"/>
        <w:rPr>
          <w:lang w:val="el-GR"/>
        </w:rPr>
      </w:pPr>
    </w:p>
    <w:p w14:paraId="1C775320" w14:textId="77777777" w:rsidR="00D60447" w:rsidRPr="0099725A" w:rsidRDefault="00D60447" w:rsidP="0099725A">
      <w:pPr>
        <w:jc w:val="both"/>
        <w:rPr>
          <w:lang w:val="el-GR"/>
        </w:rPr>
      </w:pPr>
    </w:p>
    <w:p w14:paraId="28BCB40A" w14:textId="77777777" w:rsidR="00D60447" w:rsidRPr="0099725A" w:rsidRDefault="00D60447" w:rsidP="0099725A">
      <w:pPr>
        <w:jc w:val="both"/>
        <w:rPr>
          <w:lang w:val="el-GR"/>
        </w:rPr>
      </w:pPr>
    </w:p>
    <w:p w14:paraId="6A53AD0F" w14:textId="77777777" w:rsidR="00D60447" w:rsidRDefault="00D60447" w:rsidP="0099725A">
      <w:pPr>
        <w:jc w:val="both"/>
        <w:rPr>
          <w:b/>
          <w:lang w:val="el-GR"/>
        </w:rPr>
      </w:pPr>
      <w:r w:rsidRPr="00775034">
        <w:rPr>
          <w:b/>
          <w:lang w:val="el-GR"/>
        </w:rPr>
        <w:t>Εργασίες</w:t>
      </w:r>
    </w:p>
    <w:p w14:paraId="2159AFAE" w14:textId="77777777" w:rsidR="00775034" w:rsidRDefault="00775034" w:rsidP="0099725A">
      <w:pPr>
        <w:jc w:val="both"/>
        <w:rPr>
          <w:b/>
          <w:lang w:val="el-GR"/>
        </w:rPr>
      </w:pPr>
    </w:p>
    <w:p w14:paraId="08B57617" w14:textId="115B1ACF" w:rsidR="00775034" w:rsidRPr="00775034" w:rsidRDefault="00775034" w:rsidP="0099725A">
      <w:pPr>
        <w:jc w:val="both"/>
        <w:rPr>
          <w:b/>
          <w:lang w:val="el-GR"/>
        </w:rPr>
      </w:pPr>
      <w:r>
        <w:rPr>
          <w:b/>
          <w:lang w:val="el-GR"/>
        </w:rPr>
        <w:t>[ανά δύο φοιτητές- προφορική παρουσίαση και γραπτή παράδοση]</w:t>
      </w:r>
    </w:p>
    <w:p w14:paraId="272318F4" w14:textId="77777777" w:rsidR="00D60447" w:rsidRPr="0099725A" w:rsidRDefault="00D60447" w:rsidP="0099725A">
      <w:pPr>
        <w:jc w:val="both"/>
        <w:rPr>
          <w:lang w:val="el-GR"/>
        </w:rPr>
      </w:pPr>
    </w:p>
    <w:p w14:paraId="08810FD4" w14:textId="2416C8C9" w:rsidR="00D60447" w:rsidRPr="0099725A" w:rsidRDefault="00A21956" w:rsidP="0099725A">
      <w:pPr>
        <w:pStyle w:val="a3"/>
        <w:numPr>
          <w:ilvl w:val="0"/>
          <w:numId w:val="2"/>
        </w:numPr>
        <w:jc w:val="both"/>
        <w:rPr>
          <w:lang w:val="el-GR"/>
        </w:rPr>
      </w:pPr>
      <w:r w:rsidRPr="0099725A">
        <w:rPr>
          <w:lang w:val="el-GR"/>
        </w:rPr>
        <w:t>Το πεδίο εφαρμογής του Κανονισμού 650/2012 – Τα κυριότερα ερμηνευτικά προβλήματα του</w:t>
      </w:r>
      <w:r w:rsidR="002F552C">
        <w:rPr>
          <w:lang w:val="el-GR"/>
        </w:rPr>
        <w:t>- Η σχέση του με το εθνικό ιδ.δ.δ. (τι καταλείπεται στην ΑΚ 28 και στη ΚΠολΔ)</w:t>
      </w:r>
    </w:p>
    <w:p w14:paraId="737BCA37" w14:textId="4E33AD54" w:rsidR="00A21956" w:rsidRPr="0099725A" w:rsidRDefault="00A21956" w:rsidP="0099725A">
      <w:pPr>
        <w:pStyle w:val="a3"/>
        <w:numPr>
          <w:ilvl w:val="0"/>
          <w:numId w:val="2"/>
        </w:numPr>
        <w:jc w:val="both"/>
        <w:rPr>
          <w:lang w:val="el-GR"/>
        </w:rPr>
      </w:pPr>
      <w:r w:rsidRPr="0099725A">
        <w:rPr>
          <w:lang w:val="el-GR"/>
        </w:rPr>
        <w:t>Η διεθνής δικαιοδοσία κατά τον Κανονισμό 650/2012</w:t>
      </w:r>
    </w:p>
    <w:p w14:paraId="52382015" w14:textId="02C6EB13" w:rsidR="00A21956" w:rsidRPr="0099725A" w:rsidRDefault="00A21956" w:rsidP="0099725A">
      <w:pPr>
        <w:pStyle w:val="a3"/>
        <w:numPr>
          <w:ilvl w:val="0"/>
          <w:numId w:val="2"/>
        </w:numPr>
        <w:jc w:val="both"/>
        <w:rPr>
          <w:lang w:val="el-GR"/>
        </w:rPr>
      </w:pPr>
      <w:r w:rsidRPr="0099725A">
        <w:rPr>
          <w:lang w:val="el-GR"/>
        </w:rPr>
        <w:t xml:space="preserve">Το εφαρμοστέο δίκαιο </w:t>
      </w:r>
      <w:r w:rsidR="002F552C">
        <w:rPr>
          <w:lang w:val="el-GR"/>
        </w:rPr>
        <w:t>(</w:t>
      </w:r>
      <w:r w:rsidR="002F552C">
        <w:t>profession juris)</w:t>
      </w:r>
    </w:p>
    <w:p w14:paraId="59B910CA" w14:textId="6CE4C303" w:rsidR="00A21956" w:rsidRPr="0099725A" w:rsidRDefault="0099725A" w:rsidP="0099725A">
      <w:pPr>
        <w:pStyle w:val="a3"/>
        <w:numPr>
          <w:ilvl w:val="0"/>
          <w:numId w:val="2"/>
        </w:numPr>
        <w:jc w:val="both"/>
        <w:rPr>
          <w:lang w:val="el-GR"/>
        </w:rPr>
      </w:pPr>
      <w:r>
        <w:rPr>
          <w:lang w:val="el-GR"/>
        </w:rPr>
        <w:t xml:space="preserve">Κριτική προσέγγιση της δυνατότητας </w:t>
      </w:r>
      <w:r w:rsidR="00A21956" w:rsidRPr="0099725A">
        <w:rPr>
          <w:lang w:val="el-GR"/>
        </w:rPr>
        <w:t xml:space="preserve"> επιλογή</w:t>
      </w:r>
      <w:r>
        <w:rPr>
          <w:lang w:val="el-GR"/>
        </w:rPr>
        <w:t>ς</w:t>
      </w:r>
      <w:r w:rsidR="00A21956" w:rsidRPr="0099725A">
        <w:rPr>
          <w:lang w:val="el-GR"/>
        </w:rPr>
        <w:t xml:space="preserve"> εφαρμοστέου δικαίου στη διαθήκη </w:t>
      </w:r>
    </w:p>
    <w:p w14:paraId="1570DAA6" w14:textId="0CA25604" w:rsidR="00A21956" w:rsidRPr="0099725A" w:rsidRDefault="00A21956" w:rsidP="0099725A">
      <w:pPr>
        <w:pStyle w:val="a3"/>
        <w:numPr>
          <w:ilvl w:val="0"/>
          <w:numId w:val="2"/>
        </w:numPr>
        <w:jc w:val="both"/>
        <w:rPr>
          <w:lang w:val="el-GR"/>
        </w:rPr>
      </w:pPr>
      <w:r w:rsidRPr="0099725A">
        <w:rPr>
          <w:lang w:val="el-GR"/>
        </w:rPr>
        <w:t>Οι κυριότερες αλλαγές που επέρχονται στο ελληνικό δίκαιο με την έναρξη ισχύος του 650</w:t>
      </w:r>
      <w:r w:rsidR="006B7D6A">
        <w:rPr>
          <w:lang w:val="el-GR"/>
        </w:rPr>
        <w:t xml:space="preserve"> [αυτό συμπίπτει με την ερευνητική εργασία]</w:t>
      </w:r>
    </w:p>
    <w:p w14:paraId="5E751B10" w14:textId="2563CBA4" w:rsidR="00A21956" w:rsidRDefault="0099725A" w:rsidP="0099725A">
      <w:pPr>
        <w:pStyle w:val="a3"/>
        <w:numPr>
          <w:ilvl w:val="0"/>
          <w:numId w:val="2"/>
        </w:numPr>
        <w:jc w:val="both"/>
        <w:rPr>
          <w:lang w:val="el-GR"/>
        </w:rPr>
      </w:pPr>
      <w:r>
        <w:rPr>
          <w:lang w:val="el-GR"/>
        </w:rPr>
        <w:t>Η αναγνώριση και εκτέλεση αλλοδαπών αποφάσεων κληρονομικών σχέσεων</w:t>
      </w:r>
    </w:p>
    <w:p w14:paraId="662E9DAC" w14:textId="3CEF88B8" w:rsidR="0099725A" w:rsidRDefault="0099725A" w:rsidP="0099725A">
      <w:pPr>
        <w:pStyle w:val="a3"/>
        <w:numPr>
          <w:ilvl w:val="0"/>
          <w:numId w:val="2"/>
        </w:numPr>
        <w:jc w:val="both"/>
        <w:rPr>
          <w:lang w:val="el-GR"/>
        </w:rPr>
      </w:pPr>
      <w:r>
        <w:rPr>
          <w:lang w:val="el-GR"/>
        </w:rPr>
        <w:t xml:space="preserve">Το </w:t>
      </w:r>
      <w:r w:rsidR="006B7D6A">
        <w:rPr>
          <w:lang w:val="el-GR"/>
        </w:rPr>
        <w:t>ευρωπαϊκό</w:t>
      </w:r>
      <w:r>
        <w:rPr>
          <w:lang w:val="el-GR"/>
        </w:rPr>
        <w:t xml:space="preserve"> κληρονομητήριο</w:t>
      </w:r>
    </w:p>
    <w:p w14:paraId="5D0F832D" w14:textId="77777777" w:rsidR="0099725A" w:rsidRDefault="0099725A" w:rsidP="0099725A">
      <w:pPr>
        <w:jc w:val="both"/>
        <w:rPr>
          <w:lang w:val="el-GR"/>
        </w:rPr>
      </w:pPr>
    </w:p>
    <w:p w14:paraId="2FFE8270" w14:textId="77777777" w:rsidR="0099725A" w:rsidRDefault="0099725A" w:rsidP="0099725A">
      <w:pPr>
        <w:jc w:val="both"/>
        <w:rPr>
          <w:lang w:val="el-GR"/>
        </w:rPr>
      </w:pPr>
    </w:p>
    <w:p w14:paraId="51DECE11" w14:textId="77777777" w:rsidR="0099725A" w:rsidRDefault="0099725A" w:rsidP="0099725A">
      <w:pPr>
        <w:jc w:val="both"/>
        <w:rPr>
          <w:lang w:val="el-GR"/>
        </w:rPr>
      </w:pPr>
    </w:p>
    <w:p w14:paraId="6B9431AC" w14:textId="77777777" w:rsidR="0099725A" w:rsidRPr="0099725A" w:rsidRDefault="0099725A" w:rsidP="0099725A">
      <w:pPr>
        <w:jc w:val="both"/>
        <w:rPr>
          <w:lang w:val="el-GR"/>
        </w:rPr>
      </w:pPr>
    </w:p>
    <w:p w14:paraId="5A48DA8E" w14:textId="372BAB5C" w:rsidR="00D60447" w:rsidRPr="00775034" w:rsidRDefault="00D60447" w:rsidP="0099725A">
      <w:pPr>
        <w:jc w:val="both"/>
        <w:rPr>
          <w:b/>
          <w:lang w:val="el-GR"/>
        </w:rPr>
      </w:pPr>
      <w:r w:rsidRPr="00775034">
        <w:rPr>
          <w:b/>
          <w:lang w:val="el-GR"/>
        </w:rPr>
        <w:t>Έρευνα</w:t>
      </w:r>
      <w:r w:rsidR="00775034" w:rsidRPr="00775034">
        <w:rPr>
          <w:b/>
          <w:lang w:val="el-GR"/>
        </w:rPr>
        <w:t>:</w:t>
      </w:r>
    </w:p>
    <w:p w14:paraId="37F56FAC" w14:textId="77777777" w:rsidR="00D60447" w:rsidRDefault="00D60447" w:rsidP="0099725A">
      <w:pPr>
        <w:jc w:val="both"/>
        <w:rPr>
          <w:lang w:val="el-GR"/>
        </w:rPr>
      </w:pPr>
    </w:p>
    <w:p w14:paraId="02683E27" w14:textId="6A57E653" w:rsidR="0099725A" w:rsidRDefault="00775034" w:rsidP="0099725A">
      <w:pPr>
        <w:jc w:val="both"/>
        <w:rPr>
          <w:lang w:val="el-GR"/>
        </w:rPr>
      </w:pPr>
      <w:r>
        <w:rPr>
          <w:lang w:val="el-GR"/>
        </w:rPr>
        <w:t xml:space="preserve">2 εργασίες θεωρητικές, </w:t>
      </w:r>
      <w:r w:rsidR="0099725A">
        <w:rPr>
          <w:lang w:val="el-GR"/>
        </w:rPr>
        <w:t>1 πρακτική</w:t>
      </w:r>
      <w:r>
        <w:rPr>
          <w:lang w:val="el-GR"/>
        </w:rPr>
        <w:t xml:space="preserve">, 1 ερευνητική </w:t>
      </w:r>
    </w:p>
    <w:p w14:paraId="5DC9FD83" w14:textId="16EFE2CE" w:rsidR="00D60447" w:rsidRDefault="00775034" w:rsidP="0099725A">
      <w:pPr>
        <w:jc w:val="both"/>
        <w:rPr>
          <w:lang w:val="el-GR"/>
        </w:rPr>
      </w:pPr>
      <w:r>
        <w:rPr>
          <w:lang w:val="el-GR"/>
        </w:rPr>
        <w:t>(ο</w:t>
      </w:r>
      <w:r w:rsidR="0099725A">
        <w:rPr>
          <w:lang w:val="el-GR"/>
        </w:rPr>
        <w:t>μαδικές από όλους</w:t>
      </w:r>
      <w:r>
        <w:rPr>
          <w:lang w:val="el-GR"/>
        </w:rPr>
        <w:t xml:space="preserve"> είναι όμως δυνατή η συλλογική επεξεργασία όλων των παρακάτων ζητημάτων)</w:t>
      </w:r>
    </w:p>
    <w:p w14:paraId="1B2B1E59" w14:textId="77777777" w:rsidR="0099725A" w:rsidRPr="006B7D6A" w:rsidRDefault="0099725A" w:rsidP="0099725A">
      <w:pPr>
        <w:jc w:val="both"/>
        <w:rPr>
          <w:b/>
          <w:u w:val="single"/>
          <w:lang w:val="el-GR"/>
        </w:rPr>
      </w:pPr>
    </w:p>
    <w:p w14:paraId="261BB554" w14:textId="419A3779" w:rsidR="006B7D6A" w:rsidRPr="006B7D6A" w:rsidRDefault="006B7D6A" w:rsidP="0099725A">
      <w:pPr>
        <w:jc w:val="both"/>
        <w:rPr>
          <w:b/>
          <w:u w:val="single"/>
          <w:lang w:val="el-GR"/>
        </w:rPr>
      </w:pPr>
      <w:r w:rsidRPr="006B7D6A">
        <w:rPr>
          <w:b/>
          <w:u w:val="single"/>
          <w:lang w:val="el-GR"/>
        </w:rPr>
        <w:t>Αναλυτική και συνθετική ικανότητα</w:t>
      </w:r>
    </w:p>
    <w:p w14:paraId="10080BBE" w14:textId="77777777" w:rsidR="006B7D6A" w:rsidRPr="006B7D6A" w:rsidRDefault="006B7D6A" w:rsidP="0099725A">
      <w:pPr>
        <w:jc w:val="both"/>
        <w:rPr>
          <w:u w:val="single"/>
          <w:lang w:val="el-GR"/>
        </w:rPr>
      </w:pPr>
    </w:p>
    <w:p w14:paraId="5FD1C905" w14:textId="0BDCB083" w:rsidR="0099725A" w:rsidRPr="006B7D6A" w:rsidRDefault="00775034" w:rsidP="0099725A">
      <w:pPr>
        <w:jc w:val="both"/>
        <w:rPr>
          <w:u w:val="single"/>
          <w:lang w:val="el-GR"/>
        </w:rPr>
      </w:pPr>
      <w:r w:rsidRPr="006B7D6A">
        <w:rPr>
          <w:u w:val="single"/>
          <w:lang w:val="el-GR"/>
        </w:rPr>
        <w:t>1-</w:t>
      </w:r>
      <w:r w:rsidR="0099725A" w:rsidRPr="006B7D6A">
        <w:rPr>
          <w:u w:val="single"/>
          <w:lang w:val="el-GR"/>
        </w:rPr>
        <w:t>Οι κυριότερες αλλαγές που επιφέρει ο Κανονισμός στο ελληνικό δίκαιο των διεθνών κληρονομικών σχέσεων</w:t>
      </w:r>
    </w:p>
    <w:p w14:paraId="3C39D97A" w14:textId="77777777" w:rsidR="00775034" w:rsidRDefault="00775034" w:rsidP="0099725A">
      <w:pPr>
        <w:jc w:val="both"/>
        <w:rPr>
          <w:lang w:val="el-GR"/>
        </w:rPr>
      </w:pPr>
    </w:p>
    <w:p w14:paraId="1258F511" w14:textId="5019CBE5" w:rsidR="00775034" w:rsidRDefault="00775034" w:rsidP="0099725A">
      <w:pPr>
        <w:jc w:val="both"/>
        <w:rPr>
          <w:lang w:val="el-GR"/>
        </w:rPr>
      </w:pPr>
      <w:r>
        <w:rPr>
          <w:lang w:val="el-GR"/>
        </w:rPr>
        <w:t>[ εδώ η επικέντρωση αφορά αφενός τον προσδιορισμό όλων των αλλαγών και αφετέρου τη κριτική τους αποτίμηση]</w:t>
      </w:r>
    </w:p>
    <w:p w14:paraId="66309106" w14:textId="77777777" w:rsidR="0099725A" w:rsidRPr="006B7D6A" w:rsidRDefault="0099725A" w:rsidP="0099725A">
      <w:pPr>
        <w:jc w:val="both"/>
        <w:rPr>
          <w:u w:val="single"/>
          <w:lang w:val="el-GR"/>
        </w:rPr>
      </w:pPr>
    </w:p>
    <w:p w14:paraId="402585B4" w14:textId="2C6C437E" w:rsidR="0099725A" w:rsidRPr="006B7D6A" w:rsidRDefault="00775034" w:rsidP="0099725A">
      <w:pPr>
        <w:jc w:val="both"/>
        <w:rPr>
          <w:u w:val="single"/>
          <w:lang w:val="el-GR"/>
        </w:rPr>
      </w:pPr>
      <w:r w:rsidRPr="006B7D6A">
        <w:rPr>
          <w:u w:val="single"/>
          <w:lang w:val="el-GR"/>
        </w:rPr>
        <w:t xml:space="preserve">2- </w:t>
      </w:r>
      <w:r w:rsidR="0099725A" w:rsidRPr="006B7D6A">
        <w:rPr>
          <w:u w:val="single"/>
          <w:lang w:val="el-GR"/>
        </w:rPr>
        <w:t>Τι θέματα ρυθμίζονται από τον Κανονισμό και ποια καταλείπονται στο ελληνικό ιδ.δ.δ.</w:t>
      </w:r>
    </w:p>
    <w:p w14:paraId="08AFEBFB" w14:textId="77777777" w:rsidR="00775034" w:rsidRDefault="00775034" w:rsidP="0099725A">
      <w:pPr>
        <w:jc w:val="both"/>
        <w:rPr>
          <w:lang w:val="el-GR"/>
        </w:rPr>
      </w:pPr>
    </w:p>
    <w:p w14:paraId="5FFCC337" w14:textId="6B29A1A8" w:rsidR="00775034" w:rsidRDefault="00775034" w:rsidP="0099725A">
      <w:pPr>
        <w:jc w:val="both"/>
        <w:rPr>
          <w:lang w:val="el-GR"/>
        </w:rPr>
      </w:pPr>
      <w:r>
        <w:rPr>
          <w:lang w:val="el-GR"/>
        </w:rPr>
        <w:t>[εδώ είναι άσκηση διεθνούς ομοιομόρφου δικαίου ως προς το υλικό πεδίο εφαρμογής τι ρυθμίζεται από το κανονισμό (εσωτερικά και εξωτερικά θέματα) και τι καταλείπεται στις ρυθμίσεις του εθνικού δικαίου (είναι απαραίτητος ένας πίνακας που να συμπυκνωνει σε τρεις κυρίως στήλες τα πορίσματα δηλαδή θέμα, ρύθμιση κοινοτική, ρύθμιση εθνικού δικαίου]</w:t>
      </w:r>
    </w:p>
    <w:p w14:paraId="4C5CD49B" w14:textId="77777777" w:rsidR="006B7D6A" w:rsidRDefault="006B7D6A" w:rsidP="0099725A">
      <w:pPr>
        <w:jc w:val="both"/>
        <w:rPr>
          <w:lang w:val="el-GR"/>
        </w:rPr>
      </w:pPr>
    </w:p>
    <w:p w14:paraId="20552F61" w14:textId="496B1734" w:rsidR="006B7D6A" w:rsidRDefault="006B7D6A" w:rsidP="0099725A">
      <w:pPr>
        <w:jc w:val="both"/>
        <w:rPr>
          <w:lang w:val="el-GR"/>
        </w:rPr>
      </w:pPr>
      <w:r>
        <w:rPr>
          <w:lang w:val="el-GR"/>
        </w:rPr>
        <w:t>Να σημειωθεί ότι τα δύο ερευνητικά θέματα 1 και 2 σχετίζονται.</w:t>
      </w:r>
    </w:p>
    <w:p w14:paraId="56A69047" w14:textId="77777777" w:rsidR="0099725A" w:rsidRDefault="0099725A" w:rsidP="0099725A">
      <w:pPr>
        <w:jc w:val="both"/>
        <w:rPr>
          <w:lang w:val="el-GR"/>
        </w:rPr>
      </w:pPr>
    </w:p>
    <w:p w14:paraId="614F8C40" w14:textId="77777777" w:rsidR="006B7D6A" w:rsidRDefault="006B7D6A" w:rsidP="0099725A">
      <w:pPr>
        <w:jc w:val="both"/>
        <w:rPr>
          <w:lang w:val="el-GR"/>
        </w:rPr>
      </w:pPr>
    </w:p>
    <w:p w14:paraId="43C44F90" w14:textId="551EC422" w:rsidR="006B7D6A" w:rsidRPr="006B7D6A" w:rsidRDefault="006B7D6A" w:rsidP="0099725A">
      <w:pPr>
        <w:jc w:val="both"/>
        <w:rPr>
          <w:b/>
          <w:lang w:val="el-GR"/>
        </w:rPr>
      </w:pPr>
      <w:r>
        <w:rPr>
          <w:b/>
          <w:lang w:val="el-GR"/>
        </w:rPr>
        <w:t>Ερευνητική ικανότητα- τεκμηρίωση- ανάλυση</w:t>
      </w:r>
    </w:p>
    <w:p w14:paraId="5D2D18C2" w14:textId="77777777" w:rsidR="006B7D6A" w:rsidRDefault="006B7D6A" w:rsidP="0099725A">
      <w:pPr>
        <w:jc w:val="both"/>
        <w:rPr>
          <w:lang w:val="el-GR"/>
        </w:rPr>
      </w:pPr>
    </w:p>
    <w:p w14:paraId="4EF9CBAF" w14:textId="50661190" w:rsidR="0099725A" w:rsidRDefault="00775034" w:rsidP="0099725A">
      <w:pPr>
        <w:jc w:val="both"/>
        <w:rPr>
          <w:lang w:val="el-GR"/>
        </w:rPr>
      </w:pPr>
      <w:r>
        <w:rPr>
          <w:lang w:val="el-GR"/>
        </w:rPr>
        <w:t xml:space="preserve">3- </w:t>
      </w:r>
      <w:r w:rsidR="0099725A">
        <w:rPr>
          <w:lang w:val="el-GR"/>
        </w:rPr>
        <w:t>Ειδικά η νομολογία ανά θέμα αλλαγές</w:t>
      </w:r>
      <w:r>
        <w:rPr>
          <w:lang w:val="el-GR"/>
        </w:rPr>
        <w:t xml:space="preserve"> – Πρόοδος ή οπισθοδρόμηση;</w:t>
      </w:r>
    </w:p>
    <w:p w14:paraId="3B9CF11C" w14:textId="79F4B7BD" w:rsidR="00775034" w:rsidRDefault="00775034" w:rsidP="0099725A">
      <w:pPr>
        <w:jc w:val="both"/>
        <w:rPr>
          <w:lang w:val="el-GR"/>
        </w:rPr>
      </w:pPr>
      <w:r>
        <w:rPr>
          <w:lang w:val="el-GR"/>
        </w:rPr>
        <w:t xml:space="preserve">[εδώ εστιάζεται στη προσπάθεια να εξετασθεί </w:t>
      </w:r>
      <w:r w:rsidRPr="00775034">
        <w:rPr>
          <w:i/>
          <w:u w:val="single"/>
          <w:lang w:val="el-GR"/>
        </w:rPr>
        <w:t>ανά θεματική</w:t>
      </w:r>
      <w:r>
        <w:rPr>
          <w:lang w:val="el-GR"/>
        </w:rPr>
        <w:t xml:space="preserve"> ποιες αποφάσεις παγίας νομολογίας στα ζητήματα μας αλλάζουν από τη κοινοτική ρύθμιση]</w:t>
      </w:r>
    </w:p>
    <w:p w14:paraId="2C66080C" w14:textId="77777777" w:rsidR="006B7D6A" w:rsidRDefault="006B7D6A" w:rsidP="0099725A">
      <w:pPr>
        <w:jc w:val="both"/>
        <w:rPr>
          <w:lang w:val="el-GR"/>
        </w:rPr>
      </w:pPr>
    </w:p>
    <w:p w14:paraId="76BCA484" w14:textId="32C4BEFD" w:rsidR="00775034" w:rsidRDefault="00775034" w:rsidP="0099725A">
      <w:pPr>
        <w:jc w:val="both"/>
        <w:rPr>
          <w:lang w:val="el-GR"/>
        </w:rPr>
      </w:pPr>
      <w:r>
        <w:rPr>
          <w:lang w:val="el-GR"/>
        </w:rPr>
        <w:t>4- Θεματική διεθνής βιβλιογραφία (αγγλική, γαλλική, γερμανική, ιταλική – μονογραφίες και άρθρα) συλλογή σώματος άρθρων (όχι μονογραφιών)</w:t>
      </w:r>
    </w:p>
    <w:p w14:paraId="0CD7A2E7" w14:textId="77777777" w:rsidR="00775034" w:rsidRDefault="00775034" w:rsidP="0099725A">
      <w:pPr>
        <w:jc w:val="both"/>
        <w:rPr>
          <w:lang w:val="el-GR"/>
        </w:rPr>
      </w:pPr>
    </w:p>
    <w:p w14:paraId="28A4C312" w14:textId="77777777" w:rsidR="00775034" w:rsidRDefault="00775034" w:rsidP="0099725A">
      <w:pPr>
        <w:jc w:val="both"/>
        <w:rPr>
          <w:lang w:val="el-GR"/>
        </w:rPr>
      </w:pPr>
    </w:p>
    <w:p w14:paraId="53DC4E66" w14:textId="77777777" w:rsidR="00775034" w:rsidRDefault="00775034" w:rsidP="0099725A">
      <w:pPr>
        <w:jc w:val="both"/>
        <w:rPr>
          <w:lang w:val="el-GR"/>
        </w:rPr>
      </w:pPr>
    </w:p>
    <w:p w14:paraId="45B8761F" w14:textId="2DB20E4F" w:rsidR="00775034" w:rsidRDefault="00775034" w:rsidP="0099725A">
      <w:pPr>
        <w:jc w:val="both"/>
        <w:rPr>
          <w:b/>
          <w:lang w:val="el-GR"/>
        </w:rPr>
      </w:pPr>
      <w:r w:rsidRPr="00775034">
        <w:rPr>
          <w:b/>
          <w:lang w:val="el-GR"/>
        </w:rPr>
        <w:t>Αξιολόγηση</w:t>
      </w:r>
    </w:p>
    <w:p w14:paraId="62EC7E5B" w14:textId="77777777" w:rsidR="00775034" w:rsidRDefault="00775034" w:rsidP="0099725A">
      <w:pPr>
        <w:jc w:val="both"/>
        <w:rPr>
          <w:b/>
          <w:lang w:val="el-GR"/>
        </w:rPr>
      </w:pPr>
    </w:p>
    <w:p w14:paraId="25B85F39" w14:textId="6D1B27D2" w:rsidR="00775034" w:rsidRDefault="00775034" w:rsidP="0099725A">
      <w:pPr>
        <w:jc w:val="both"/>
        <w:rPr>
          <w:lang w:val="el-GR"/>
        </w:rPr>
      </w:pPr>
      <w:r>
        <w:rPr>
          <w:lang w:val="el-GR"/>
        </w:rPr>
        <w:t>Η αξιολόγηση γίνεται από τη προφορική επίδοση, την ποιότητα έρευνας, τη συμμετοχή, την αναλυτική ικανότητα και τη συνθετική με βάση ως προς τις τελευταίες τις έγγραφες δοκιμασίας (εργασίες και έρευνα)</w:t>
      </w:r>
    </w:p>
    <w:p w14:paraId="20C2D2BC" w14:textId="77777777" w:rsidR="00775034" w:rsidRDefault="00775034" w:rsidP="0099725A">
      <w:pPr>
        <w:jc w:val="both"/>
        <w:rPr>
          <w:lang w:val="el-GR"/>
        </w:rPr>
      </w:pPr>
    </w:p>
    <w:p w14:paraId="636886A3" w14:textId="77777777" w:rsidR="00775034" w:rsidRDefault="00775034" w:rsidP="0099725A">
      <w:pPr>
        <w:jc w:val="both"/>
        <w:rPr>
          <w:lang w:val="el-GR"/>
        </w:rPr>
      </w:pPr>
    </w:p>
    <w:p w14:paraId="1C833C61" w14:textId="77777777" w:rsidR="006052FB" w:rsidRDefault="00775034" w:rsidP="0099725A">
      <w:pPr>
        <w:jc w:val="both"/>
        <w:rPr>
          <w:lang w:val="el-GR"/>
        </w:rPr>
      </w:pPr>
      <w:r>
        <w:rPr>
          <w:lang w:val="el-GR"/>
        </w:rPr>
        <w:t>Η βαθμολογία θα στηριχθεί στη πρόοδο (νοουμένης της προόδου του φοιτητή</w:t>
      </w:r>
      <w:r w:rsidR="006052FB">
        <w:rPr>
          <w:lang w:val="el-GR"/>
        </w:rPr>
        <w:t>) στη συμμετοχή και έρευνα και στην επεξεργασμένη (μετά τη προφορική παρουσίαση) θεματική εργασία.</w:t>
      </w:r>
    </w:p>
    <w:p w14:paraId="0DA953D9" w14:textId="77777777" w:rsidR="006052FB" w:rsidRDefault="006052FB" w:rsidP="0099725A">
      <w:pPr>
        <w:jc w:val="both"/>
        <w:rPr>
          <w:lang w:val="el-GR"/>
        </w:rPr>
      </w:pPr>
    </w:p>
    <w:p w14:paraId="45D3A5F7" w14:textId="7F3F6D2D" w:rsidR="00775034" w:rsidRPr="00775034" w:rsidRDefault="006052FB" w:rsidP="0099725A">
      <w:pPr>
        <w:jc w:val="both"/>
        <w:rPr>
          <w:lang w:val="el-GR"/>
        </w:rPr>
      </w:pPr>
      <w:r>
        <w:rPr>
          <w:lang w:val="el-GR"/>
        </w:rPr>
        <w:t>Η παρουσίαση κάθε εργασίας δεν θα πρέπει να ξεπερνά συνολικά το ημίωρο</w:t>
      </w:r>
      <w:r w:rsidR="00775034">
        <w:rPr>
          <w:lang w:val="el-GR"/>
        </w:rPr>
        <w:t xml:space="preserve"> </w:t>
      </w:r>
    </w:p>
    <w:p w14:paraId="5FC1ED1B" w14:textId="77777777" w:rsidR="00775034" w:rsidRPr="00775034" w:rsidRDefault="00775034" w:rsidP="0099725A">
      <w:pPr>
        <w:jc w:val="both"/>
        <w:rPr>
          <w:b/>
          <w:lang w:val="el-GR"/>
        </w:rPr>
      </w:pPr>
    </w:p>
    <w:p w14:paraId="22DBBCF3" w14:textId="77777777" w:rsidR="00775034" w:rsidRPr="0099725A" w:rsidRDefault="00775034" w:rsidP="0099725A">
      <w:pPr>
        <w:jc w:val="both"/>
        <w:rPr>
          <w:lang w:val="el-GR"/>
        </w:rPr>
      </w:pPr>
    </w:p>
    <w:sectPr w:rsidR="00775034" w:rsidRPr="0099725A" w:rsidSect="00F52C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898"/>
    <w:multiLevelType w:val="hybridMultilevel"/>
    <w:tmpl w:val="55A4D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A94F6D"/>
    <w:multiLevelType w:val="hybridMultilevel"/>
    <w:tmpl w:val="35566FE2"/>
    <w:lvl w:ilvl="0" w:tplc="B43CFC2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47"/>
    <w:rsid w:val="002F552C"/>
    <w:rsid w:val="005E4E27"/>
    <w:rsid w:val="006052FB"/>
    <w:rsid w:val="006B7D6A"/>
    <w:rsid w:val="00775034"/>
    <w:rsid w:val="0099725A"/>
    <w:rsid w:val="009A15F1"/>
    <w:rsid w:val="00A21956"/>
    <w:rsid w:val="00BF5B63"/>
    <w:rsid w:val="00D60447"/>
    <w:rsid w:val="00E26031"/>
    <w:rsid w:val="00E871FD"/>
    <w:rsid w:val="00F52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E212C"/>
  <w14:defaultImageDpi w14:val="300"/>
  <w15:docId w15:val="{24E21ECC-5A32-4425-9FDF-8751A62E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3377</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Haris</dc:creator>
  <cp:keywords/>
  <dc:description/>
  <cp:lastModifiedBy>Vaso Marazopoulou</cp:lastModifiedBy>
  <cp:revision>2</cp:revision>
  <dcterms:created xsi:type="dcterms:W3CDTF">2014-11-10T10:53:00Z</dcterms:created>
  <dcterms:modified xsi:type="dcterms:W3CDTF">2014-11-10T10:53:00Z</dcterms:modified>
</cp:coreProperties>
</file>