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FE3" w:rsidRPr="00690390" w:rsidRDefault="00C77725" w:rsidP="00690390">
      <w:pPr>
        <w:jc w:val="both"/>
        <w:rPr>
          <w:rFonts w:ascii="Arial" w:hAnsi="Arial"/>
        </w:rPr>
      </w:pPr>
      <w:r>
        <w:tab/>
      </w:r>
      <w:r>
        <w:tab/>
      </w:r>
      <w:r>
        <w:tab/>
      </w:r>
      <w:r w:rsidR="00D3750A" w:rsidRPr="00690390">
        <w:rPr>
          <w:rFonts w:ascii="Arial" w:hAnsi="Arial"/>
        </w:rPr>
        <w:t>ΜΠΣ ΔΙΕΘΝΗΣ ΔΙΑΙΤΗΣΙΑ</w:t>
      </w:r>
    </w:p>
    <w:p w:rsidR="00D3750A" w:rsidRPr="00690390" w:rsidRDefault="00683FE3" w:rsidP="00690390">
      <w:pPr>
        <w:jc w:val="both"/>
        <w:rPr>
          <w:rFonts w:ascii="Arial" w:hAnsi="Arial"/>
        </w:rPr>
      </w:pPr>
      <w:r w:rsidRPr="00690390">
        <w:rPr>
          <w:rFonts w:ascii="Arial" w:hAnsi="Arial"/>
          <w:b/>
          <w:bCs/>
        </w:rPr>
        <w:tab/>
      </w:r>
      <w:r w:rsidRPr="00690390">
        <w:rPr>
          <w:rFonts w:ascii="Arial" w:hAnsi="Arial"/>
          <w:b/>
          <w:bCs/>
        </w:rPr>
        <w:tab/>
        <w:t xml:space="preserve">Θεματική: </w:t>
      </w:r>
      <w:r w:rsidR="00D3750A" w:rsidRPr="00690390">
        <w:rPr>
          <w:rFonts w:ascii="Arial" w:hAnsi="Arial"/>
          <w:b/>
          <w:bCs/>
        </w:rPr>
        <w:t>Διεθνής διαιτησία</w:t>
      </w:r>
      <w:r w:rsidRPr="00690390">
        <w:rPr>
          <w:rFonts w:ascii="Arial" w:hAnsi="Arial"/>
        </w:rPr>
        <w:t>/</w:t>
      </w:r>
      <w:r w:rsidR="00D3750A" w:rsidRPr="00690390">
        <w:rPr>
          <w:rFonts w:ascii="Arial" w:hAnsi="Arial"/>
          <w:b/>
          <w:bCs/>
        </w:rPr>
        <w:t>Εμπορική- επενδυτική</w:t>
      </w:r>
    </w:p>
    <w:p w:rsidR="00D3750A" w:rsidRPr="00690390" w:rsidRDefault="00CF1253" w:rsidP="00690390">
      <w:pPr>
        <w:jc w:val="both"/>
        <w:outlineLvl w:val="0"/>
        <w:rPr>
          <w:rFonts w:ascii="Arial" w:hAnsi="Arial"/>
        </w:rPr>
      </w:pPr>
      <w:r>
        <w:rPr>
          <w:rFonts w:ascii="Arial" w:hAnsi="Arial"/>
        </w:rPr>
        <w:tab/>
      </w:r>
      <w:r>
        <w:rPr>
          <w:rFonts w:ascii="Arial" w:hAnsi="Arial"/>
        </w:rPr>
        <w:tab/>
      </w:r>
      <w:r>
        <w:rPr>
          <w:rFonts w:ascii="Arial" w:hAnsi="Arial"/>
        </w:rPr>
        <w:tab/>
      </w:r>
      <w:r w:rsidR="00D3750A" w:rsidRPr="00690390">
        <w:rPr>
          <w:rFonts w:ascii="Arial" w:hAnsi="Arial"/>
        </w:rPr>
        <w:t>(κατά το ελληνικό δίκαιο)</w:t>
      </w:r>
    </w:p>
    <w:p w:rsidR="00D3750A" w:rsidRPr="00690390" w:rsidRDefault="00D3750A" w:rsidP="00690390">
      <w:pPr>
        <w:jc w:val="both"/>
        <w:rPr>
          <w:rFonts w:ascii="Arial" w:hAnsi="Arial"/>
        </w:rPr>
      </w:pPr>
    </w:p>
    <w:p w:rsidR="00683FE3" w:rsidRPr="00690390" w:rsidRDefault="00683FE3" w:rsidP="00690390">
      <w:pPr>
        <w:jc w:val="both"/>
        <w:rPr>
          <w:rFonts w:ascii="Arial" w:hAnsi="Arial"/>
        </w:rPr>
      </w:pPr>
    </w:p>
    <w:p w:rsidR="00683FE3" w:rsidRPr="00690390" w:rsidRDefault="00683FE3" w:rsidP="00690390">
      <w:pPr>
        <w:jc w:val="both"/>
        <w:rPr>
          <w:rFonts w:ascii="Arial" w:hAnsi="Arial"/>
        </w:rPr>
      </w:pPr>
      <w:r w:rsidRPr="00690390">
        <w:rPr>
          <w:rFonts w:ascii="Arial" w:hAnsi="Arial"/>
        </w:rPr>
        <w:t xml:space="preserve">Διδακτική ομάδα </w:t>
      </w:r>
    </w:p>
    <w:p w:rsidR="00683FE3" w:rsidRPr="00690390" w:rsidRDefault="00683FE3" w:rsidP="00690390">
      <w:pPr>
        <w:jc w:val="both"/>
        <w:rPr>
          <w:rFonts w:ascii="Arial" w:hAnsi="Arial"/>
        </w:rPr>
      </w:pPr>
      <w:r w:rsidRPr="00690390">
        <w:rPr>
          <w:rFonts w:ascii="Arial" w:hAnsi="Arial"/>
        </w:rPr>
        <w:t>Καθηγητής κ. Χ. Παμπούκης</w:t>
      </w:r>
    </w:p>
    <w:p w:rsidR="00683FE3" w:rsidRPr="00690390" w:rsidRDefault="00683FE3" w:rsidP="00690390">
      <w:pPr>
        <w:jc w:val="both"/>
        <w:rPr>
          <w:rFonts w:ascii="Arial" w:hAnsi="Arial"/>
        </w:rPr>
      </w:pPr>
      <w:r w:rsidRPr="00690390">
        <w:rPr>
          <w:rFonts w:ascii="Arial" w:hAnsi="Arial"/>
        </w:rPr>
        <w:t>Αν. Καθηγήτρια κ. Χ. Τσούκα</w:t>
      </w:r>
    </w:p>
    <w:p w:rsidR="008E7263" w:rsidRPr="00690390" w:rsidRDefault="008E7263" w:rsidP="00690390">
      <w:pPr>
        <w:jc w:val="both"/>
        <w:rPr>
          <w:rFonts w:ascii="Arial" w:hAnsi="Arial"/>
        </w:rPr>
      </w:pPr>
      <w:r w:rsidRPr="00690390">
        <w:rPr>
          <w:rFonts w:ascii="Arial" w:hAnsi="Arial"/>
        </w:rPr>
        <w:t>Λέκτορας Α. Γουργουρίνης</w:t>
      </w:r>
    </w:p>
    <w:p w:rsidR="00683FE3" w:rsidRPr="00690390" w:rsidRDefault="00683FE3" w:rsidP="00690390">
      <w:pPr>
        <w:jc w:val="both"/>
        <w:rPr>
          <w:rFonts w:ascii="Arial" w:hAnsi="Arial"/>
        </w:rPr>
      </w:pPr>
      <w:r w:rsidRPr="00690390">
        <w:rPr>
          <w:rFonts w:ascii="Arial" w:hAnsi="Arial"/>
        </w:rPr>
        <w:t>Δρ Αλ. Μεταλληνός</w:t>
      </w:r>
    </w:p>
    <w:p w:rsidR="00683FE3" w:rsidRDefault="00683FE3" w:rsidP="00690390">
      <w:pPr>
        <w:jc w:val="both"/>
        <w:rPr>
          <w:rFonts w:ascii="Arial" w:hAnsi="Arial"/>
        </w:rPr>
      </w:pPr>
      <w:r w:rsidRPr="00690390">
        <w:rPr>
          <w:rFonts w:ascii="Arial" w:hAnsi="Arial"/>
        </w:rPr>
        <w:t>Δρ Γ. Πανόπουλος</w:t>
      </w:r>
    </w:p>
    <w:p w:rsidR="00EB4E0B" w:rsidRDefault="00EB4E0B" w:rsidP="00690390">
      <w:pPr>
        <w:jc w:val="both"/>
        <w:rPr>
          <w:rFonts w:ascii="Arial" w:hAnsi="Arial"/>
        </w:rPr>
      </w:pPr>
      <w:r>
        <w:rPr>
          <w:rFonts w:ascii="Arial" w:hAnsi="Arial"/>
        </w:rPr>
        <w:t>Δρ Β. Μαραζοπούλου</w:t>
      </w:r>
    </w:p>
    <w:p w:rsidR="00EB4E0B" w:rsidRPr="00690390" w:rsidRDefault="00EB4E0B" w:rsidP="00690390">
      <w:pPr>
        <w:jc w:val="both"/>
        <w:rPr>
          <w:rFonts w:ascii="Arial" w:hAnsi="Arial"/>
        </w:rPr>
      </w:pPr>
      <w:r>
        <w:rPr>
          <w:rFonts w:ascii="Arial" w:hAnsi="Arial"/>
        </w:rPr>
        <w:t xml:space="preserve">Δρ Χ. Μεϊδάνης </w:t>
      </w:r>
    </w:p>
    <w:p w:rsidR="00683FE3" w:rsidRPr="00690390" w:rsidRDefault="00683FE3" w:rsidP="00690390">
      <w:pPr>
        <w:jc w:val="both"/>
        <w:rPr>
          <w:rFonts w:ascii="Arial" w:hAnsi="Arial"/>
        </w:rPr>
      </w:pPr>
      <w:r w:rsidRPr="00690390">
        <w:rPr>
          <w:rFonts w:ascii="Arial" w:hAnsi="Arial"/>
        </w:rPr>
        <w:t>Δρ Χ. Ζουμπούλης</w:t>
      </w:r>
    </w:p>
    <w:p w:rsidR="00683FE3" w:rsidRPr="00690390" w:rsidRDefault="00683FE3" w:rsidP="00690390">
      <w:pPr>
        <w:jc w:val="both"/>
        <w:rPr>
          <w:rFonts w:ascii="Arial" w:hAnsi="Arial"/>
        </w:rPr>
      </w:pPr>
      <w:r w:rsidRPr="00690390">
        <w:rPr>
          <w:rFonts w:ascii="Arial" w:hAnsi="Arial"/>
        </w:rPr>
        <w:t>Δρ Σιβιτανίδης</w:t>
      </w:r>
    </w:p>
    <w:p w:rsidR="00683FE3" w:rsidRPr="00690390" w:rsidRDefault="00683FE3" w:rsidP="00690390">
      <w:pPr>
        <w:jc w:val="both"/>
        <w:rPr>
          <w:rFonts w:ascii="Arial" w:hAnsi="Arial"/>
        </w:rPr>
      </w:pPr>
    </w:p>
    <w:p w:rsidR="00683FE3" w:rsidRPr="00690390" w:rsidRDefault="00683FE3" w:rsidP="00690390">
      <w:pPr>
        <w:jc w:val="both"/>
        <w:outlineLvl w:val="0"/>
        <w:rPr>
          <w:rFonts w:ascii="Arial" w:hAnsi="Arial"/>
        </w:rPr>
      </w:pPr>
      <w:bookmarkStart w:id="0" w:name="_GoBack"/>
      <w:bookmarkEnd w:id="0"/>
    </w:p>
    <w:p w:rsidR="00D3750A" w:rsidRPr="00690390" w:rsidRDefault="00D3750A" w:rsidP="00690390">
      <w:pPr>
        <w:jc w:val="both"/>
        <w:outlineLvl w:val="0"/>
        <w:rPr>
          <w:rFonts w:ascii="Arial" w:hAnsi="Arial"/>
          <w:u w:val="single"/>
        </w:rPr>
      </w:pPr>
      <w:r w:rsidRPr="00690390">
        <w:rPr>
          <w:rFonts w:ascii="Arial" w:hAnsi="Arial"/>
          <w:u w:val="single"/>
        </w:rPr>
        <w:t>Διάγραμμα</w:t>
      </w:r>
    </w:p>
    <w:p w:rsidR="00D3750A" w:rsidRPr="00690390" w:rsidRDefault="00D3750A" w:rsidP="00690390">
      <w:pPr>
        <w:jc w:val="both"/>
        <w:rPr>
          <w:rFonts w:ascii="Arial" w:hAnsi="Arial"/>
          <w:u w:val="single"/>
        </w:rPr>
      </w:pPr>
      <w:r w:rsidRPr="00690390">
        <w:rPr>
          <w:rFonts w:ascii="Arial" w:hAnsi="Arial"/>
          <w:u w:val="single"/>
        </w:rPr>
        <w:t> </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jc w:val="both"/>
        <w:rPr>
          <w:rFonts w:ascii="Arial" w:hAnsi="Arial"/>
        </w:rPr>
      </w:pPr>
    </w:p>
    <w:p w:rsidR="00D3750A" w:rsidRPr="00690390" w:rsidRDefault="00D3750A" w:rsidP="00690390">
      <w:pPr>
        <w:pStyle w:val="a3"/>
        <w:numPr>
          <w:ilvl w:val="0"/>
          <w:numId w:val="2"/>
        </w:numPr>
        <w:ind w:left="350"/>
        <w:jc w:val="both"/>
        <w:rPr>
          <w:rFonts w:ascii="Arial" w:hAnsi="Arial"/>
          <w:lang w:val="el-GR"/>
        </w:rPr>
      </w:pPr>
      <w:r w:rsidRPr="00690390">
        <w:rPr>
          <w:rFonts w:ascii="Arial" w:hAnsi="Arial"/>
          <w:b/>
          <w:bCs/>
          <w:lang w:val="el-GR"/>
        </w:rPr>
        <w:t xml:space="preserve">Εισαγωγή </w:t>
      </w:r>
    </w:p>
    <w:p w:rsidR="00D3750A" w:rsidRPr="00690390" w:rsidRDefault="00D3750A" w:rsidP="00690390">
      <w:pPr>
        <w:pStyle w:val="a3"/>
        <w:ind w:left="350"/>
        <w:jc w:val="both"/>
        <w:rPr>
          <w:rFonts w:ascii="Arial" w:hAnsi="Arial"/>
          <w:lang w:val="el-GR"/>
        </w:rPr>
      </w:pPr>
    </w:p>
    <w:p w:rsidR="00D3750A" w:rsidRPr="00690390" w:rsidRDefault="00D3750A" w:rsidP="00690390">
      <w:pPr>
        <w:pStyle w:val="a3"/>
        <w:numPr>
          <w:ilvl w:val="0"/>
          <w:numId w:val="9"/>
        </w:numPr>
        <w:jc w:val="both"/>
        <w:rPr>
          <w:rFonts w:ascii="Arial" w:hAnsi="Arial"/>
          <w:i/>
          <w:lang w:val="el-GR"/>
        </w:rPr>
      </w:pPr>
      <w:r w:rsidRPr="00690390">
        <w:rPr>
          <w:rFonts w:ascii="Arial" w:hAnsi="Arial"/>
          <w:i/>
          <w:lang w:val="el-GR"/>
        </w:rPr>
        <w:t>Η έννοια της διεθνούς διαιτησίας – Γενικές αρχές</w:t>
      </w:r>
    </w:p>
    <w:p w:rsidR="00D3750A" w:rsidRPr="00690390" w:rsidRDefault="00D3750A" w:rsidP="00690390">
      <w:pPr>
        <w:pStyle w:val="a3"/>
        <w:numPr>
          <w:ilvl w:val="0"/>
          <w:numId w:val="9"/>
        </w:numPr>
        <w:jc w:val="both"/>
        <w:rPr>
          <w:rFonts w:ascii="Arial" w:hAnsi="Arial"/>
          <w:i/>
          <w:lang w:val="el-GR"/>
        </w:rPr>
      </w:pPr>
      <w:r w:rsidRPr="00690390">
        <w:rPr>
          <w:rFonts w:ascii="Arial" w:hAnsi="Arial"/>
          <w:i/>
          <w:lang w:val="el-GR"/>
        </w:rPr>
        <w:t>Διεθνής διαιτησία και εναλλακτικοί μέθοδοι επίλυσης διαφορών</w:t>
      </w:r>
    </w:p>
    <w:p w:rsidR="00D3750A" w:rsidRPr="00690390" w:rsidRDefault="00D3750A" w:rsidP="00690390">
      <w:pPr>
        <w:pStyle w:val="a3"/>
        <w:numPr>
          <w:ilvl w:val="0"/>
          <w:numId w:val="9"/>
        </w:numPr>
        <w:jc w:val="both"/>
        <w:rPr>
          <w:rFonts w:ascii="Arial" w:hAnsi="Arial"/>
          <w:i/>
          <w:lang w:val="el-GR"/>
        </w:rPr>
      </w:pPr>
      <w:r w:rsidRPr="00690390">
        <w:rPr>
          <w:rFonts w:ascii="Arial" w:hAnsi="Arial"/>
          <w:i/>
          <w:lang w:val="el-GR"/>
        </w:rPr>
        <w:t>Τα πλεονεκτήματα της διεθνούς διαιτησίας</w:t>
      </w:r>
    </w:p>
    <w:p w:rsidR="00D3750A" w:rsidRPr="00690390" w:rsidRDefault="00D3750A" w:rsidP="00690390">
      <w:pPr>
        <w:pStyle w:val="a3"/>
        <w:numPr>
          <w:ilvl w:val="0"/>
          <w:numId w:val="9"/>
        </w:numPr>
        <w:jc w:val="both"/>
        <w:rPr>
          <w:rFonts w:ascii="Arial" w:hAnsi="Arial"/>
          <w:i/>
          <w:lang w:val="el-GR"/>
        </w:rPr>
      </w:pPr>
      <w:r w:rsidRPr="00690390">
        <w:rPr>
          <w:rFonts w:ascii="Arial" w:hAnsi="Arial"/>
          <w:i/>
          <w:lang w:val="el-GR"/>
        </w:rPr>
        <w:t>Πηγές διεθνούς διαιτησίας (διεθνείς συμβάσεις, εθνικά δίκαια, πρότυποι νόμοι, κανονισμοί επιμελητηρίων )</w:t>
      </w:r>
    </w:p>
    <w:p w:rsidR="00D3750A" w:rsidRPr="00690390" w:rsidRDefault="00D3750A" w:rsidP="00690390">
      <w:pPr>
        <w:pStyle w:val="a3"/>
        <w:numPr>
          <w:ilvl w:val="0"/>
          <w:numId w:val="9"/>
        </w:numPr>
        <w:jc w:val="both"/>
        <w:rPr>
          <w:rFonts w:ascii="Arial" w:hAnsi="Arial"/>
          <w:i/>
          <w:lang w:val="el-GR"/>
        </w:rPr>
      </w:pPr>
      <w:r w:rsidRPr="00690390">
        <w:rPr>
          <w:rFonts w:ascii="Arial" w:hAnsi="Arial"/>
          <w:i/>
          <w:lang w:val="el-GR"/>
        </w:rPr>
        <w:t xml:space="preserve">Κατηγορίες διεθνούς διαιτησίας ανάλογα με την οργάνωσή της (οργανωμένη/θεσμική διαιτησία, </w:t>
      </w:r>
      <w:r w:rsidRPr="00690390">
        <w:rPr>
          <w:rFonts w:ascii="Arial" w:hAnsi="Arial"/>
          <w:i/>
        </w:rPr>
        <w:t>ad</w:t>
      </w:r>
      <w:r w:rsidRPr="00EB4E0B">
        <w:rPr>
          <w:rFonts w:ascii="Arial" w:hAnsi="Arial"/>
          <w:i/>
          <w:lang w:val="el-GR"/>
        </w:rPr>
        <w:t xml:space="preserve"> </w:t>
      </w:r>
      <w:r w:rsidRPr="00690390">
        <w:rPr>
          <w:rFonts w:ascii="Arial" w:hAnsi="Arial"/>
          <w:i/>
        </w:rPr>
        <w:t>hoc</w:t>
      </w:r>
      <w:r w:rsidRPr="00EB4E0B">
        <w:rPr>
          <w:rFonts w:ascii="Arial" w:hAnsi="Arial"/>
          <w:i/>
          <w:lang w:val="el-GR"/>
        </w:rPr>
        <w:t xml:space="preserve"> </w:t>
      </w:r>
      <w:r w:rsidRPr="00690390">
        <w:rPr>
          <w:rFonts w:ascii="Arial" w:hAnsi="Arial"/>
          <w:i/>
          <w:lang w:val="el-GR"/>
        </w:rPr>
        <w:t>διαιτησία, επενδυτική διαιτησία)</w:t>
      </w:r>
    </w:p>
    <w:p w:rsidR="00D3750A" w:rsidRPr="00690390" w:rsidRDefault="00D3750A" w:rsidP="00690390">
      <w:pPr>
        <w:pStyle w:val="a3"/>
        <w:numPr>
          <w:ilvl w:val="0"/>
          <w:numId w:val="9"/>
        </w:numPr>
        <w:jc w:val="both"/>
        <w:rPr>
          <w:rFonts w:ascii="Arial" w:hAnsi="Arial"/>
          <w:i/>
          <w:lang w:val="el-GR"/>
        </w:rPr>
      </w:pPr>
      <w:r w:rsidRPr="00690390">
        <w:rPr>
          <w:rFonts w:ascii="Arial" w:hAnsi="Arial"/>
          <w:i/>
          <w:lang w:val="el-GR"/>
        </w:rPr>
        <w:t xml:space="preserve">Το ελληνικό σύστημα διεθνούς διαιτησίας </w:t>
      </w:r>
    </w:p>
    <w:p w:rsidR="00D3750A" w:rsidRPr="00690390" w:rsidRDefault="00D3750A" w:rsidP="00690390">
      <w:pPr>
        <w:pStyle w:val="a3"/>
        <w:numPr>
          <w:ilvl w:val="0"/>
          <w:numId w:val="1"/>
        </w:numPr>
        <w:ind w:left="1134"/>
        <w:jc w:val="both"/>
        <w:rPr>
          <w:rFonts w:ascii="Arial" w:hAnsi="Arial"/>
          <w:i/>
          <w:lang w:val="el-GR"/>
        </w:rPr>
      </w:pPr>
      <w:r w:rsidRPr="00690390">
        <w:rPr>
          <w:rFonts w:ascii="Arial" w:hAnsi="Arial"/>
          <w:i/>
          <w:lang w:val="el-GR"/>
        </w:rPr>
        <w:t>Δυιστικό - κριτική προσέγγιση</w:t>
      </w:r>
    </w:p>
    <w:p w:rsidR="00D3750A" w:rsidRPr="00690390" w:rsidRDefault="00D3750A" w:rsidP="00690390">
      <w:pPr>
        <w:pStyle w:val="a3"/>
        <w:numPr>
          <w:ilvl w:val="0"/>
          <w:numId w:val="1"/>
        </w:numPr>
        <w:ind w:left="1134"/>
        <w:jc w:val="both"/>
        <w:rPr>
          <w:rFonts w:ascii="Arial" w:hAnsi="Arial"/>
          <w:i/>
          <w:lang w:val="el-GR"/>
        </w:rPr>
      </w:pPr>
      <w:r w:rsidRPr="00690390">
        <w:rPr>
          <w:rFonts w:ascii="Arial" w:hAnsi="Arial"/>
          <w:lang w:val="el-GR"/>
        </w:rPr>
        <w:t>Μορφές</w:t>
      </w:r>
      <w:r w:rsidRPr="00690390">
        <w:rPr>
          <w:rFonts w:ascii="Arial" w:hAnsi="Arial"/>
          <w:i/>
          <w:lang w:val="el-GR"/>
        </w:rPr>
        <w:t xml:space="preserve"> διαιτησίας ελληνικού δικαίου (ενεργειακές ΡΑΕ κλπ)</w:t>
      </w:r>
    </w:p>
    <w:p w:rsidR="00D3750A" w:rsidRPr="00690390" w:rsidRDefault="00D3750A" w:rsidP="00690390">
      <w:pPr>
        <w:pStyle w:val="a3"/>
        <w:numPr>
          <w:ilvl w:val="0"/>
          <w:numId w:val="1"/>
        </w:numPr>
        <w:ind w:left="1134"/>
        <w:jc w:val="both"/>
        <w:rPr>
          <w:rFonts w:ascii="Arial" w:hAnsi="Arial"/>
          <w:i/>
          <w:lang w:val="el-GR"/>
        </w:rPr>
      </w:pPr>
      <w:r w:rsidRPr="00690390">
        <w:rPr>
          <w:rFonts w:ascii="Arial" w:hAnsi="Arial"/>
          <w:lang w:val="el-GR"/>
        </w:rPr>
        <w:t>Νομικό πλαίσιο</w:t>
      </w:r>
    </w:p>
    <w:p w:rsidR="00D3750A" w:rsidRPr="00690390" w:rsidRDefault="00D3750A" w:rsidP="00690390">
      <w:pPr>
        <w:pStyle w:val="a3"/>
        <w:numPr>
          <w:ilvl w:val="0"/>
          <w:numId w:val="1"/>
        </w:numPr>
        <w:ind w:left="1134"/>
        <w:jc w:val="both"/>
        <w:rPr>
          <w:rFonts w:ascii="Arial" w:hAnsi="Arial"/>
          <w:i/>
          <w:lang w:val="el-GR"/>
        </w:rPr>
      </w:pPr>
      <w:r w:rsidRPr="00690390">
        <w:rPr>
          <w:rFonts w:ascii="Arial" w:hAnsi="Arial"/>
          <w:lang w:val="el-GR"/>
        </w:rPr>
        <w:t xml:space="preserve">Διεθνής και Ημεδαπή διαιτησία - </w:t>
      </w:r>
      <w:r w:rsidRPr="00690390">
        <w:rPr>
          <w:rFonts w:ascii="Arial" w:hAnsi="Arial"/>
          <w:i/>
          <w:lang w:val="el-GR"/>
        </w:rPr>
        <w:t>πεδίο εφαρμογής της διεθνούς διαιτησίας</w:t>
      </w:r>
    </w:p>
    <w:p w:rsidR="00D3750A" w:rsidRPr="00690390" w:rsidRDefault="00D3750A" w:rsidP="00690390">
      <w:pPr>
        <w:jc w:val="both"/>
        <w:rPr>
          <w:rFonts w:ascii="Arial" w:hAnsi="Arial"/>
        </w:rPr>
      </w:pPr>
      <w:r w:rsidRPr="00690390">
        <w:rPr>
          <w:rFonts w:ascii="Arial" w:hAnsi="Arial"/>
          <w:b/>
          <w:bCs/>
        </w:rPr>
        <w:t> </w:t>
      </w:r>
    </w:p>
    <w:p w:rsidR="00D3750A" w:rsidRPr="00690390" w:rsidRDefault="00D3750A" w:rsidP="00690390">
      <w:pPr>
        <w:pStyle w:val="a3"/>
        <w:numPr>
          <w:ilvl w:val="0"/>
          <w:numId w:val="2"/>
        </w:numPr>
        <w:ind w:left="350"/>
        <w:jc w:val="both"/>
        <w:rPr>
          <w:rFonts w:ascii="Arial" w:hAnsi="Arial"/>
          <w:b/>
          <w:bCs/>
          <w:lang w:val="el-GR"/>
        </w:rPr>
      </w:pPr>
      <w:r w:rsidRPr="00690390">
        <w:rPr>
          <w:rFonts w:ascii="Arial" w:hAnsi="Arial"/>
          <w:b/>
          <w:bCs/>
          <w:lang w:val="el-GR"/>
        </w:rPr>
        <w:t>Η προδιαιτητική φάση</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10"/>
        </w:numPr>
        <w:jc w:val="both"/>
        <w:rPr>
          <w:rFonts w:ascii="Arial" w:hAnsi="Arial"/>
          <w:lang w:val="el-GR"/>
        </w:rPr>
      </w:pPr>
      <w:r w:rsidRPr="00690390">
        <w:rPr>
          <w:rFonts w:ascii="Arial" w:hAnsi="Arial"/>
          <w:i/>
          <w:iCs/>
          <w:lang w:val="el-GR"/>
        </w:rPr>
        <w:t xml:space="preserve">Η </w:t>
      </w:r>
      <w:r w:rsidRPr="00690390">
        <w:rPr>
          <w:rFonts w:ascii="Arial" w:hAnsi="Arial"/>
          <w:i/>
          <w:lang w:val="el-GR"/>
        </w:rPr>
        <w:t>διαιτητική</w:t>
      </w:r>
      <w:r w:rsidRPr="00690390">
        <w:rPr>
          <w:rFonts w:ascii="Arial" w:hAnsi="Arial"/>
          <w:i/>
          <w:iCs/>
          <w:lang w:val="el-GR"/>
        </w:rPr>
        <w:t xml:space="preserve"> συμφωνία</w:t>
      </w:r>
      <w:r w:rsidRPr="00690390">
        <w:rPr>
          <w:rFonts w:ascii="Arial" w:hAnsi="Arial"/>
          <w:lang w:val="el-GR"/>
        </w:rPr>
        <w:t xml:space="preserve"> (</w:t>
      </w:r>
      <w:r w:rsidRPr="00690390">
        <w:rPr>
          <w:rFonts w:ascii="Arial" w:hAnsi="Arial"/>
          <w:b/>
          <w:lang w:val="el-GR"/>
        </w:rPr>
        <w:t>Η προδιαιτητική φάση</w:t>
      </w:r>
      <w:r w:rsidRPr="00690390">
        <w:rPr>
          <w:rFonts w:ascii="Arial" w:hAnsi="Arial"/>
          <w:lang w:val="el-GR"/>
        </w:rPr>
        <w:t>)</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jc w:val="both"/>
        <w:rPr>
          <w:rFonts w:ascii="Arial" w:hAnsi="Arial"/>
        </w:rPr>
      </w:pPr>
    </w:p>
    <w:p w:rsidR="00D3750A" w:rsidRPr="00690390" w:rsidRDefault="00D3750A" w:rsidP="00690390">
      <w:pPr>
        <w:ind w:left="284" w:hanging="284"/>
        <w:jc w:val="both"/>
        <w:rPr>
          <w:rFonts w:ascii="Arial" w:hAnsi="Arial"/>
          <w:i/>
          <w:u w:val="single"/>
        </w:rPr>
      </w:pPr>
      <w:r w:rsidRPr="00690390">
        <w:rPr>
          <w:rFonts w:ascii="Arial" w:hAnsi="Arial"/>
        </w:rPr>
        <w:tab/>
      </w:r>
      <w:r w:rsidRPr="00690390">
        <w:rPr>
          <w:rFonts w:ascii="Arial" w:hAnsi="Arial"/>
          <w:i/>
          <w:u w:val="single"/>
        </w:rPr>
        <w:t>Α- Η κατάρτιση της διαιτητικής συμφωνίας</w:t>
      </w:r>
    </w:p>
    <w:p w:rsidR="00D3750A" w:rsidRPr="00690390" w:rsidRDefault="00D3750A" w:rsidP="00690390">
      <w:pPr>
        <w:jc w:val="both"/>
        <w:rPr>
          <w:rFonts w:ascii="Arial" w:hAnsi="Arial"/>
        </w:rPr>
      </w:pPr>
      <w:r w:rsidRPr="00690390">
        <w:rPr>
          <w:rFonts w:ascii="Arial" w:hAnsi="Arial"/>
        </w:rPr>
        <w:t xml:space="preserve">      </w:t>
      </w:r>
    </w:p>
    <w:p w:rsidR="00D3750A" w:rsidRPr="00690390" w:rsidRDefault="00D3750A" w:rsidP="00690390">
      <w:pPr>
        <w:jc w:val="both"/>
        <w:rPr>
          <w:rFonts w:ascii="Arial" w:hAnsi="Arial"/>
        </w:rPr>
      </w:pPr>
      <w:r w:rsidRPr="00690390">
        <w:rPr>
          <w:rFonts w:ascii="Arial" w:hAnsi="Arial"/>
        </w:rPr>
        <w:t xml:space="preserve">      1. Η αυτονομία της διαιτητικής συμφωνίας (έναντι της ουσιαστικής συμφωνίας και κρατικών δικαίων)</w:t>
      </w:r>
    </w:p>
    <w:p w:rsidR="00D3750A" w:rsidRPr="00690390" w:rsidRDefault="00D3750A" w:rsidP="00690390">
      <w:pPr>
        <w:ind w:left="360"/>
        <w:jc w:val="both"/>
        <w:rPr>
          <w:rFonts w:ascii="Arial" w:hAnsi="Arial"/>
        </w:rPr>
      </w:pPr>
      <w:r w:rsidRPr="00690390">
        <w:rPr>
          <w:rFonts w:ascii="Arial" w:hAnsi="Arial"/>
        </w:rPr>
        <w:t>2. Η εγκυρότητα της διαιτητικής συμφωνίας</w:t>
      </w:r>
    </w:p>
    <w:p w:rsidR="00D3750A" w:rsidRPr="00690390" w:rsidRDefault="00D3750A" w:rsidP="00690390">
      <w:pPr>
        <w:ind w:left="360"/>
        <w:jc w:val="both"/>
        <w:rPr>
          <w:rFonts w:ascii="Arial" w:hAnsi="Arial"/>
        </w:rPr>
      </w:pPr>
      <w:r w:rsidRPr="00690390">
        <w:rPr>
          <w:rFonts w:ascii="Arial" w:hAnsi="Arial"/>
        </w:rPr>
        <w:t>3. Οι προϋποθέσεις εγκυρότητας (ουσιαστικές [συναίνεση, ικανότητα], τυπικές, διαιτητεύσιμο)</w:t>
      </w:r>
    </w:p>
    <w:p w:rsidR="00D3750A" w:rsidRPr="00690390" w:rsidRDefault="00D3750A" w:rsidP="00690390">
      <w:pPr>
        <w:ind w:left="360"/>
        <w:jc w:val="both"/>
        <w:rPr>
          <w:rFonts w:ascii="Arial" w:hAnsi="Arial"/>
        </w:rPr>
      </w:pPr>
      <w:r w:rsidRPr="00690390">
        <w:rPr>
          <w:rFonts w:ascii="Arial" w:hAnsi="Arial"/>
        </w:rPr>
        <w:t>4. Τα μέρη στη διαιτητική συμφωνία (Κράτος, ΝΠΔΔ, Εταιρίες, πρόσωπα)</w:t>
      </w:r>
    </w:p>
    <w:p w:rsidR="00D3750A" w:rsidRPr="00690390" w:rsidRDefault="00D3750A" w:rsidP="00690390">
      <w:pPr>
        <w:ind w:left="360"/>
        <w:jc w:val="both"/>
        <w:rPr>
          <w:rFonts w:ascii="Arial" w:hAnsi="Arial"/>
        </w:rPr>
      </w:pPr>
      <w:r w:rsidRPr="00690390">
        <w:rPr>
          <w:rFonts w:ascii="Arial" w:hAnsi="Arial"/>
        </w:rPr>
        <w:lastRenderedPageBreak/>
        <w:t>5. Τα βασικά στοιχεία της διαιτητικής συμφωνίας (μνεία διαφοράς</w:t>
      </w:r>
    </w:p>
    <w:p w:rsidR="00D3750A" w:rsidRPr="00690390" w:rsidRDefault="00D3750A" w:rsidP="00690390">
      <w:pPr>
        <w:ind w:left="360"/>
        <w:jc w:val="both"/>
        <w:rPr>
          <w:rFonts w:ascii="Arial" w:hAnsi="Arial"/>
        </w:rPr>
      </w:pPr>
      <w:r w:rsidRPr="00690390">
        <w:rPr>
          <w:rFonts w:ascii="Arial" w:hAnsi="Arial"/>
        </w:rPr>
        <w:t>6. Η εμπιστευτικότητα</w:t>
      </w:r>
    </w:p>
    <w:p w:rsidR="00D3750A" w:rsidRPr="00690390" w:rsidRDefault="00D3750A" w:rsidP="00690390">
      <w:pPr>
        <w:ind w:left="360"/>
        <w:jc w:val="both"/>
        <w:rPr>
          <w:rFonts w:ascii="Arial" w:hAnsi="Arial"/>
        </w:rPr>
      </w:pPr>
      <w:r w:rsidRPr="00690390">
        <w:rPr>
          <w:rFonts w:ascii="Arial" w:hAnsi="Arial"/>
        </w:rPr>
        <w:t>7. Οι παθολογικές συμφωνίες διαιτησίας</w:t>
      </w:r>
    </w:p>
    <w:p w:rsidR="00D3750A" w:rsidRPr="00690390" w:rsidRDefault="00D3750A" w:rsidP="00690390">
      <w:pPr>
        <w:ind w:left="360"/>
        <w:jc w:val="both"/>
        <w:rPr>
          <w:rFonts w:ascii="Arial" w:hAnsi="Arial"/>
        </w:rPr>
      </w:pPr>
      <w:r w:rsidRPr="00690390">
        <w:rPr>
          <w:rFonts w:ascii="Arial" w:hAnsi="Arial"/>
        </w:rPr>
        <w:t>8. Η πολυμερής συμφωνία διαιτησίας</w:t>
      </w:r>
    </w:p>
    <w:p w:rsidR="00D3750A" w:rsidRPr="00690390" w:rsidRDefault="00D3750A" w:rsidP="00690390">
      <w:pPr>
        <w:ind w:left="360"/>
        <w:jc w:val="both"/>
        <w:rPr>
          <w:rFonts w:ascii="Arial" w:hAnsi="Arial"/>
        </w:rPr>
      </w:pPr>
      <w:r w:rsidRPr="00690390">
        <w:rPr>
          <w:rFonts w:ascii="Arial" w:hAnsi="Arial"/>
        </w:rPr>
        <w:t>9. Η ερμηνεία της διαιτητικής συμφωνίας</w:t>
      </w:r>
    </w:p>
    <w:p w:rsidR="00D3750A" w:rsidRPr="00690390" w:rsidRDefault="00D3750A" w:rsidP="00690390">
      <w:pPr>
        <w:ind w:left="360"/>
        <w:jc w:val="both"/>
        <w:rPr>
          <w:rFonts w:ascii="Arial" w:hAnsi="Arial"/>
        </w:rPr>
      </w:pPr>
      <w:r w:rsidRPr="00690390">
        <w:rPr>
          <w:rFonts w:ascii="Arial" w:hAnsi="Arial"/>
        </w:rPr>
        <w:t>10. το εφαρμοστέο δίκαιο στη διαιτητική συμφωνία</w:t>
      </w:r>
    </w:p>
    <w:p w:rsidR="00D3750A" w:rsidRPr="00690390" w:rsidRDefault="00D3750A" w:rsidP="00690390">
      <w:pPr>
        <w:ind w:left="360"/>
        <w:jc w:val="both"/>
        <w:rPr>
          <w:rFonts w:ascii="Arial" w:hAnsi="Arial"/>
        </w:rPr>
      </w:pPr>
    </w:p>
    <w:p w:rsidR="00D3750A" w:rsidRPr="00690390" w:rsidRDefault="00D3750A" w:rsidP="00690390">
      <w:pPr>
        <w:ind w:firstLine="360"/>
        <w:jc w:val="both"/>
        <w:rPr>
          <w:rFonts w:ascii="Arial" w:hAnsi="Arial"/>
          <w:i/>
          <w:u w:val="single"/>
        </w:rPr>
      </w:pPr>
      <w:r w:rsidRPr="00690390">
        <w:rPr>
          <w:rFonts w:ascii="Arial" w:hAnsi="Arial"/>
          <w:i/>
          <w:u w:val="single"/>
        </w:rPr>
        <w:t>Β- Τα έννομα αποτελέσματα της συμφωνίας διαιτησίας</w:t>
      </w:r>
    </w:p>
    <w:p w:rsidR="00D3750A" w:rsidRPr="00690390" w:rsidRDefault="00D3750A" w:rsidP="00690390">
      <w:pPr>
        <w:ind w:firstLine="360"/>
        <w:jc w:val="both"/>
        <w:rPr>
          <w:rFonts w:ascii="Arial" w:hAnsi="Arial"/>
          <w:i/>
          <w:u w:val="single"/>
        </w:rPr>
      </w:pPr>
    </w:p>
    <w:p w:rsidR="00D3750A" w:rsidRPr="00690390" w:rsidRDefault="00D3750A" w:rsidP="00690390">
      <w:pPr>
        <w:ind w:firstLine="360"/>
        <w:jc w:val="both"/>
        <w:rPr>
          <w:rFonts w:ascii="Arial" w:hAnsi="Arial"/>
        </w:rPr>
      </w:pPr>
    </w:p>
    <w:p w:rsidR="00D3750A" w:rsidRPr="00690390" w:rsidRDefault="00D3750A" w:rsidP="00690390">
      <w:pPr>
        <w:ind w:left="360"/>
        <w:jc w:val="both"/>
        <w:rPr>
          <w:rFonts w:ascii="Arial" w:hAnsi="Arial"/>
        </w:rPr>
      </w:pPr>
    </w:p>
    <w:p w:rsidR="00D3750A" w:rsidRPr="00690390" w:rsidRDefault="00D3750A" w:rsidP="00690390">
      <w:pPr>
        <w:ind w:left="360"/>
        <w:jc w:val="both"/>
        <w:rPr>
          <w:rFonts w:ascii="Arial" w:hAnsi="Arial"/>
        </w:rPr>
      </w:pPr>
      <w:r w:rsidRPr="00690390">
        <w:rPr>
          <w:rFonts w:ascii="Arial" w:hAnsi="Arial"/>
        </w:rPr>
        <w:t>1- Θετικό :Έναντι των μερών</w:t>
      </w:r>
    </w:p>
    <w:p w:rsidR="00D3750A" w:rsidRPr="00690390" w:rsidRDefault="00D3750A" w:rsidP="00690390">
      <w:pPr>
        <w:ind w:left="360"/>
        <w:jc w:val="both"/>
        <w:rPr>
          <w:rFonts w:ascii="Arial" w:hAnsi="Arial"/>
        </w:rPr>
      </w:pPr>
      <w:r w:rsidRPr="00690390">
        <w:rPr>
          <w:rFonts w:ascii="Arial" w:hAnsi="Arial"/>
        </w:rPr>
        <w:t>2- Θετικό: θεμελίωση δικαιοδοσίας του διαιτητικού δικαστηρίου</w:t>
      </w:r>
    </w:p>
    <w:p w:rsidR="00D3750A" w:rsidRPr="00690390" w:rsidRDefault="00D3750A" w:rsidP="00690390">
      <w:pPr>
        <w:ind w:left="360"/>
        <w:jc w:val="both"/>
        <w:rPr>
          <w:rFonts w:ascii="Arial" w:hAnsi="Arial"/>
        </w:rPr>
      </w:pPr>
      <w:r w:rsidRPr="00690390">
        <w:rPr>
          <w:rFonts w:ascii="Arial" w:hAnsi="Arial"/>
        </w:rPr>
        <w:t>3- Αρνητικό: Έλλειψη δικαιοδοσίας κρατικών (πολιτειακών) δικαστηρίων</w:t>
      </w:r>
    </w:p>
    <w:p w:rsidR="00D3750A" w:rsidRPr="00690390" w:rsidRDefault="00D3750A" w:rsidP="00690390">
      <w:pPr>
        <w:ind w:left="360"/>
        <w:jc w:val="both"/>
        <w:rPr>
          <w:rFonts w:ascii="Arial" w:hAnsi="Arial"/>
        </w:rPr>
      </w:pPr>
      <w:r w:rsidRPr="00690390">
        <w:rPr>
          <w:rFonts w:ascii="Arial" w:hAnsi="Arial"/>
        </w:rPr>
        <w:t xml:space="preserve">4- Έναντι τρίτων (έκταση, πτώχευση, φορτωτική κλπ., η μεταβίβαση της διαιτητικής συμφωνίας, ) </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2"/>
        </w:numPr>
        <w:ind w:left="350"/>
        <w:jc w:val="both"/>
        <w:rPr>
          <w:rFonts w:ascii="Arial" w:hAnsi="Arial"/>
          <w:b/>
          <w:bCs/>
          <w:lang w:val="el-GR"/>
        </w:rPr>
      </w:pPr>
      <w:r w:rsidRPr="00690390">
        <w:rPr>
          <w:rFonts w:ascii="Arial" w:hAnsi="Arial"/>
          <w:b/>
          <w:bCs/>
          <w:lang w:val="el-GR"/>
        </w:rPr>
        <w:t>Η διαιτητική φάση</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11"/>
        </w:numPr>
        <w:jc w:val="both"/>
        <w:rPr>
          <w:rFonts w:ascii="Arial" w:hAnsi="Arial"/>
          <w:i/>
          <w:lang w:val="el-GR"/>
        </w:rPr>
      </w:pPr>
      <w:r w:rsidRPr="00690390">
        <w:rPr>
          <w:rFonts w:ascii="Arial" w:hAnsi="Arial"/>
          <w:i/>
          <w:lang w:val="el-GR"/>
        </w:rPr>
        <w:t>Η συγκρότηση του διαιτητικού δικαστηρίου</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jc w:val="both"/>
        <w:rPr>
          <w:rFonts w:ascii="Arial" w:hAnsi="Arial"/>
        </w:rPr>
      </w:pPr>
      <w:r w:rsidRPr="00690390">
        <w:rPr>
          <w:rFonts w:ascii="Arial" w:hAnsi="Arial"/>
        </w:rPr>
        <w:t xml:space="preserve">[στην ουσία υπάρχουν δύο πόλοι: ο διαιτητής ως δικαστής και ο διαιτητής ως συμβαλλόμενο μέρος] </w:t>
      </w:r>
    </w:p>
    <w:p w:rsidR="00D3750A" w:rsidRPr="00690390" w:rsidRDefault="00D3750A" w:rsidP="00690390">
      <w:pPr>
        <w:jc w:val="both"/>
        <w:rPr>
          <w:rFonts w:ascii="Arial" w:hAnsi="Arial"/>
        </w:rPr>
      </w:pPr>
    </w:p>
    <w:p w:rsidR="00D3750A" w:rsidRPr="00690390" w:rsidRDefault="00D3750A" w:rsidP="00690390">
      <w:pPr>
        <w:pStyle w:val="a3"/>
        <w:numPr>
          <w:ilvl w:val="0"/>
          <w:numId w:val="3"/>
        </w:numPr>
        <w:jc w:val="both"/>
        <w:rPr>
          <w:rFonts w:ascii="Arial" w:hAnsi="Arial"/>
          <w:lang w:val="el-GR"/>
        </w:rPr>
      </w:pPr>
      <w:r w:rsidRPr="00690390">
        <w:rPr>
          <w:rFonts w:ascii="Arial" w:hAnsi="Arial"/>
          <w:lang w:val="el-GR"/>
        </w:rPr>
        <w:t>Ο ορισμός και επιβεβαίωση των διαιτητών</w:t>
      </w:r>
    </w:p>
    <w:p w:rsidR="00D3750A" w:rsidRPr="00690390" w:rsidRDefault="00D3750A" w:rsidP="00690390">
      <w:pPr>
        <w:pStyle w:val="a3"/>
        <w:numPr>
          <w:ilvl w:val="0"/>
          <w:numId w:val="3"/>
        </w:numPr>
        <w:jc w:val="both"/>
        <w:rPr>
          <w:rFonts w:ascii="Arial" w:hAnsi="Arial"/>
          <w:lang w:val="el-GR"/>
        </w:rPr>
      </w:pPr>
      <w:r w:rsidRPr="00690390">
        <w:rPr>
          <w:rFonts w:ascii="Arial" w:hAnsi="Arial"/>
          <w:lang w:val="el-GR"/>
        </w:rPr>
        <w:t>Ιδιότητες διαιτητών</w:t>
      </w:r>
    </w:p>
    <w:p w:rsidR="00D3750A" w:rsidRPr="00690390" w:rsidRDefault="00D3750A" w:rsidP="00690390">
      <w:pPr>
        <w:pStyle w:val="a3"/>
        <w:numPr>
          <w:ilvl w:val="0"/>
          <w:numId w:val="3"/>
        </w:numPr>
        <w:jc w:val="both"/>
        <w:rPr>
          <w:rFonts w:ascii="Arial" w:hAnsi="Arial"/>
          <w:lang w:val="el-GR"/>
        </w:rPr>
      </w:pPr>
      <w:r w:rsidRPr="00690390">
        <w:rPr>
          <w:rFonts w:ascii="Arial" w:hAnsi="Arial"/>
          <w:lang w:val="el-GR"/>
        </w:rPr>
        <w:t>Αμεροληψία και ανεξαρτησία διαιτητών</w:t>
      </w:r>
    </w:p>
    <w:p w:rsidR="00D3750A" w:rsidRPr="00690390" w:rsidRDefault="00D3750A" w:rsidP="00690390">
      <w:pPr>
        <w:pStyle w:val="a3"/>
        <w:numPr>
          <w:ilvl w:val="0"/>
          <w:numId w:val="3"/>
        </w:numPr>
        <w:jc w:val="both"/>
        <w:rPr>
          <w:rFonts w:ascii="Arial" w:hAnsi="Arial"/>
          <w:lang w:val="el-GR"/>
        </w:rPr>
      </w:pPr>
      <w:r w:rsidRPr="00690390">
        <w:rPr>
          <w:rFonts w:ascii="Arial" w:hAnsi="Arial"/>
          <w:lang w:val="el-GR"/>
        </w:rPr>
        <w:t>Αμφισβήτηση και αντικατάσταση διαιτητών</w:t>
      </w:r>
    </w:p>
    <w:p w:rsidR="00D3750A" w:rsidRPr="00690390" w:rsidRDefault="00D3750A" w:rsidP="00690390">
      <w:pPr>
        <w:pStyle w:val="a3"/>
        <w:numPr>
          <w:ilvl w:val="0"/>
          <w:numId w:val="3"/>
        </w:numPr>
        <w:jc w:val="both"/>
        <w:rPr>
          <w:rFonts w:ascii="Arial" w:hAnsi="Arial"/>
          <w:lang w:val="el-GR"/>
        </w:rPr>
      </w:pPr>
      <w:r w:rsidRPr="00690390">
        <w:rPr>
          <w:rFonts w:ascii="Arial" w:hAnsi="Arial"/>
          <w:lang w:val="el-GR"/>
        </w:rPr>
        <w:t>Η νομική σχέση διαιτητικού δικαστηρίου και μερών</w:t>
      </w:r>
    </w:p>
    <w:p w:rsidR="00D3750A" w:rsidRPr="00690390" w:rsidRDefault="00D3750A" w:rsidP="00690390">
      <w:pPr>
        <w:pStyle w:val="a3"/>
        <w:numPr>
          <w:ilvl w:val="0"/>
          <w:numId w:val="3"/>
        </w:numPr>
        <w:jc w:val="both"/>
        <w:rPr>
          <w:rFonts w:ascii="Arial" w:hAnsi="Arial"/>
          <w:lang w:val="el-GR"/>
        </w:rPr>
      </w:pPr>
      <w:r w:rsidRPr="00690390">
        <w:rPr>
          <w:rFonts w:ascii="Arial" w:hAnsi="Arial"/>
          <w:lang w:val="el-GR"/>
        </w:rPr>
        <w:t>Η γραμματεία του διαιτητικού δικαστηρίου</w:t>
      </w:r>
    </w:p>
    <w:p w:rsidR="00D3750A" w:rsidRPr="00690390" w:rsidRDefault="00D3750A" w:rsidP="00690390">
      <w:pPr>
        <w:pStyle w:val="a3"/>
        <w:numPr>
          <w:ilvl w:val="0"/>
          <w:numId w:val="3"/>
        </w:numPr>
        <w:jc w:val="both"/>
        <w:rPr>
          <w:rFonts w:ascii="Arial" w:hAnsi="Arial"/>
          <w:lang w:val="el-GR"/>
        </w:rPr>
      </w:pPr>
      <w:r w:rsidRPr="00690390">
        <w:rPr>
          <w:rFonts w:ascii="Arial" w:hAnsi="Arial"/>
          <w:lang w:val="el-GR"/>
        </w:rPr>
        <w:t>Ευθύνη διαιτητών και κέντρων διαιτησία</w:t>
      </w:r>
    </w:p>
    <w:p w:rsidR="00D3750A" w:rsidRPr="00690390" w:rsidRDefault="00D3750A" w:rsidP="00690390">
      <w:pPr>
        <w:pStyle w:val="a3"/>
        <w:numPr>
          <w:ilvl w:val="0"/>
          <w:numId w:val="3"/>
        </w:numPr>
        <w:jc w:val="both"/>
        <w:rPr>
          <w:rFonts w:ascii="Arial" w:hAnsi="Arial"/>
          <w:lang w:val="el-GR"/>
        </w:rPr>
      </w:pPr>
      <w:r w:rsidRPr="00690390">
        <w:rPr>
          <w:rFonts w:ascii="Arial" w:hAnsi="Arial"/>
          <w:lang w:val="el-GR"/>
        </w:rPr>
        <w:t>Η πολυμερής διαιτησία</w:t>
      </w:r>
    </w:p>
    <w:p w:rsidR="00D3750A" w:rsidRPr="00690390" w:rsidRDefault="00D3750A" w:rsidP="00690390">
      <w:pPr>
        <w:pStyle w:val="a3"/>
        <w:numPr>
          <w:ilvl w:val="0"/>
          <w:numId w:val="3"/>
        </w:numPr>
        <w:jc w:val="both"/>
        <w:rPr>
          <w:rFonts w:ascii="Arial" w:hAnsi="Arial"/>
          <w:lang w:val="el-GR"/>
        </w:rPr>
      </w:pPr>
      <w:r w:rsidRPr="00690390">
        <w:rPr>
          <w:rFonts w:ascii="Arial" w:hAnsi="Arial"/>
          <w:lang w:val="el-GR"/>
        </w:rPr>
        <w:t>Παθολογική εξέλιξη και πολιτειακά δικαστήρια</w:t>
      </w:r>
    </w:p>
    <w:p w:rsidR="00D3750A" w:rsidRPr="00690390" w:rsidRDefault="00D3750A" w:rsidP="00690390">
      <w:pPr>
        <w:ind w:left="360"/>
        <w:jc w:val="both"/>
        <w:rPr>
          <w:rFonts w:ascii="Arial" w:hAnsi="Arial"/>
          <w:i/>
        </w:rPr>
      </w:pPr>
    </w:p>
    <w:p w:rsidR="00D3750A" w:rsidRPr="00690390" w:rsidRDefault="00D3750A" w:rsidP="00690390">
      <w:pPr>
        <w:ind w:left="360"/>
        <w:jc w:val="both"/>
        <w:rPr>
          <w:rFonts w:ascii="Arial" w:hAnsi="Arial"/>
          <w:i/>
        </w:rPr>
      </w:pPr>
      <w:r w:rsidRPr="00690390">
        <w:rPr>
          <w:rFonts w:ascii="Arial" w:hAnsi="Arial"/>
          <w:i/>
        </w:rPr>
        <w:t>ii. Η εξουσία κρίσεως του διαιτητικού δικαστηρίου</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4"/>
        </w:numPr>
        <w:jc w:val="both"/>
        <w:rPr>
          <w:rFonts w:ascii="Arial" w:hAnsi="Arial"/>
          <w:lang w:val="el-GR"/>
        </w:rPr>
      </w:pPr>
      <w:r w:rsidRPr="00690390">
        <w:rPr>
          <w:rFonts w:ascii="Arial" w:hAnsi="Arial"/>
          <w:lang w:val="el-GR"/>
        </w:rPr>
        <w:t>Η εντολή και εξουσία του διαιτητικού δικαστηρίου</w:t>
      </w:r>
    </w:p>
    <w:p w:rsidR="00D3750A" w:rsidRPr="00690390" w:rsidRDefault="00D3750A" w:rsidP="00690390">
      <w:pPr>
        <w:pStyle w:val="a3"/>
        <w:numPr>
          <w:ilvl w:val="0"/>
          <w:numId w:val="4"/>
        </w:numPr>
        <w:jc w:val="both"/>
        <w:rPr>
          <w:rFonts w:ascii="Arial" w:hAnsi="Arial"/>
          <w:lang w:val="el-GR"/>
        </w:rPr>
      </w:pPr>
      <w:r w:rsidRPr="00690390">
        <w:rPr>
          <w:rFonts w:ascii="Arial" w:hAnsi="Arial"/>
          <w:lang w:val="el-GR"/>
        </w:rPr>
        <w:t>Υποχρεώσεις του διαιτητικού δικαστηρίου</w:t>
      </w:r>
    </w:p>
    <w:p w:rsidR="00D3750A" w:rsidRPr="00EB4E0B" w:rsidRDefault="00D3750A" w:rsidP="00690390">
      <w:pPr>
        <w:ind w:left="360"/>
        <w:jc w:val="both"/>
        <w:rPr>
          <w:rFonts w:ascii="Arial" w:hAnsi="Arial"/>
          <w:i/>
          <w:u w:val="single"/>
        </w:rPr>
      </w:pPr>
      <w:r w:rsidRPr="00690390">
        <w:rPr>
          <w:rFonts w:ascii="Arial" w:hAnsi="Arial"/>
        </w:rPr>
        <w:t>3- Δικαιοδοσία επί δικαιοδοσίας (</w:t>
      </w:r>
      <w:r w:rsidRPr="00690390">
        <w:rPr>
          <w:rFonts w:ascii="Arial" w:hAnsi="Arial"/>
          <w:lang w:val="en-GB"/>
        </w:rPr>
        <w:t>Competence</w:t>
      </w:r>
      <w:r w:rsidRPr="00EB4E0B">
        <w:rPr>
          <w:rFonts w:ascii="Arial" w:hAnsi="Arial"/>
        </w:rPr>
        <w:t>-</w:t>
      </w:r>
      <w:r w:rsidRPr="00690390">
        <w:rPr>
          <w:rFonts w:ascii="Arial" w:hAnsi="Arial"/>
          <w:lang w:val="en-GB"/>
        </w:rPr>
        <w:t>Competence</w:t>
      </w:r>
      <w:r w:rsidRPr="00690390">
        <w:rPr>
          <w:rFonts w:ascii="Arial" w:hAnsi="Arial"/>
        </w:rPr>
        <w:t>)-</w:t>
      </w:r>
      <w:r w:rsidRPr="00EB4E0B">
        <w:rPr>
          <w:rFonts w:ascii="Arial" w:hAnsi="Arial"/>
          <w:i/>
          <w:u w:val="single"/>
        </w:rPr>
        <w:t xml:space="preserve"> </w:t>
      </w:r>
    </w:p>
    <w:p w:rsidR="00D3750A" w:rsidRPr="00EB4E0B" w:rsidRDefault="00D3750A" w:rsidP="00690390">
      <w:pPr>
        <w:ind w:left="360"/>
        <w:jc w:val="both"/>
        <w:rPr>
          <w:rFonts w:ascii="Arial" w:hAnsi="Arial"/>
        </w:rPr>
      </w:pPr>
      <w:r w:rsidRPr="00690390">
        <w:rPr>
          <w:rFonts w:ascii="Arial" w:hAnsi="Arial"/>
          <w:lang w:val="fr-FR"/>
        </w:rPr>
        <w:t>a</w:t>
      </w:r>
      <w:r w:rsidRPr="00EB4E0B">
        <w:rPr>
          <w:rFonts w:ascii="Arial" w:hAnsi="Arial"/>
        </w:rPr>
        <w:t>- το αρνητικό αποτέλεσμα της αρχής</w:t>
      </w:r>
    </w:p>
    <w:p w:rsidR="00D3750A" w:rsidRPr="00EB4E0B" w:rsidRDefault="00D3750A" w:rsidP="00690390">
      <w:pPr>
        <w:ind w:left="360"/>
        <w:jc w:val="both"/>
        <w:rPr>
          <w:rFonts w:ascii="Arial" w:hAnsi="Arial"/>
        </w:rPr>
      </w:pPr>
      <w:r w:rsidRPr="00690390">
        <w:rPr>
          <w:rFonts w:ascii="Arial" w:hAnsi="Arial"/>
          <w:lang w:val="fr-FR"/>
        </w:rPr>
        <w:t>b</w:t>
      </w:r>
      <w:r w:rsidRPr="00EB4E0B">
        <w:rPr>
          <w:rFonts w:ascii="Arial" w:hAnsi="Arial"/>
        </w:rPr>
        <w:t>- το θετικό αποτέλεσμα της αρχή</w:t>
      </w:r>
    </w:p>
    <w:p w:rsidR="00D3750A" w:rsidRPr="00690390" w:rsidRDefault="00D3750A" w:rsidP="00690390">
      <w:pPr>
        <w:ind w:left="360"/>
        <w:jc w:val="both"/>
        <w:rPr>
          <w:rFonts w:ascii="Arial" w:hAnsi="Arial"/>
        </w:rPr>
      </w:pPr>
      <w:r w:rsidRPr="00690390">
        <w:rPr>
          <w:rFonts w:ascii="Arial" w:hAnsi="Arial"/>
        </w:rPr>
        <w:t>4. Η αμφισβήτηση της δικαιοδοσίας του και ο πολιτειακός έλεγχος</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ind w:left="360"/>
        <w:jc w:val="both"/>
        <w:rPr>
          <w:rFonts w:ascii="Arial" w:hAnsi="Arial"/>
          <w:i/>
        </w:rPr>
      </w:pPr>
      <w:r w:rsidRPr="00690390">
        <w:rPr>
          <w:rFonts w:ascii="Arial" w:hAnsi="Arial"/>
          <w:i/>
        </w:rPr>
        <w:t>iii. Η διαιτητική διαδικασία</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5"/>
        </w:numPr>
        <w:jc w:val="both"/>
        <w:rPr>
          <w:rFonts w:ascii="Arial" w:hAnsi="Arial"/>
          <w:lang w:val="el-GR"/>
        </w:rPr>
      </w:pPr>
      <w:r w:rsidRPr="00690390">
        <w:rPr>
          <w:rFonts w:ascii="Arial" w:hAnsi="Arial"/>
          <w:lang w:val="el-GR"/>
        </w:rPr>
        <w:t xml:space="preserve">Προκαταρκτικές ενέργειες </w:t>
      </w:r>
      <w:r w:rsidRPr="00690390">
        <w:rPr>
          <w:rFonts w:ascii="Arial" w:hAnsi="Arial"/>
          <w:lang w:val="el-GR"/>
        </w:rPr>
        <w:softHyphen/>
      </w:r>
      <w:r w:rsidRPr="00690390">
        <w:rPr>
          <w:rFonts w:ascii="Arial" w:hAnsi="Arial"/>
          <w:lang w:val="el-GR"/>
        </w:rPr>
        <w:softHyphen/>
      </w:r>
      <w:r w:rsidRPr="00690390">
        <w:rPr>
          <w:rFonts w:ascii="Arial" w:hAnsi="Arial"/>
          <w:lang w:val="el-GR"/>
        </w:rPr>
        <w:softHyphen/>
      </w:r>
      <w:r w:rsidRPr="00690390">
        <w:rPr>
          <w:rFonts w:ascii="Arial" w:hAnsi="Arial"/>
          <w:lang w:val="el-GR"/>
        </w:rPr>
        <w:softHyphen/>
      </w:r>
      <w:r w:rsidRPr="00690390">
        <w:rPr>
          <w:rFonts w:ascii="Arial" w:hAnsi="Arial"/>
          <w:lang w:val="el-GR"/>
        </w:rPr>
        <w:softHyphen/>
      </w:r>
      <w:r w:rsidRPr="00690390">
        <w:rPr>
          <w:rFonts w:ascii="Arial" w:hAnsi="Arial"/>
          <w:lang w:val="el-GR"/>
        </w:rPr>
        <w:softHyphen/>
      </w:r>
      <w:r w:rsidRPr="00690390">
        <w:rPr>
          <w:rFonts w:ascii="Arial" w:hAnsi="Arial"/>
          <w:lang w:val="el-GR"/>
        </w:rPr>
        <w:softHyphen/>
      </w:r>
      <w:r w:rsidRPr="00690390">
        <w:rPr>
          <w:rFonts w:ascii="Arial" w:hAnsi="Arial"/>
          <w:lang w:val="el-GR"/>
        </w:rPr>
        <w:softHyphen/>
        <w:t>- όροι δικαιοδοτικού πλαισίου</w:t>
      </w:r>
    </w:p>
    <w:p w:rsidR="00D3750A" w:rsidRPr="00690390" w:rsidRDefault="00D3750A" w:rsidP="00690390">
      <w:pPr>
        <w:pStyle w:val="a3"/>
        <w:numPr>
          <w:ilvl w:val="0"/>
          <w:numId w:val="5"/>
        </w:numPr>
        <w:jc w:val="both"/>
        <w:rPr>
          <w:rFonts w:ascii="Arial" w:hAnsi="Arial"/>
          <w:lang w:val="el-GR"/>
        </w:rPr>
      </w:pPr>
      <w:r w:rsidRPr="00690390">
        <w:rPr>
          <w:rFonts w:ascii="Arial" w:hAnsi="Arial"/>
          <w:lang w:val="el-GR"/>
        </w:rPr>
        <w:t>το εφαρμοστέο δίκαιο επί της διαιτητικής διαδικασίας- έδρα διαιτησίας</w:t>
      </w:r>
    </w:p>
    <w:p w:rsidR="00D3750A" w:rsidRPr="00690390" w:rsidRDefault="00D3750A" w:rsidP="00690390">
      <w:pPr>
        <w:pStyle w:val="a3"/>
        <w:numPr>
          <w:ilvl w:val="0"/>
          <w:numId w:val="5"/>
        </w:numPr>
        <w:jc w:val="both"/>
        <w:rPr>
          <w:rFonts w:ascii="Arial" w:hAnsi="Arial"/>
          <w:lang w:val="el-GR"/>
        </w:rPr>
      </w:pPr>
      <w:r w:rsidRPr="00690390">
        <w:rPr>
          <w:rFonts w:ascii="Arial" w:hAnsi="Arial"/>
          <w:lang w:val="el-GR"/>
        </w:rPr>
        <w:t>Οι θεμελιώδεις αρχές της διαδικασίας (εκατέρωθεν ακροάσεως, ισότητας όπλων,)</w:t>
      </w:r>
    </w:p>
    <w:p w:rsidR="00D3750A" w:rsidRPr="00690390" w:rsidRDefault="00D3750A" w:rsidP="00690390">
      <w:pPr>
        <w:pStyle w:val="a3"/>
        <w:numPr>
          <w:ilvl w:val="0"/>
          <w:numId w:val="5"/>
        </w:numPr>
        <w:jc w:val="both"/>
        <w:rPr>
          <w:rFonts w:ascii="Arial" w:hAnsi="Arial"/>
          <w:lang w:val="el-GR"/>
        </w:rPr>
      </w:pPr>
      <w:r w:rsidRPr="00690390">
        <w:rPr>
          <w:rFonts w:ascii="Arial" w:hAnsi="Arial"/>
          <w:lang w:val="el-GR"/>
        </w:rPr>
        <w:lastRenderedPageBreak/>
        <w:t>Τα στάδια της διαδικασίας (όροι αναφοράς, εισαγωγή  υποβολή υπομνημάτων, προθεσμίες, χρονοδιάγραμμα,  προτάσεων</w:t>
      </w:r>
    </w:p>
    <w:p w:rsidR="00D3750A" w:rsidRPr="00690390" w:rsidRDefault="00D3750A" w:rsidP="00690390">
      <w:pPr>
        <w:pStyle w:val="a3"/>
        <w:numPr>
          <w:ilvl w:val="0"/>
          <w:numId w:val="5"/>
        </w:numPr>
        <w:jc w:val="both"/>
        <w:rPr>
          <w:rFonts w:ascii="Arial" w:hAnsi="Arial"/>
          <w:lang w:val="el-GR"/>
        </w:rPr>
      </w:pPr>
      <w:r w:rsidRPr="00690390">
        <w:rPr>
          <w:rFonts w:ascii="Arial" w:hAnsi="Arial"/>
          <w:lang w:val="el-GR"/>
        </w:rPr>
        <w:t>Διεξαγωγή της διαδικασίας</w:t>
      </w:r>
    </w:p>
    <w:p w:rsidR="00D3750A" w:rsidRPr="00690390" w:rsidRDefault="00D3750A" w:rsidP="00690390">
      <w:pPr>
        <w:pStyle w:val="a3"/>
        <w:numPr>
          <w:ilvl w:val="1"/>
          <w:numId w:val="5"/>
        </w:numPr>
        <w:jc w:val="both"/>
        <w:rPr>
          <w:rFonts w:ascii="Arial" w:hAnsi="Arial"/>
          <w:lang w:val="el-GR"/>
        </w:rPr>
      </w:pPr>
      <w:r w:rsidRPr="00690390">
        <w:rPr>
          <w:rFonts w:ascii="Arial" w:hAnsi="Arial"/>
          <w:lang w:val="el-GR"/>
        </w:rPr>
        <w:t>Στάδιο δικαιοδοσίας</w:t>
      </w:r>
    </w:p>
    <w:p w:rsidR="00D3750A" w:rsidRPr="00690390" w:rsidRDefault="00D3750A" w:rsidP="00690390">
      <w:pPr>
        <w:pStyle w:val="a3"/>
        <w:numPr>
          <w:ilvl w:val="1"/>
          <w:numId w:val="5"/>
        </w:numPr>
        <w:jc w:val="both"/>
        <w:rPr>
          <w:rFonts w:ascii="Arial" w:hAnsi="Arial"/>
          <w:lang w:val="el-GR"/>
        </w:rPr>
      </w:pPr>
      <w:r w:rsidRPr="00690390">
        <w:rPr>
          <w:rFonts w:ascii="Arial" w:hAnsi="Arial"/>
          <w:lang w:val="el-GR"/>
        </w:rPr>
        <w:t>Στάδιο ουσίας της διαφοράς</w:t>
      </w:r>
    </w:p>
    <w:p w:rsidR="00D3750A" w:rsidRPr="00690390" w:rsidRDefault="00D3750A" w:rsidP="00690390">
      <w:pPr>
        <w:pStyle w:val="a3"/>
        <w:numPr>
          <w:ilvl w:val="1"/>
          <w:numId w:val="5"/>
        </w:numPr>
        <w:jc w:val="both"/>
        <w:rPr>
          <w:rFonts w:ascii="Arial" w:hAnsi="Arial"/>
          <w:lang w:val="el-GR"/>
        </w:rPr>
      </w:pPr>
      <w:r w:rsidRPr="00690390">
        <w:rPr>
          <w:rFonts w:ascii="Arial" w:hAnsi="Arial"/>
          <w:lang w:val="el-GR"/>
        </w:rPr>
        <w:t>Στάδιο επιμέτρησης ζημιών</w:t>
      </w:r>
    </w:p>
    <w:p w:rsidR="00D3750A" w:rsidRPr="00690390" w:rsidRDefault="00D3750A" w:rsidP="00690390">
      <w:pPr>
        <w:pStyle w:val="a3"/>
        <w:numPr>
          <w:ilvl w:val="0"/>
          <w:numId w:val="5"/>
        </w:numPr>
        <w:jc w:val="both"/>
        <w:rPr>
          <w:rFonts w:ascii="Arial" w:hAnsi="Arial"/>
          <w:lang w:val="el-GR"/>
        </w:rPr>
      </w:pPr>
      <w:r w:rsidRPr="00690390">
        <w:rPr>
          <w:rFonts w:ascii="Arial" w:hAnsi="Arial"/>
          <w:lang w:val="el-GR"/>
        </w:rPr>
        <w:t>Απόδειξη - εξέταση μαρτύρων (</w:t>
      </w:r>
      <w:r w:rsidRPr="00690390">
        <w:rPr>
          <w:rFonts w:ascii="Arial" w:hAnsi="Arial"/>
          <w:lang w:val="fr-FR"/>
        </w:rPr>
        <w:t>cross examination- Redfern principles- )</w:t>
      </w:r>
    </w:p>
    <w:p w:rsidR="00D3750A" w:rsidRPr="00690390" w:rsidRDefault="00D3750A" w:rsidP="00690390">
      <w:pPr>
        <w:pStyle w:val="a3"/>
        <w:numPr>
          <w:ilvl w:val="0"/>
          <w:numId w:val="5"/>
        </w:numPr>
        <w:jc w:val="both"/>
        <w:rPr>
          <w:rFonts w:ascii="Arial" w:hAnsi="Arial"/>
          <w:lang w:val="el-GR"/>
        </w:rPr>
      </w:pPr>
      <w:r w:rsidRPr="00690390">
        <w:rPr>
          <w:rFonts w:ascii="Arial" w:hAnsi="Arial"/>
          <w:lang w:val="el-GR"/>
        </w:rPr>
        <w:t>Ακροαματική διαδικασία</w:t>
      </w:r>
    </w:p>
    <w:p w:rsidR="00D3750A" w:rsidRPr="00690390" w:rsidRDefault="00D3750A" w:rsidP="00690390">
      <w:pPr>
        <w:pStyle w:val="a3"/>
        <w:numPr>
          <w:ilvl w:val="0"/>
          <w:numId w:val="5"/>
        </w:numPr>
        <w:jc w:val="both"/>
        <w:rPr>
          <w:rFonts w:ascii="Arial" w:hAnsi="Arial"/>
          <w:lang w:val="el-GR"/>
        </w:rPr>
      </w:pPr>
      <w:r w:rsidRPr="00690390">
        <w:rPr>
          <w:rFonts w:ascii="Arial" w:hAnsi="Arial"/>
          <w:lang w:val="el-GR"/>
        </w:rPr>
        <w:t xml:space="preserve">Ασφαλιστικά μέτρα- </w:t>
      </w:r>
    </w:p>
    <w:p w:rsidR="00D3750A" w:rsidRPr="00690390" w:rsidRDefault="00D3750A" w:rsidP="00690390">
      <w:pPr>
        <w:pStyle w:val="a3"/>
        <w:numPr>
          <w:ilvl w:val="0"/>
          <w:numId w:val="5"/>
        </w:numPr>
        <w:jc w:val="both"/>
        <w:rPr>
          <w:rFonts w:ascii="Arial" w:hAnsi="Arial"/>
          <w:lang w:val="el-GR"/>
        </w:rPr>
      </w:pPr>
      <w:r w:rsidRPr="00690390">
        <w:rPr>
          <w:rFonts w:ascii="Arial" w:hAnsi="Arial"/>
          <w:lang w:val="el-GR"/>
        </w:rPr>
        <w:t>Το εφαρμοστέο δίκαιο στην ουσία της διαφοράς (αληθώς διεθνής δημόσια τάξη, κανόνες αμέσου εφαρμογής)</w:t>
      </w:r>
    </w:p>
    <w:p w:rsidR="00D3750A" w:rsidRPr="00EB4E0B" w:rsidRDefault="00D3750A" w:rsidP="00690390">
      <w:pPr>
        <w:pStyle w:val="a3"/>
        <w:numPr>
          <w:ilvl w:val="0"/>
          <w:numId w:val="5"/>
        </w:numPr>
        <w:jc w:val="both"/>
        <w:rPr>
          <w:rFonts w:ascii="Arial" w:hAnsi="Arial"/>
          <w:lang w:val="fr-FR"/>
        </w:rPr>
      </w:pPr>
      <w:r w:rsidRPr="00690390">
        <w:rPr>
          <w:rFonts w:ascii="Arial" w:hAnsi="Arial"/>
          <w:lang w:val="el-GR"/>
        </w:rPr>
        <w:t>Η</w:t>
      </w:r>
      <w:r w:rsidRPr="00EB4E0B">
        <w:rPr>
          <w:rFonts w:ascii="Arial" w:hAnsi="Arial"/>
          <w:lang w:val="fr-FR"/>
        </w:rPr>
        <w:t xml:space="preserve"> </w:t>
      </w:r>
      <w:r w:rsidRPr="00690390">
        <w:rPr>
          <w:rFonts w:ascii="Arial" w:hAnsi="Arial"/>
          <w:lang w:val="fr-FR"/>
        </w:rPr>
        <w:t xml:space="preserve">ex aequo et bono </w:t>
      </w:r>
      <w:r w:rsidRPr="00EB4E0B">
        <w:rPr>
          <w:rFonts w:ascii="Arial" w:hAnsi="Arial"/>
          <w:lang w:val="fr-FR"/>
        </w:rPr>
        <w:t> </w:t>
      </w:r>
      <w:r w:rsidRPr="00690390">
        <w:rPr>
          <w:rFonts w:ascii="Arial" w:hAnsi="Arial"/>
          <w:lang w:val="el-GR"/>
        </w:rPr>
        <w:t>κρίση</w:t>
      </w:r>
    </w:p>
    <w:p w:rsidR="00D3750A" w:rsidRPr="00690390" w:rsidRDefault="00D3750A" w:rsidP="00690390">
      <w:pPr>
        <w:pStyle w:val="a3"/>
        <w:numPr>
          <w:ilvl w:val="0"/>
          <w:numId w:val="5"/>
        </w:numPr>
        <w:jc w:val="both"/>
        <w:rPr>
          <w:rFonts w:ascii="Arial" w:hAnsi="Arial"/>
          <w:lang w:val="el-GR"/>
        </w:rPr>
      </w:pPr>
      <w:r w:rsidRPr="00690390">
        <w:rPr>
          <w:rFonts w:ascii="Arial" w:hAnsi="Arial"/>
          <w:lang w:val="el-GR"/>
        </w:rPr>
        <w:t>Μετα-ακροαματικές πράξεις- διόρθωση διαιτητικής απόφασης</w:t>
      </w:r>
    </w:p>
    <w:p w:rsidR="00D3750A" w:rsidRPr="00690390" w:rsidRDefault="00D3750A" w:rsidP="00690390">
      <w:pPr>
        <w:pStyle w:val="a3"/>
        <w:numPr>
          <w:ilvl w:val="0"/>
          <w:numId w:val="5"/>
        </w:numPr>
        <w:jc w:val="both"/>
        <w:rPr>
          <w:rFonts w:ascii="Arial" w:hAnsi="Arial"/>
          <w:lang w:val="el-GR"/>
        </w:rPr>
      </w:pPr>
      <w:r w:rsidRPr="00690390">
        <w:rPr>
          <w:rFonts w:ascii="Arial" w:hAnsi="Arial"/>
          <w:lang w:val="el-GR"/>
        </w:rPr>
        <w:t>Η διάσκεψη του διαιτητικού δικαστηρίου</w:t>
      </w:r>
    </w:p>
    <w:p w:rsidR="00D3750A" w:rsidRPr="00690390" w:rsidRDefault="00D3750A" w:rsidP="00690390">
      <w:pPr>
        <w:ind w:left="360"/>
        <w:jc w:val="both"/>
        <w:rPr>
          <w:rFonts w:ascii="Arial" w:hAnsi="Arial"/>
        </w:rPr>
      </w:pPr>
    </w:p>
    <w:p w:rsidR="00D3750A" w:rsidRPr="00690390" w:rsidRDefault="00D3750A" w:rsidP="00690390">
      <w:pPr>
        <w:pStyle w:val="a3"/>
        <w:numPr>
          <w:ilvl w:val="0"/>
          <w:numId w:val="11"/>
        </w:numPr>
        <w:jc w:val="both"/>
        <w:rPr>
          <w:rFonts w:ascii="Arial" w:hAnsi="Arial"/>
          <w:i/>
          <w:lang w:val="el-GR"/>
        </w:rPr>
      </w:pPr>
      <w:r w:rsidRPr="00690390">
        <w:rPr>
          <w:rFonts w:ascii="Arial" w:hAnsi="Arial"/>
          <w:i/>
          <w:lang w:val="el-GR"/>
        </w:rPr>
        <w:t>Η διαιτητική απόφαση</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6"/>
        </w:numPr>
        <w:jc w:val="both"/>
        <w:rPr>
          <w:rFonts w:ascii="Arial" w:hAnsi="Arial"/>
          <w:lang w:val="el-GR"/>
        </w:rPr>
      </w:pPr>
      <w:r w:rsidRPr="00690390">
        <w:rPr>
          <w:rFonts w:ascii="Arial" w:hAnsi="Arial"/>
          <w:lang w:val="el-GR"/>
        </w:rPr>
        <w:t>Η έννοια της διαιτητικής απόφασης</w:t>
      </w:r>
    </w:p>
    <w:p w:rsidR="00D3750A" w:rsidRPr="00690390" w:rsidRDefault="00D3750A" w:rsidP="00690390">
      <w:pPr>
        <w:pStyle w:val="a3"/>
        <w:numPr>
          <w:ilvl w:val="0"/>
          <w:numId w:val="6"/>
        </w:numPr>
        <w:jc w:val="both"/>
        <w:rPr>
          <w:rFonts w:ascii="Arial" w:hAnsi="Arial"/>
          <w:lang w:val="el-GR"/>
        </w:rPr>
      </w:pPr>
      <w:r w:rsidRPr="00690390">
        <w:rPr>
          <w:rFonts w:ascii="Arial" w:hAnsi="Arial"/>
          <w:lang w:val="el-GR"/>
        </w:rPr>
        <w:t>Κατηγορίες διαιτητικών αποφάσεων</w:t>
      </w:r>
    </w:p>
    <w:p w:rsidR="00D3750A" w:rsidRPr="00690390" w:rsidRDefault="00D3750A" w:rsidP="00690390">
      <w:pPr>
        <w:pStyle w:val="a3"/>
        <w:numPr>
          <w:ilvl w:val="0"/>
          <w:numId w:val="6"/>
        </w:numPr>
        <w:jc w:val="both"/>
        <w:outlineLvl w:val="0"/>
        <w:rPr>
          <w:rFonts w:ascii="Arial" w:hAnsi="Arial"/>
          <w:lang w:val="el-GR"/>
        </w:rPr>
      </w:pPr>
      <w:r w:rsidRPr="00690390">
        <w:rPr>
          <w:rFonts w:ascii="Arial" w:hAnsi="Arial"/>
          <w:lang w:val="el-GR"/>
        </w:rPr>
        <w:t>Εγκυρότητα διαιτητικής απόφασης</w:t>
      </w:r>
    </w:p>
    <w:p w:rsidR="00D3750A" w:rsidRPr="00690390" w:rsidRDefault="00D3750A" w:rsidP="00690390">
      <w:pPr>
        <w:pStyle w:val="a3"/>
        <w:numPr>
          <w:ilvl w:val="0"/>
          <w:numId w:val="6"/>
        </w:numPr>
        <w:jc w:val="both"/>
        <w:rPr>
          <w:rFonts w:ascii="Arial" w:hAnsi="Arial"/>
          <w:lang w:val="el-GR"/>
        </w:rPr>
      </w:pPr>
      <w:r w:rsidRPr="00690390">
        <w:rPr>
          <w:rFonts w:ascii="Arial" w:hAnsi="Arial"/>
          <w:lang w:val="el-GR"/>
        </w:rPr>
        <w:t xml:space="preserve">Έννομα αποτελέσματα διαιτητικής απόφασης (ιδίως </w:t>
      </w:r>
      <w:r w:rsidRPr="00690390">
        <w:rPr>
          <w:rFonts w:ascii="Arial" w:hAnsi="Arial"/>
        </w:rPr>
        <w:t>res</w:t>
      </w:r>
      <w:r w:rsidRPr="00EB4E0B">
        <w:rPr>
          <w:rFonts w:ascii="Arial" w:hAnsi="Arial"/>
          <w:lang w:val="el-GR"/>
        </w:rPr>
        <w:t xml:space="preserve"> </w:t>
      </w:r>
      <w:r w:rsidRPr="00690390">
        <w:rPr>
          <w:rFonts w:ascii="Arial" w:hAnsi="Arial"/>
        </w:rPr>
        <w:t>judicata</w:t>
      </w:r>
      <w:r w:rsidRPr="00690390">
        <w:rPr>
          <w:rFonts w:ascii="Arial" w:hAnsi="Arial"/>
          <w:lang w:val="el-GR"/>
        </w:rPr>
        <w:t>)</w:t>
      </w:r>
    </w:p>
    <w:p w:rsidR="00D3750A" w:rsidRPr="00690390" w:rsidRDefault="00D3750A" w:rsidP="00690390">
      <w:pPr>
        <w:pStyle w:val="a3"/>
        <w:numPr>
          <w:ilvl w:val="0"/>
          <w:numId w:val="6"/>
        </w:numPr>
        <w:jc w:val="both"/>
        <w:rPr>
          <w:rFonts w:ascii="Arial" w:hAnsi="Arial"/>
          <w:lang w:val="el-GR"/>
        </w:rPr>
      </w:pPr>
      <w:r w:rsidRPr="00690390">
        <w:rPr>
          <w:rFonts w:ascii="Arial" w:hAnsi="Arial"/>
          <w:lang w:val="el-GR"/>
        </w:rPr>
        <w:t>Αμοιβές και έξοδα διαιτητικής διαδικασίας</w:t>
      </w:r>
    </w:p>
    <w:p w:rsidR="00D3750A" w:rsidRPr="00690390" w:rsidRDefault="00D3750A" w:rsidP="00690390">
      <w:pPr>
        <w:pStyle w:val="a3"/>
        <w:numPr>
          <w:ilvl w:val="0"/>
          <w:numId w:val="6"/>
        </w:numPr>
        <w:jc w:val="both"/>
        <w:rPr>
          <w:rFonts w:ascii="Arial" w:hAnsi="Arial"/>
          <w:lang w:val="el-GR"/>
        </w:rPr>
      </w:pPr>
      <w:r w:rsidRPr="00690390">
        <w:rPr>
          <w:rFonts w:ascii="Arial" w:hAnsi="Arial"/>
          <w:bCs/>
          <w:vanish/>
          <w:color w:val="3366FF"/>
          <w:lang w:val="el-GR"/>
        </w:rPr>
        <w:t>μς)﷽﷽﷽﷽﷽﷽﷽δικασ avec effet suspeiples- )ire.nt d'une procédure de contestation de l'instrumentum et du negotium avec effet suspe</w:t>
      </w:r>
      <w:r w:rsidRPr="00690390">
        <w:rPr>
          <w:rFonts w:ascii="Arial" w:hAnsi="Arial"/>
          <w:lang w:val="el-GR"/>
        </w:rPr>
        <w:t xml:space="preserve">  Έκδοση και κοινοποίηση</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2"/>
        </w:numPr>
        <w:ind w:left="350"/>
        <w:jc w:val="both"/>
        <w:rPr>
          <w:rFonts w:ascii="Arial" w:hAnsi="Arial"/>
          <w:lang w:val="el-GR"/>
        </w:rPr>
      </w:pPr>
      <w:r w:rsidRPr="00690390">
        <w:rPr>
          <w:rFonts w:ascii="Arial" w:hAnsi="Arial"/>
          <w:b/>
          <w:bCs/>
          <w:lang w:val="el-GR"/>
        </w:rPr>
        <w:t>Η μεταδιαιτητική φάση</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12"/>
        </w:numPr>
        <w:jc w:val="both"/>
        <w:rPr>
          <w:rFonts w:ascii="Arial" w:hAnsi="Arial"/>
          <w:i/>
          <w:lang w:val="el-GR"/>
        </w:rPr>
      </w:pPr>
      <w:r w:rsidRPr="00690390">
        <w:rPr>
          <w:rFonts w:ascii="Arial" w:hAnsi="Arial"/>
          <w:i/>
          <w:lang w:val="el-GR"/>
        </w:rPr>
        <w:t>Η ακύρωση διαιτητικής απόφασης</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7"/>
        </w:numPr>
        <w:jc w:val="both"/>
        <w:rPr>
          <w:rFonts w:ascii="Arial" w:hAnsi="Arial"/>
          <w:lang w:val="el-GR"/>
        </w:rPr>
      </w:pPr>
      <w:r w:rsidRPr="00690390">
        <w:rPr>
          <w:rFonts w:ascii="Arial" w:hAnsi="Arial"/>
          <w:lang w:val="el-GR"/>
        </w:rPr>
        <w:t>Λόγοι ακύρωσης</w:t>
      </w:r>
    </w:p>
    <w:p w:rsidR="00D3750A" w:rsidRPr="00690390" w:rsidRDefault="00D3750A" w:rsidP="00690390">
      <w:pPr>
        <w:pStyle w:val="a3"/>
        <w:numPr>
          <w:ilvl w:val="0"/>
          <w:numId w:val="7"/>
        </w:numPr>
        <w:jc w:val="both"/>
        <w:rPr>
          <w:rFonts w:ascii="Arial" w:hAnsi="Arial"/>
          <w:lang w:val="el-GR"/>
        </w:rPr>
      </w:pPr>
      <w:r w:rsidRPr="00690390">
        <w:rPr>
          <w:rFonts w:ascii="Arial" w:hAnsi="Arial"/>
          <w:lang w:val="el-GR"/>
        </w:rPr>
        <w:t>Διαδικασία ακύρωσης</w:t>
      </w:r>
    </w:p>
    <w:p w:rsidR="00D3750A" w:rsidRPr="00690390" w:rsidRDefault="00D3750A" w:rsidP="00690390">
      <w:pPr>
        <w:pStyle w:val="a3"/>
        <w:numPr>
          <w:ilvl w:val="0"/>
          <w:numId w:val="7"/>
        </w:numPr>
        <w:jc w:val="both"/>
        <w:rPr>
          <w:rFonts w:ascii="Arial" w:hAnsi="Arial"/>
          <w:lang w:val="el-GR"/>
        </w:rPr>
      </w:pPr>
      <w:r w:rsidRPr="00690390">
        <w:rPr>
          <w:rFonts w:ascii="Arial" w:hAnsi="Arial"/>
          <w:lang w:val="el-GR"/>
        </w:rPr>
        <w:t>Έννομα αποτελέσματα ακύρωσης</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12"/>
        </w:numPr>
        <w:jc w:val="both"/>
        <w:rPr>
          <w:rFonts w:ascii="Arial" w:hAnsi="Arial"/>
          <w:i/>
          <w:lang w:val="el-GR"/>
        </w:rPr>
      </w:pPr>
      <w:r w:rsidRPr="00690390">
        <w:rPr>
          <w:rFonts w:ascii="Arial" w:hAnsi="Arial"/>
          <w:i/>
          <w:lang w:val="el-GR"/>
        </w:rPr>
        <w:t xml:space="preserve">Η αναγνώριση και εκτέλεση κατά τη Σύμβαση ΝΥ  </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8"/>
        </w:numPr>
        <w:jc w:val="both"/>
        <w:rPr>
          <w:rFonts w:ascii="Arial" w:hAnsi="Arial"/>
          <w:lang w:val="el-GR"/>
        </w:rPr>
      </w:pPr>
      <w:r w:rsidRPr="00690390">
        <w:rPr>
          <w:rFonts w:ascii="Arial" w:hAnsi="Arial"/>
          <w:lang w:val="el-GR"/>
        </w:rPr>
        <w:t>Λόγοι μη αναγνώρισης</w:t>
      </w:r>
    </w:p>
    <w:p w:rsidR="00D3750A" w:rsidRPr="00690390" w:rsidRDefault="00D3750A" w:rsidP="00690390">
      <w:pPr>
        <w:pStyle w:val="a3"/>
        <w:numPr>
          <w:ilvl w:val="0"/>
          <w:numId w:val="8"/>
        </w:numPr>
        <w:jc w:val="both"/>
        <w:rPr>
          <w:rFonts w:ascii="Arial" w:hAnsi="Arial"/>
          <w:lang w:val="el-GR"/>
        </w:rPr>
      </w:pPr>
      <w:r w:rsidRPr="00690390">
        <w:rPr>
          <w:rFonts w:ascii="Arial" w:hAnsi="Arial"/>
          <w:lang w:val="el-GR"/>
        </w:rPr>
        <w:t>Διαδικασία ακύρωσης</w:t>
      </w:r>
    </w:p>
    <w:p w:rsidR="00D3750A" w:rsidRPr="00690390" w:rsidRDefault="00D3750A" w:rsidP="00690390">
      <w:pPr>
        <w:pStyle w:val="a3"/>
        <w:numPr>
          <w:ilvl w:val="0"/>
          <w:numId w:val="8"/>
        </w:numPr>
        <w:jc w:val="both"/>
        <w:rPr>
          <w:rFonts w:ascii="Arial" w:hAnsi="Arial"/>
          <w:lang w:val="el-GR"/>
        </w:rPr>
      </w:pPr>
      <w:r w:rsidRPr="00690390">
        <w:rPr>
          <w:rFonts w:ascii="Arial" w:hAnsi="Arial"/>
          <w:lang w:val="el-GR"/>
        </w:rPr>
        <w:t>Έννομα αποτελέσματα</w:t>
      </w:r>
    </w:p>
    <w:p w:rsidR="00D3750A" w:rsidRPr="00690390" w:rsidRDefault="00D3750A" w:rsidP="00690390">
      <w:pPr>
        <w:jc w:val="both"/>
        <w:rPr>
          <w:rFonts w:ascii="Arial" w:hAnsi="Arial"/>
        </w:rPr>
      </w:pP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2"/>
        </w:numPr>
        <w:ind w:left="350"/>
        <w:jc w:val="both"/>
        <w:rPr>
          <w:rFonts w:ascii="Arial" w:hAnsi="Arial"/>
          <w:lang w:val="el-GR"/>
        </w:rPr>
      </w:pPr>
      <w:r w:rsidRPr="00690390">
        <w:rPr>
          <w:rFonts w:ascii="Arial" w:hAnsi="Arial"/>
          <w:b/>
          <w:bCs/>
          <w:lang w:val="el-GR"/>
        </w:rPr>
        <w:t>Η διαιτησία επενδυτικών διαφορών</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13"/>
        </w:numPr>
        <w:jc w:val="both"/>
        <w:rPr>
          <w:rFonts w:ascii="Arial" w:hAnsi="Arial"/>
          <w:i/>
          <w:lang w:val="el-GR"/>
        </w:rPr>
      </w:pPr>
      <w:r w:rsidRPr="00690390">
        <w:rPr>
          <w:rFonts w:ascii="Arial" w:hAnsi="Arial"/>
          <w:i/>
          <w:lang w:val="el-GR"/>
        </w:rPr>
        <w:t>Θέματα δικαιοδοσίας</w:t>
      </w:r>
    </w:p>
    <w:p w:rsidR="00D3750A" w:rsidRPr="00690390" w:rsidRDefault="00D3750A" w:rsidP="00690390">
      <w:pPr>
        <w:pStyle w:val="a3"/>
        <w:numPr>
          <w:ilvl w:val="0"/>
          <w:numId w:val="13"/>
        </w:numPr>
        <w:jc w:val="both"/>
        <w:rPr>
          <w:rFonts w:ascii="Arial" w:hAnsi="Arial"/>
          <w:i/>
          <w:lang w:val="el-GR"/>
        </w:rPr>
      </w:pPr>
      <w:r w:rsidRPr="00690390">
        <w:rPr>
          <w:rFonts w:ascii="Arial" w:hAnsi="Arial"/>
          <w:i/>
          <w:lang w:val="el-GR"/>
        </w:rPr>
        <w:t>Θέματα εφαρμοστέου δικαίου στην ουσία της διαφοράς</w:t>
      </w:r>
    </w:p>
    <w:p w:rsidR="00D3750A" w:rsidRPr="00690390" w:rsidRDefault="00D3750A" w:rsidP="00690390">
      <w:pPr>
        <w:pStyle w:val="a3"/>
        <w:numPr>
          <w:ilvl w:val="0"/>
          <w:numId w:val="13"/>
        </w:numPr>
        <w:jc w:val="both"/>
        <w:rPr>
          <w:rFonts w:ascii="Arial" w:hAnsi="Arial"/>
          <w:i/>
          <w:lang w:val="el-GR"/>
        </w:rPr>
      </w:pPr>
      <w:r w:rsidRPr="00690390">
        <w:rPr>
          <w:rFonts w:ascii="Arial" w:hAnsi="Arial"/>
          <w:i/>
          <w:lang w:val="el-GR"/>
        </w:rPr>
        <w:t>Οι γενικές αρχές που διέπουν την επίλυση της ουσιαστικής διαφοράς</w:t>
      </w:r>
    </w:p>
    <w:p w:rsidR="00D3750A" w:rsidRPr="00690390" w:rsidRDefault="00D3750A" w:rsidP="00690390">
      <w:pPr>
        <w:pStyle w:val="a3"/>
        <w:numPr>
          <w:ilvl w:val="0"/>
          <w:numId w:val="13"/>
        </w:numPr>
        <w:jc w:val="both"/>
        <w:rPr>
          <w:rFonts w:ascii="Arial" w:hAnsi="Arial"/>
          <w:i/>
          <w:lang w:val="el-GR"/>
        </w:rPr>
      </w:pPr>
      <w:r w:rsidRPr="00690390">
        <w:rPr>
          <w:rFonts w:ascii="Arial" w:hAnsi="Arial"/>
          <w:i/>
          <w:lang w:val="el-GR"/>
        </w:rPr>
        <w:t>Η αποζημίωση</w:t>
      </w:r>
    </w:p>
    <w:p w:rsidR="00050060" w:rsidRPr="00050060" w:rsidRDefault="00D3750A" w:rsidP="00690390">
      <w:pPr>
        <w:pStyle w:val="a3"/>
        <w:numPr>
          <w:ilvl w:val="0"/>
          <w:numId w:val="13"/>
        </w:numPr>
        <w:jc w:val="both"/>
        <w:rPr>
          <w:rFonts w:ascii="Arial" w:hAnsi="Arial"/>
          <w:i/>
          <w:lang w:val="el-GR"/>
        </w:rPr>
      </w:pPr>
      <w:r w:rsidRPr="00690390">
        <w:rPr>
          <w:rFonts w:ascii="Arial" w:hAnsi="Arial"/>
          <w:i/>
          <w:lang w:val="el-GR"/>
        </w:rPr>
        <w:t xml:space="preserve">Η εκτέλεση αποφάσεων του </w:t>
      </w:r>
      <w:r w:rsidRPr="00690390">
        <w:rPr>
          <w:rFonts w:ascii="Arial" w:hAnsi="Arial"/>
          <w:i/>
        </w:rPr>
        <w:t>ICSID</w:t>
      </w:r>
    </w:p>
    <w:p w:rsidR="00050060" w:rsidRDefault="00050060" w:rsidP="00690390">
      <w:pPr>
        <w:jc w:val="both"/>
        <w:rPr>
          <w:rFonts w:ascii="Arial" w:hAnsi="Arial"/>
        </w:rPr>
      </w:pPr>
    </w:p>
    <w:p w:rsidR="00050060" w:rsidRDefault="00050060" w:rsidP="00690390">
      <w:pPr>
        <w:jc w:val="both"/>
        <w:rPr>
          <w:rFonts w:ascii="Arial" w:hAnsi="Arial"/>
        </w:rPr>
      </w:pPr>
    </w:p>
    <w:p w:rsidR="00050060" w:rsidRDefault="00050060" w:rsidP="00690390">
      <w:pPr>
        <w:jc w:val="both"/>
        <w:rPr>
          <w:rFonts w:ascii="Arial" w:hAnsi="Arial"/>
        </w:rPr>
      </w:pPr>
    </w:p>
    <w:p w:rsidR="00050060" w:rsidRPr="00050060" w:rsidRDefault="00050060" w:rsidP="00690390">
      <w:pPr>
        <w:jc w:val="both"/>
        <w:rPr>
          <w:rFonts w:ascii="Arial" w:hAnsi="Arial"/>
          <w:b/>
        </w:rPr>
      </w:pPr>
      <w:r>
        <w:rPr>
          <w:rFonts w:ascii="Arial" w:hAnsi="Arial"/>
        </w:rPr>
        <w:t>VI.</w:t>
      </w:r>
      <w:r>
        <w:rPr>
          <w:rFonts w:ascii="Arial" w:hAnsi="Arial"/>
          <w:b/>
        </w:rPr>
        <w:t xml:space="preserve"> Εναλλακτικοί τρόποι επίλυσης διαφορών και ιδιαίτερα η διαμεσολάβηση (Εισηγητής Δρ. Μειδάνης)</w:t>
      </w:r>
    </w:p>
    <w:p w:rsidR="00050060" w:rsidRDefault="00050060" w:rsidP="00690390">
      <w:pPr>
        <w:jc w:val="both"/>
        <w:rPr>
          <w:rFonts w:ascii="Arial" w:hAnsi="Arial"/>
        </w:rPr>
      </w:pP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jc w:val="both"/>
        <w:rPr>
          <w:rFonts w:ascii="Arial" w:hAnsi="Arial"/>
        </w:rPr>
      </w:pPr>
    </w:p>
    <w:p w:rsidR="00D3750A" w:rsidRPr="00690390" w:rsidRDefault="00D3750A" w:rsidP="00690390">
      <w:pPr>
        <w:jc w:val="both"/>
        <w:rPr>
          <w:rFonts w:ascii="Arial" w:hAnsi="Arial"/>
          <w:u w:val="single"/>
        </w:rPr>
      </w:pPr>
      <w:r w:rsidRPr="00690390">
        <w:rPr>
          <w:rFonts w:ascii="Arial" w:hAnsi="Arial"/>
          <w:u w:val="single"/>
        </w:rPr>
        <w:t>Μέθοδος διδασκαλίας</w:t>
      </w:r>
    </w:p>
    <w:p w:rsidR="00D3750A" w:rsidRPr="00690390" w:rsidRDefault="00D3750A" w:rsidP="00690390">
      <w:pPr>
        <w:jc w:val="both"/>
        <w:rPr>
          <w:rFonts w:ascii="Arial" w:hAnsi="Arial"/>
        </w:rPr>
      </w:pPr>
    </w:p>
    <w:p w:rsidR="00D3750A" w:rsidRPr="00690390" w:rsidRDefault="00D3750A" w:rsidP="00690390">
      <w:pPr>
        <w:jc w:val="both"/>
        <w:rPr>
          <w:rFonts w:ascii="Arial" w:hAnsi="Arial"/>
        </w:rPr>
      </w:pPr>
      <w:r w:rsidRPr="00690390">
        <w:rPr>
          <w:rFonts w:ascii="Arial" w:hAnsi="Arial"/>
        </w:rPr>
        <w:t>Η διδακτική ομάδα σε κάθε μάθημα θα κάνει μία εισήγηση της θεματικής (με εξαίρεση το πρώτο το οποίο θα αναπτυχθεί εξολοκλήρου από τη διδακτική ομάδα) και στη συνέχεια θα υπάρχει εμβάθυνση στη προηγούμενη ενότητα από τους φοιτητές (τριες) που θα έχουν αναλάβει σχετική εργασία και παρουσίαση.</w:t>
      </w:r>
    </w:p>
    <w:p w:rsidR="00D3750A" w:rsidRPr="00690390" w:rsidRDefault="00D3750A" w:rsidP="00690390">
      <w:pPr>
        <w:jc w:val="both"/>
        <w:rPr>
          <w:rFonts w:ascii="Arial" w:hAnsi="Arial"/>
        </w:rPr>
      </w:pPr>
      <w:r w:rsidRPr="00690390">
        <w:rPr>
          <w:rFonts w:ascii="Arial" w:hAnsi="Arial"/>
        </w:rPr>
        <w:t xml:space="preserve">Θα επικεντρώνεται η εμβάθυνση στη συστηματική συλλογή νομοθεσίας και στις θεωρητικές απόψεις που διίστανται ή και σε </w:t>
      </w:r>
      <w:r w:rsidR="006618A3" w:rsidRPr="00690390">
        <w:rPr>
          <w:rFonts w:ascii="Arial" w:hAnsi="Arial"/>
        </w:rPr>
        <w:t>παρουσιάσεις</w:t>
      </w:r>
      <w:r w:rsidRPr="00690390">
        <w:rPr>
          <w:rFonts w:ascii="Arial" w:hAnsi="Arial"/>
        </w:rPr>
        <w:t xml:space="preserve"> συνοπτικές κειμένων (πχ. νέοι κανόνες ΔΕΕ)</w:t>
      </w:r>
      <w:r w:rsidR="006618A3" w:rsidRPr="00690390">
        <w:rPr>
          <w:rFonts w:ascii="Arial" w:hAnsi="Arial"/>
        </w:rPr>
        <w:t>.</w:t>
      </w:r>
    </w:p>
    <w:p w:rsidR="00535709" w:rsidRPr="00690390" w:rsidRDefault="00535709" w:rsidP="00690390">
      <w:pPr>
        <w:jc w:val="both"/>
        <w:rPr>
          <w:rFonts w:ascii="Arial" w:hAnsi="Arial"/>
        </w:rPr>
      </w:pPr>
    </w:p>
    <w:p w:rsidR="00535709" w:rsidRPr="00690390" w:rsidRDefault="00535709" w:rsidP="00690390">
      <w:pPr>
        <w:jc w:val="both"/>
        <w:rPr>
          <w:rFonts w:ascii="Arial" w:hAnsi="Arial"/>
        </w:rPr>
      </w:pPr>
      <w:r w:rsidRPr="00690390">
        <w:rPr>
          <w:rFonts w:ascii="Arial" w:hAnsi="Arial"/>
        </w:rPr>
        <w:t>Κατά το πέρας του εξαμήνου θα οργανωθεί ένα δίωρο εικονικής δίκης (αιτούντες/ καθού / διαιτητικό δικαστήριο).</w:t>
      </w:r>
    </w:p>
    <w:p w:rsidR="006618A3" w:rsidRPr="00690390" w:rsidRDefault="006618A3" w:rsidP="00690390">
      <w:pPr>
        <w:jc w:val="both"/>
        <w:rPr>
          <w:rFonts w:ascii="Arial" w:hAnsi="Arial"/>
        </w:rPr>
      </w:pPr>
    </w:p>
    <w:p w:rsidR="006618A3" w:rsidRPr="00690390" w:rsidRDefault="006618A3" w:rsidP="00690390">
      <w:pPr>
        <w:jc w:val="both"/>
        <w:rPr>
          <w:rFonts w:ascii="Arial" w:hAnsi="Arial"/>
        </w:rPr>
      </w:pPr>
      <w:r w:rsidRPr="00690390">
        <w:rPr>
          <w:rFonts w:ascii="Arial" w:hAnsi="Arial"/>
        </w:rPr>
        <w:t>Οι εργασίες θα προσδιορισθούν κατά το εναρκτήριο μάθημα στο τέλος του.</w:t>
      </w:r>
    </w:p>
    <w:p w:rsidR="006618A3" w:rsidRPr="00690390" w:rsidRDefault="006618A3" w:rsidP="00690390">
      <w:pPr>
        <w:jc w:val="both"/>
        <w:rPr>
          <w:rFonts w:ascii="Arial" w:hAnsi="Arial"/>
        </w:rPr>
      </w:pPr>
    </w:p>
    <w:p w:rsidR="006618A3" w:rsidRPr="00690390" w:rsidRDefault="006618A3" w:rsidP="00690390">
      <w:pPr>
        <w:jc w:val="both"/>
        <w:rPr>
          <w:rFonts w:ascii="Arial" w:hAnsi="Arial"/>
        </w:rPr>
      </w:pPr>
      <w:r w:rsidRPr="00690390">
        <w:rPr>
          <w:rFonts w:ascii="Arial" w:hAnsi="Arial"/>
        </w:rPr>
        <w:t>Η</w:t>
      </w:r>
      <w:r w:rsidR="00050060">
        <w:rPr>
          <w:rFonts w:ascii="Arial" w:hAnsi="Arial"/>
        </w:rPr>
        <w:t xml:space="preserve"> διάρκεια του ΜΠΣ είναι από 26-10- 2018 έως 25-1- 2019</w:t>
      </w:r>
      <w:r w:rsidRPr="00690390">
        <w:rPr>
          <w:rFonts w:ascii="Arial" w:hAnsi="Arial"/>
        </w:rPr>
        <w:t>.</w:t>
      </w:r>
    </w:p>
    <w:p w:rsidR="003B7FAF" w:rsidRPr="00690390" w:rsidRDefault="003B7FAF" w:rsidP="00690390">
      <w:pPr>
        <w:jc w:val="both"/>
        <w:rPr>
          <w:rFonts w:ascii="Arial" w:hAnsi="Arial"/>
        </w:rPr>
      </w:pPr>
    </w:p>
    <w:p w:rsidR="003B7FAF" w:rsidRPr="00690390" w:rsidRDefault="003B7FAF" w:rsidP="00690390">
      <w:pPr>
        <w:jc w:val="both"/>
        <w:rPr>
          <w:rFonts w:ascii="Arial" w:hAnsi="Arial"/>
        </w:rPr>
      </w:pPr>
    </w:p>
    <w:p w:rsidR="003B7FAF" w:rsidRPr="00690390" w:rsidRDefault="003B7FAF" w:rsidP="00690390">
      <w:pPr>
        <w:jc w:val="both"/>
        <w:rPr>
          <w:rFonts w:ascii="Arial" w:hAnsi="Arial"/>
        </w:rPr>
      </w:pPr>
      <w:r w:rsidRPr="00690390">
        <w:rPr>
          <w:rFonts w:ascii="Arial" w:hAnsi="Arial"/>
        </w:rPr>
        <w:t>------------------------</w:t>
      </w:r>
    </w:p>
    <w:p w:rsidR="003B7FAF" w:rsidRPr="00690390" w:rsidRDefault="003B7FAF" w:rsidP="00690390">
      <w:pPr>
        <w:jc w:val="both"/>
        <w:rPr>
          <w:rFonts w:ascii="Arial" w:hAnsi="Arial"/>
        </w:rPr>
      </w:pPr>
    </w:p>
    <w:p w:rsidR="003B7FAF" w:rsidRPr="00690390" w:rsidRDefault="003B7FAF" w:rsidP="00690390">
      <w:pPr>
        <w:jc w:val="both"/>
        <w:rPr>
          <w:rFonts w:ascii="Arial" w:hAnsi="Arial"/>
        </w:rPr>
      </w:pPr>
    </w:p>
    <w:p w:rsidR="003B7FAF" w:rsidRPr="00690390" w:rsidRDefault="003B7FAF" w:rsidP="00690390">
      <w:pPr>
        <w:jc w:val="both"/>
        <w:rPr>
          <w:rFonts w:ascii="Arial" w:hAnsi="Arial"/>
          <w:i/>
          <w:u w:val="single"/>
        </w:rPr>
      </w:pPr>
      <w:r w:rsidRPr="00690390">
        <w:rPr>
          <w:rFonts w:ascii="Arial" w:hAnsi="Arial"/>
          <w:i/>
          <w:u w:val="single"/>
        </w:rPr>
        <w:t>Αξιολόγηση</w:t>
      </w:r>
    </w:p>
    <w:p w:rsidR="003B7FAF" w:rsidRPr="00690390" w:rsidRDefault="003B7FAF" w:rsidP="00690390">
      <w:pPr>
        <w:jc w:val="both"/>
        <w:rPr>
          <w:rFonts w:ascii="Arial" w:hAnsi="Arial"/>
        </w:rPr>
      </w:pPr>
    </w:p>
    <w:p w:rsidR="003B7FAF" w:rsidRPr="00690390" w:rsidRDefault="003B7FAF" w:rsidP="00690390">
      <w:pPr>
        <w:jc w:val="both"/>
        <w:rPr>
          <w:rFonts w:ascii="Arial" w:hAnsi="Arial"/>
        </w:rPr>
      </w:pPr>
      <w:r w:rsidRPr="00690390">
        <w:rPr>
          <w:rFonts w:ascii="Arial" w:hAnsi="Arial"/>
        </w:rPr>
        <w:t>Η αξιολόγηση γίνεται με δύο τρόπους</w:t>
      </w:r>
    </w:p>
    <w:p w:rsidR="003B7FAF" w:rsidRPr="00690390" w:rsidRDefault="003B7FAF" w:rsidP="00690390">
      <w:pPr>
        <w:jc w:val="both"/>
        <w:rPr>
          <w:rFonts w:ascii="Arial" w:hAnsi="Arial"/>
        </w:rPr>
      </w:pPr>
      <w:r w:rsidRPr="00690390">
        <w:rPr>
          <w:rFonts w:ascii="Arial" w:hAnsi="Arial"/>
        </w:rPr>
        <w:t>50% η πρόοδος (εργασίες, παρουσιάσεις, συμμετοχή και τεστ πολλαπλών απαντήσεων- το οποίο προσοχή θα είναι απροειδοποίητο) και 50% η τελική εξέταση (είτε ανάπτυξη θέματος, σχολιασμός απόφασης, σύνταξη νομοθετικού κειμένου)</w:t>
      </w:r>
    </w:p>
    <w:p w:rsidR="003B7FAF" w:rsidRPr="00690390" w:rsidRDefault="003B7FAF" w:rsidP="00690390">
      <w:pPr>
        <w:jc w:val="both"/>
        <w:rPr>
          <w:rFonts w:ascii="Arial" w:hAnsi="Arial"/>
        </w:rPr>
      </w:pPr>
    </w:p>
    <w:p w:rsidR="003B7FAF" w:rsidRPr="00690390" w:rsidRDefault="003B7FAF" w:rsidP="00690390">
      <w:pPr>
        <w:jc w:val="both"/>
        <w:rPr>
          <w:rFonts w:ascii="Arial" w:hAnsi="Arial"/>
          <w:i/>
          <w:u w:val="single"/>
        </w:rPr>
      </w:pPr>
      <w:r w:rsidRPr="00690390">
        <w:rPr>
          <w:rFonts w:ascii="Arial" w:hAnsi="Arial"/>
          <w:i/>
          <w:u w:val="single"/>
        </w:rPr>
        <w:t>Διάγραμμα</w:t>
      </w:r>
    </w:p>
    <w:p w:rsidR="003B7FAF" w:rsidRPr="00690390" w:rsidRDefault="003B7FAF" w:rsidP="00690390">
      <w:pPr>
        <w:jc w:val="both"/>
        <w:rPr>
          <w:rFonts w:ascii="Arial" w:hAnsi="Arial"/>
        </w:rPr>
      </w:pPr>
    </w:p>
    <w:p w:rsidR="003B7FAF" w:rsidRPr="00690390" w:rsidRDefault="003B7FAF" w:rsidP="00690390">
      <w:pPr>
        <w:jc w:val="both"/>
        <w:rPr>
          <w:rFonts w:ascii="Arial" w:hAnsi="Arial"/>
        </w:rPr>
      </w:pPr>
      <w:r w:rsidRPr="00690390">
        <w:rPr>
          <w:rFonts w:ascii="Arial" w:hAnsi="Arial"/>
        </w:rPr>
        <w:t xml:space="preserve">Είναι απαραίτητο η έκθεση της προβληματικής προς ανάπτυξη να γίνεται με λογικό και διατεταγμένο τρόπο. Αυτό βοηθάει στην καθαρότητα της ανάπτυξης και οργανώνει και τη σκέψη. </w:t>
      </w:r>
    </w:p>
    <w:p w:rsidR="003B7FAF" w:rsidRPr="00690390" w:rsidRDefault="003B7FAF" w:rsidP="00690390">
      <w:pPr>
        <w:jc w:val="both"/>
        <w:rPr>
          <w:rFonts w:ascii="Arial" w:hAnsi="Arial"/>
        </w:rPr>
      </w:pPr>
    </w:p>
    <w:p w:rsidR="003B7FAF" w:rsidRPr="00690390" w:rsidRDefault="003B7FAF" w:rsidP="00690390">
      <w:pPr>
        <w:jc w:val="both"/>
        <w:rPr>
          <w:rFonts w:ascii="Arial" w:hAnsi="Arial"/>
        </w:rPr>
      </w:pPr>
      <w:r w:rsidRPr="00690390">
        <w:rPr>
          <w:rFonts w:ascii="Arial" w:hAnsi="Arial"/>
        </w:rPr>
        <w:t xml:space="preserve">Δεν υπάρχει ένα διάγραμμα που να είναι άριστο προς πρόταση. Υπάρχουν ορισμένα προς αποφυγή π.χ. πλεονεκτήματα και μειονεκτήματα της μεθόδου αναγνώρισης με Α μέρος πλεονεκτήματα και Β μέρος μειονεκτήματα και ορισμένα που γενικά είναι ικανοποιητικά </w:t>
      </w:r>
    </w:p>
    <w:p w:rsidR="003B7FAF" w:rsidRPr="00690390" w:rsidRDefault="003B7FAF" w:rsidP="00690390">
      <w:pPr>
        <w:jc w:val="both"/>
        <w:rPr>
          <w:rFonts w:ascii="Arial" w:hAnsi="Arial"/>
        </w:rPr>
      </w:pPr>
    </w:p>
    <w:p w:rsidR="003B7FAF" w:rsidRPr="00690390" w:rsidRDefault="003B7FAF" w:rsidP="00690390">
      <w:pPr>
        <w:jc w:val="both"/>
        <w:rPr>
          <w:rFonts w:ascii="Arial" w:hAnsi="Arial"/>
        </w:rPr>
      </w:pPr>
      <w:r w:rsidRPr="00690390">
        <w:rPr>
          <w:rFonts w:ascii="Arial" w:hAnsi="Arial"/>
        </w:rPr>
        <w:lastRenderedPageBreak/>
        <w:t>Καμία εργασία οιασδήποτε μορφής (πλην των τεστ πολλαπλών επιλογών) δεν θα πρέπει να παρουσιάζεται άνευ διαγράμματος</w:t>
      </w:r>
    </w:p>
    <w:p w:rsidR="003B7FAF" w:rsidRPr="00690390" w:rsidRDefault="003B7FAF" w:rsidP="00690390">
      <w:pPr>
        <w:jc w:val="both"/>
        <w:rPr>
          <w:rFonts w:ascii="Arial" w:hAnsi="Arial"/>
        </w:rPr>
      </w:pPr>
    </w:p>
    <w:p w:rsidR="003B7FAF" w:rsidRPr="00690390" w:rsidRDefault="003B7FAF" w:rsidP="00690390">
      <w:pPr>
        <w:jc w:val="both"/>
        <w:rPr>
          <w:rFonts w:ascii="Arial" w:hAnsi="Arial"/>
        </w:rPr>
      </w:pPr>
    </w:p>
    <w:p w:rsidR="003B7FAF" w:rsidRPr="00690390" w:rsidRDefault="003B7FAF" w:rsidP="00690390">
      <w:pPr>
        <w:jc w:val="both"/>
        <w:rPr>
          <w:rFonts w:ascii="Arial" w:hAnsi="Arial"/>
        </w:rPr>
      </w:pPr>
    </w:p>
    <w:p w:rsidR="00371B97" w:rsidRPr="00690390" w:rsidRDefault="00050060" w:rsidP="00690390">
      <w:pPr>
        <w:jc w:val="both"/>
        <w:rPr>
          <w:rFonts w:ascii="Arial" w:hAnsi="Arial"/>
          <w:i/>
          <w:u w:val="single"/>
        </w:rPr>
      </w:pPr>
      <w:r>
        <w:rPr>
          <w:rFonts w:ascii="Arial" w:hAnsi="Arial"/>
          <w:i/>
          <w:u w:val="single"/>
        </w:rPr>
        <w:t>ΣΥΛΛΟΓΗ ΕΛΛΗΝΙΚΗΣ ΝΟΜΟΛΟΓΙΑΣ και ΘΕΜΑΤΙΚΗ ΤΗΣ ΚΑΤΑΤΑΞΗ (5</w:t>
      </w:r>
      <w:r w:rsidR="00371B97" w:rsidRPr="00690390">
        <w:rPr>
          <w:rFonts w:ascii="Arial" w:hAnsi="Arial"/>
          <w:i/>
          <w:u w:val="single"/>
        </w:rPr>
        <w:t xml:space="preserve"> τελευταίων ετών)</w:t>
      </w:r>
    </w:p>
    <w:p w:rsidR="00371B97" w:rsidRPr="00690390" w:rsidRDefault="00371B97" w:rsidP="00690390">
      <w:pPr>
        <w:jc w:val="both"/>
        <w:rPr>
          <w:rFonts w:ascii="Arial" w:hAnsi="Arial"/>
          <w:i/>
          <w:u w:val="single"/>
        </w:rPr>
      </w:pPr>
    </w:p>
    <w:p w:rsidR="00371B97" w:rsidRPr="00690390" w:rsidRDefault="00371B97" w:rsidP="00690390">
      <w:pPr>
        <w:jc w:val="both"/>
        <w:rPr>
          <w:rFonts w:ascii="Arial" w:hAnsi="Arial"/>
          <w:u w:val="single"/>
        </w:rPr>
      </w:pPr>
    </w:p>
    <w:p w:rsidR="00371B97" w:rsidRPr="00690390" w:rsidRDefault="00371B97" w:rsidP="00690390">
      <w:pPr>
        <w:jc w:val="both"/>
        <w:rPr>
          <w:rFonts w:ascii="Arial" w:hAnsi="Arial"/>
          <w:u w:val="single"/>
        </w:rPr>
      </w:pPr>
      <w:r w:rsidRPr="00690390">
        <w:rPr>
          <w:rFonts w:ascii="Arial" w:hAnsi="Arial"/>
          <w:u w:val="single"/>
        </w:rPr>
        <w:t>Υποχρεωτική για όλους</w:t>
      </w:r>
    </w:p>
    <w:p w:rsidR="00371B97" w:rsidRPr="00690390" w:rsidRDefault="00371B97" w:rsidP="00690390">
      <w:pPr>
        <w:jc w:val="both"/>
        <w:rPr>
          <w:rFonts w:ascii="Arial" w:hAnsi="Arial"/>
        </w:rPr>
      </w:pPr>
    </w:p>
    <w:p w:rsidR="00371B97" w:rsidRDefault="00371B97" w:rsidP="00690390">
      <w:pPr>
        <w:jc w:val="both"/>
        <w:rPr>
          <w:rFonts w:ascii="Arial" w:hAnsi="Arial"/>
        </w:rPr>
      </w:pPr>
      <w:r w:rsidRPr="00690390">
        <w:rPr>
          <w:rFonts w:ascii="Arial" w:hAnsi="Arial"/>
        </w:rPr>
        <w:t>Με τη μορφή των περιλήψεων ανά κατηγορία νομικών ζητημάτων που επιλύθηκαν από τη νομολογία και σχετική περίληψη της αποφάσεως που τα έλυσε (+ το σώμα βέβαια).</w:t>
      </w:r>
    </w:p>
    <w:p w:rsidR="00050060" w:rsidRDefault="00050060" w:rsidP="00690390">
      <w:pPr>
        <w:jc w:val="both"/>
        <w:rPr>
          <w:rFonts w:ascii="Arial" w:hAnsi="Arial"/>
        </w:rPr>
      </w:pPr>
    </w:p>
    <w:p w:rsidR="00050060" w:rsidRDefault="00050060" w:rsidP="00690390">
      <w:pPr>
        <w:jc w:val="both"/>
        <w:rPr>
          <w:rFonts w:ascii="Arial" w:hAnsi="Arial"/>
        </w:rPr>
      </w:pPr>
      <w:r>
        <w:rPr>
          <w:rFonts w:ascii="Arial" w:hAnsi="Arial"/>
        </w:rPr>
        <w:t>Τίθεται υπόψη ότι κυκλοφόρησαν το 2018 δύο περιοδικά στο χώρο της διαιτησίας:</w:t>
      </w:r>
    </w:p>
    <w:p w:rsidR="00050060" w:rsidRDefault="00050060" w:rsidP="00690390">
      <w:pPr>
        <w:jc w:val="both"/>
        <w:rPr>
          <w:rFonts w:ascii="Arial" w:hAnsi="Arial"/>
        </w:rPr>
      </w:pPr>
    </w:p>
    <w:p w:rsidR="00050060" w:rsidRDefault="00050060" w:rsidP="00690390">
      <w:pPr>
        <w:jc w:val="both"/>
        <w:rPr>
          <w:rFonts w:ascii="Arial" w:hAnsi="Arial"/>
        </w:rPr>
      </w:pPr>
      <w:r>
        <w:rPr>
          <w:rFonts w:ascii="Arial" w:hAnsi="Arial"/>
        </w:rPr>
        <w:t>- Διαιτησία και Διαμεσολάβηση (ΔιΔ) υπό τη διεύθυνση Χ. Παμπούκη και Γ. Τέντε</w:t>
      </w:r>
    </w:p>
    <w:p w:rsidR="00050060" w:rsidRDefault="00050060" w:rsidP="00690390">
      <w:pPr>
        <w:jc w:val="both"/>
        <w:rPr>
          <w:rFonts w:ascii="Arial" w:hAnsi="Arial"/>
        </w:rPr>
      </w:pPr>
    </w:p>
    <w:p w:rsidR="00050060" w:rsidRDefault="00050060" w:rsidP="00690390">
      <w:pPr>
        <w:jc w:val="both"/>
        <w:rPr>
          <w:rFonts w:ascii="Arial" w:hAnsi="Arial"/>
        </w:rPr>
      </w:pPr>
      <w:r>
        <w:rPr>
          <w:rFonts w:ascii="Arial" w:hAnsi="Arial"/>
        </w:rPr>
        <w:t>- Διαιτησία υπό τη διεύθυνση Κ. Καλαβρού και Δ. Κράνη</w:t>
      </w:r>
    </w:p>
    <w:p w:rsidR="00371B97" w:rsidRPr="00690390" w:rsidRDefault="00371B97" w:rsidP="00690390">
      <w:pPr>
        <w:jc w:val="both"/>
        <w:rPr>
          <w:rFonts w:ascii="Arial" w:hAnsi="Arial"/>
          <w:i/>
          <w:u w:val="single"/>
        </w:rPr>
      </w:pPr>
    </w:p>
    <w:p w:rsidR="00371B97" w:rsidRPr="00690390" w:rsidRDefault="00371B97" w:rsidP="00690390">
      <w:pPr>
        <w:jc w:val="both"/>
        <w:rPr>
          <w:rFonts w:ascii="Arial" w:hAnsi="Arial"/>
          <w:i/>
          <w:u w:val="single"/>
        </w:rPr>
      </w:pPr>
      <w:r w:rsidRPr="00690390">
        <w:rPr>
          <w:rFonts w:ascii="Arial" w:hAnsi="Arial"/>
          <w:i/>
          <w:u w:val="single"/>
        </w:rPr>
        <w:t>ΘΕΩΡΗΤΙΚΑ</w:t>
      </w:r>
    </w:p>
    <w:p w:rsidR="00371B97" w:rsidRPr="00690390" w:rsidRDefault="00371B97" w:rsidP="00690390">
      <w:pPr>
        <w:jc w:val="both"/>
        <w:rPr>
          <w:rFonts w:ascii="Arial" w:hAnsi="Arial"/>
          <w:i/>
          <w:u w:val="single"/>
        </w:rPr>
      </w:pPr>
    </w:p>
    <w:p w:rsidR="00371B97" w:rsidRPr="00690390" w:rsidRDefault="00371B97" w:rsidP="00690390">
      <w:pPr>
        <w:jc w:val="both"/>
        <w:rPr>
          <w:rFonts w:ascii="Arial" w:hAnsi="Arial"/>
          <w:u w:val="single"/>
        </w:rPr>
      </w:pPr>
      <w:r w:rsidRPr="00690390">
        <w:rPr>
          <w:rFonts w:ascii="Arial" w:hAnsi="Arial"/>
          <w:u w:val="single"/>
        </w:rPr>
        <w:t>Υποχρεωτική για όλους</w:t>
      </w:r>
    </w:p>
    <w:p w:rsidR="00371B97" w:rsidRPr="00690390" w:rsidRDefault="00371B97" w:rsidP="00690390">
      <w:pPr>
        <w:jc w:val="both"/>
        <w:rPr>
          <w:rFonts w:ascii="Arial" w:hAnsi="Arial"/>
          <w:i/>
          <w:u w:val="single"/>
        </w:rPr>
      </w:pP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Η φύση της διαιτητικής απόφασης</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Η έννοια της διεθνούς διαιτησίας και οι συναφείς διακρίσεις ως προς την εκδιδόμενη απόφαση (ημεδαπή, διεθνής, αλλοδαπή)- Ανάλυση του ελληνικού συστήματος</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Το εφαρμοστέο δίκαιο στη διαιτητική συμφωνία</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Η αυτονομία της διαιτητικής συμφωνίας και ο πολιτειακός έλεγχος</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Οι παθολογικές συμφωνίες διαιτησίας</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Ο προσδιορισμός του εφαρμοστέου διαδικαστικού δικαίου</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 xml:space="preserve">Η εφαρμογή ανεθνικών διαδικαστικών κανόνων  </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Το εφαρμοστέο δίκαιο στο τύπο της διαιτητικής συμφωνίας</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Η έννοια της δημοσίας τάξεως (κρατικής, διεθνούς και υπερεθνικής) στο δίκαιο της διεθνούς διαιτησίας</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 xml:space="preserve">Ο ρόλος της </w:t>
      </w:r>
      <w:r w:rsidRPr="00690390">
        <w:rPr>
          <w:rFonts w:ascii="Arial" w:hAnsi="Arial"/>
          <w:lang w:val="en-US"/>
        </w:rPr>
        <w:t>lex</w:t>
      </w:r>
      <w:r w:rsidRPr="00690390">
        <w:rPr>
          <w:rFonts w:ascii="Arial" w:hAnsi="Arial"/>
        </w:rPr>
        <w:t xml:space="preserve"> </w:t>
      </w:r>
      <w:r w:rsidRPr="00690390">
        <w:rPr>
          <w:rFonts w:ascii="Arial" w:hAnsi="Arial"/>
          <w:lang w:val="en-US"/>
        </w:rPr>
        <w:t>fori</w:t>
      </w:r>
      <w:r w:rsidRPr="00690390">
        <w:rPr>
          <w:rFonts w:ascii="Arial" w:hAnsi="Arial"/>
        </w:rPr>
        <w:t xml:space="preserve"> κατά την εκτέλεση των αλλοδαπών διαιτητικών αποφάσεων</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Το εφαρμοστέο δίκαιο στην ουσία της διαιτητικής διαφοράς</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Προβλήματα ιδ.δ.δ. κατά την εκτέλεση των αλλοδαπών διαιτητικών αποφάσεων</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Οι αλλαγές που επήλθαν στο ελληνικό σύστημα διαιτησίας μετά το ν.2735/1999</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 xml:space="preserve">Η εφαρμογή του πρότυπου νόμου της </w:t>
      </w:r>
      <w:r w:rsidRPr="00690390">
        <w:rPr>
          <w:rFonts w:ascii="Arial" w:hAnsi="Arial"/>
          <w:lang w:val="fr-CA"/>
        </w:rPr>
        <w:t>UNCITRAL</w:t>
      </w:r>
      <w:r w:rsidRPr="00690390">
        <w:rPr>
          <w:rFonts w:ascii="Arial" w:hAnsi="Arial"/>
        </w:rPr>
        <w:t xml:space="preserve"> για τη διεθνή διαιτησία από την ημεδαπή και αλλοδαπή νομολογία</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Ασφαλιστικά μέτρα και διεθνής διαιτησία</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Εναλλακτικοί τρόποι επίλυσης διαφορών και ελληνικό δίκαιο</w:t>
      </w:r>
    </w:p>
    <w:p w:rsidR="0005006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lastRenderedPageBreak/>
        <w:t>Δίκαιο ανταγωνισμού και δίκαιο της διεθνούς διαιτησίας</w:t>
      </w:r>
    </w:p>
    <w:p w:rsidR="00050060" w:rsidRPr="00050060" w:rsidRDefault="00050060" w:rsidP="00690390">
      <w:pPr>
        <w:numPr>
          <w:ilvl w:val="0"/>
          <w:numId w:val="14"/>
        </w:numPr>
        <w:overflowPunct w:val="0"/>
        <w:autoSpaceDE w:val="0"/>
        <w:autoSpaceDN w:val="0"/>
        <w:adjustRightInd w:val="0"/>
        <w:jc w:val="both"/>
        <w:textAlignment w:val="baseline"/>
        <w:rPr>
          <w:rFonts w:ascii="Arial" w:hAnsi="Arial"/>
        </w:rPr>
      </w:pPr>
      <w:r>
        <w:rPr>
          <w:rFonts w:ascii="Arial" w:hAnsi="Arial"/>
        </w:rPr>
        <w:t>Η ακυρωθείσα διαιτητική απόφαση</w:t>
      </w:r>
    </w:p>
    <w:p w:rsidR="00371B97" w:rsidRPr="00690390" w:rsidRDefault="00371B97" w:rsidP="00690390">
      <w:pPr>
        <w:jc w:val="both"/>
        <w:rPr>
          <w:rFonts w:ascii="Arial" w:hAnsi="Arial"/>
        </w:rPr>
      </w:pPr>
    </w:p>
    <w:p w:rsidR="00371B97" w:rsidRPr="00690390" w:rsidRDefault="00371B97" w:rsidP="00690390">
      <w:pPr>
        <w:jc w:val="both"/>
        <w:rPr>
          <w:rFonts w:ascii="Arial" w:hAnsi="Arial"/>
        </w:rPr>
      </w:pPr>
    </w:p>
    <w:p w:rsidR="00371B97" w:rsidRPr="00690390" w:rsidRDefault="00371B97" w:rsidP="00690390">
      <w:pPr>
        <w:jc w:val="both"/>
        <w:rPr>
          <w:rFonts w:ascii="Arial" w:hAnsi="Arial"/>
          <w:i/>
          <w:u w:val="single"/>
        </w:rPr>
      </w:pPr>
      <w:r w:rsidRPr="00690390">
        <w:rPr>
          <w:rFonts w:ascii="Arial" w:hAnsi="Arial"/>
          <w:i/>
          <w:u w:val="single"/>
        </w:rPr>
        <w:t>ΣΧΟΛΙΑ ΑΠΟΦΑΣΕΩΝ</w:t>
      </w:r>
    </w:p>
    <w:p w:rsidR="00371B97" w:rsidRPr="00690390" w:rsidRDefault="00371B97" w:rsidP="00690390">
      <w:pPr>
        <w:jc w:val="both"/>
        <w:rPr>
          <w:rFonts w:ascii="Arial" w:hAnsi="Arial"/>
          <w:i/>
        </w:rPr>
      </w:pPr>
    </w:p>
    <w:p w:rsidR="00371B97" w:rsidRPr="00690390" w:rsidRDefault="00371B97" w:rsidP="00690390">
      <w:pPr>
        <w:jc w:val="both"/>
        <w:rPr>
          <w:rFonts w:ascii="Arial" w:hAnsi="Arial"/>
        </w:rPr>
      </w:pPr>
      <w:r w:rsidRPr="00690390">
        <w:rPr>
          <w:rFonts w:ascii="Arial" w:hAnsi="Arial"/>
        </w:rPr>
        <w:t>Προαιρετική</w:t>
      </w:r>
    </w:p>
    <w:p w:rsidR="00371B97" w:rsidRPr="00690390" w:rsidRDefault="00371B97" w:rsidP="00690390">
      <w:pPr>
        <w:jc w:val="both"/>
        <w:rPr>
          <w:rFonts w:ascii="Arial" w:hAnsi="Arial"/>
          <w:i/>
          <w:u w:val="single"/>
        </w:rPr>
      </w:pPr>
    </w:p>
    <w:p w:rsidR="00371B97" w:rsidRPr="00690390" w:rsidRDefault="00371B97" w:rsidP="00690390">
      <w:pPr>
        <w:numPr>
          <w:ilvl w:val="0"/>
          <w:numId w:val="15"/>
        </w:numPr>
        <w:overflowPunct w:val="0"/>
        <w:autoSpaceDE w:val="0"/>
        <w:autoSpaceDN w:val="0"/>
        <w:adjustRightInd w:val="0"/>
        <w:jc w:val="both"/>
        <w:textAlignment w:val="baseline"/>
        <w:rPr>
          <w:rFonts w:ascii="Arial" w:hAnsi="Arial"/>
        </w:rPr>
      </w:pPr>
      <w:r w:rsidRPr="00690390">
        <w:rPr>
          <w:rFonts w:ascii="Arial" w:hAnsi="Arial"/>
        </w:rPr>
        <w:t>Ολ ΑΠ 4/1989, Διαιτ. 1 (1992),23</w:t>
      </w:r>
    </w:p>
    <w:p w:rsidR="00371B97" w:rsidRPr="00690390" w:rsidRDefault="00371B97" w:rsidP="00690390">
      <w:pPr>
        <w:numPr>
          <w:ilvl w:val="0"/>
          <w:numId w:val="15"/>
        </w:numPr>
        <w:overflowPunct w:val="0"/>
        <w:autoSpaceDE w:val="0"/>
        <w:autoSpaceDN w:val="0"/>
        <w:adjustRightInd w:val="0"/>
        <w:jc w:val="both"/>
        <w:textAlignment w:val="baseline"/>
        <w:rPr>
          <w:rFonts w:ascii="Arial" w:hAnsi="Arial"/>
        </w:rPr>
      </w:pPr>
      <w:r w:rsidRPr="00690390">
        <w:rPr>
          <w:rFonts w:ascii="Arial" w:hAnsi="Arial"/>
        </w:rPr>
        <w:t>ΑΠ 403/1989 ΕΕΝ 1990, 99 = Διαιτ. 1 (1992) 129</w:t>
      </w:r>
    </w:p>
    <w:p w:rsidR="00371B97" w:rsidRPr="00690390" w:rsidRDefault="00371B97" w:rsidP="00690390">
      <w:pPr>
        <w:numPr>
          <w:ilvl w:val="0"/>
          <w:numId w:val="15"/>
        </w:numPr>
        <w:overflowPunct w:val="0"/>
        <w:autoSpaceDE w:val="0"/>
        <w:autoSpaceDN w:val="0"/>
        <w:adjustRightInd w:val="0"/>
        <w:jc w:val="both"/>
        <w:textAlignment w:val="baseline"/>
        <w:rPr>
          <w:rFonts w:ascii="Arial" w:hAnsi="Arial"/>
        </w:rPr>
      </w:pPr>
      <w:r w:rsidRPr="00690390">
        <w:rPr>
          <w:rFonts w:ascii="Arial" w:hAnsi="Arial"/>
        </w:rPr>
        <w:t>Ολ ΑΠ 899/1985 ΝοΒ 33 (1985)1399</w:t>
      </w:r>
    </w:p>
    <w:p w:rsidR="00371B97" w:rsidRPr="00690390" w:rsidRDefault="00371B97" w:rsidP="00690390">
      <w:pPr>
        <w:numPr>
          <w:ilvl w:val="0"/>
          <w:numId w:val="15"/>
        </w:numPr>
        <w:overflowPunct w:val="0"/>
        <w:autoSpaceDE w:val="0"/>
        <w:autoSpaceDN w:val="0"/>
        <w:adjustRightInd w:val="0"/>
        <w:jc w:val="both"/>
        <w:textAlignment w:val="baseline"/>
        <w:rPr>
          <w:rFonts w:ascii="Arial" w:hAnsi="Arial"/>
        </w:rPr>
      </w:pPr>
      <w:r w:rsidRPr="00690390">
        <w:rPr>
          <w:rFonts w:ascii="Arial" w:hAnsi="Arial"/>
        </w:rPr>
        <w:t>Εφ Αθ 1466/1983, ΝοΒ 31 (1983) 842</w:t>
      </w:r>
    </w:p>
    <w:p w:rsidR="00371B97" w:rsidRPr="00690390" w:rsidRDefault="00371B97" w:rsidP="00690390">
      <w:pPr>
        <w:numPr>
          <w:ilvl w:val="0"/>
          <w:numId w:val="15"/>
        </w:numPr>
        <w:overflowPunct w:val="0"/>
        <w:autoSpaceDE w:val="0"/>
        <w:autoSpaceDN w:val="0"/>
        <w:adjustRightInd w:val="0"/>
        <w:jc w:val="both"/>
        <w:textAlignment w:val="baseline"/>
        <w:rPr>
          <w:rFonts w:ascii="Arial" w:hAnsi="Arial"/>
        </w:rPr>
      </w:pPr>
      <w:r w:rsidRPr="00690390">
        <w:rPr>
          <w:rFonts w:ascii="Arial" w:hAnsi="Arial"/>
        </w:rPr>
        <w:t>Εφ Αθ 4458/1984 ΝοΒ 32,[1984] 1380</w:t>
      </w:r>
    </w:p>
    <w:p w:rsidR="00371B97" w:rsidRPr="00690390" w:rsidRDefault="00371B97" w:rsidP="00690390">
      <w:pPr>
        <w:jc w:val="both"/>
        <w:rPr>
          <w:rFonts w:ascii="Arial" w:hAnsi="Arial"/>
        </w:rPr>
      </w:pPr>
    </w:p>
    <w:p w:rsidR="00371B97" w:rsidRPr="00690390" w:rsidRDefault="00371B97" w:rsidP="00690390">
      <w:pPr>
        <w:jc w:val="both"/>
        <w:rPr>
          <w:rFonts w:ascii="Arial" w:hAnsi="Arial"/>
          <w:u w:val="single"/>
        </w:rPr>
      </w:pPr>
    </w:p>
    <w:p w:rsidR="00050060" w:rsidRDefault="00050060" w:rsidP="00050060">
      <w:pPr>
        <w:rPr>
          <w:lang w:val="en-US"/>
        </w:rPr>
      </w:pPr>
    </w:p>
    <w:p w:rsidR="00050060" w:rsidRPr="00241D07" w:rsidRDefault="00050060" w:rsidP="00050060">
      <w:pPr>
        <w:jc w:val="both"/>
        <w:rPr>
          <w:rFonts w:ascii="Cambria" w:hAnsi="Cambria"/>
        </w:rPr>
      </w:pPr>
    </w:p>
    <w:p w:rsidR="00050060" w:rsidRPr="00241D07" w:rsidRDefault="00050060" w:rsidP="00050060">
      <w:pPr>
        <w:jc w:val="both"/>
        <w:rPr>
          <w:rFonts w:ascii="Cambria" w:hAnsi="Cambria"/>
        </w:rPr>
      </w:pPr>
    </w:p>
    <w:p w:rsidR="00050060" w:rsidRPr="00241D07" w:rsidRDefault="00050060" w:rsidP="00050060">
      <w:pPr>
        <w:jc w:val="both"/>
        <w:rPr>
          <w:rFonts w:ascii="Cambria" w:hAnsi="Cambria"/>
          <w:b/>
          <w:i/>
        </w:rPr>
      </w:pPr>
      <w:r w:rsidRPr="00241D07">
        <w:rPr>
          <w:rFonts w:ascii="Cambria" w:hAnsi="Cambria"/>
        </w:rPr>
        <w:t xml:space="preserve"> </w:t>
      </w:r>
    </w:p>
    <w:p w:rsidR="006618A3" w:rsidRPr="00690390" w:rsidRDefault="006618A3" w:rsidP="00690390">
      <w:pPr>
        <w:jc w:val="both"/>
        <w:rPr>
          <w:rFonts w:ascii="Arial" w:hAnsi="Arial"/>
          <w:lang w:val="en-US"/>
        </w:rPr>
      </w:pPr>
    </w:p>
    <w:p w:rsidR="006618A3" w:rsidRPr="00690390" w:rsidRDefault="006618A3" w:rsidP="00690390">
      <w:pPr>
        <w:jc w:val="both"/>
        <w:rPr>
          <w:rFonts w:ascii="Arial" w:hAnsi="Arial"/>
        </w:rPr>
      </w:pPr>
    </w:p>
    <w:p w:rsidR="006618A3" w:rsidRPr="00690390" w:rsidRDefault="006618A3" w:rsidP="00690390">
      <w:pPr>
        <w:jc w:val="both"/>
        <w:rPr>
          <w:rFonts w:ascii="Arial" w:hAnsi="Arial"/>
        </w:rPr>
      </w:pPr>
    </w:p>
    <w:sectPr w:rsidR="006618A3" w:rsidRPr="00690390" w:rsidSect="00332F3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34C" w:rsidRDefault="00D4534C" w:rsidP="00690390">
      <w:r>
        <w:separator/>
      </w:r>
    </w:p>
  </w:endnote>
  <w:endnote w:type="continuationSeparator" w:id="0">
    <w:p w:rsidR="00D4534C" w:rsidRDefault="00D4534C" w:rsidP="0069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90" w:rsidRDefault="00690390" w:rsidP="00B24E6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0390" w:rsidRDefault="0069039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90" w:rsidRDefault="00690390" w:rsidP="00B24E6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B4E0B">
      <w:rPr>
        <w:rStyle w:val="a5"/>
        <w:noProof/>
      </w:rPr>
      <w:t>6</w:t>
    </w:r>
    <w:r>
      <w:rPr>
        <w:rStyle w:val="a5"/>
      </w:rPr>
      <w:fldChar w:fldCharType="end"/>
    </w:r>
  </w:p>
  <w:p w:rsidR="00690390" w:rsidRDefault="006903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34C" w:rsidRDefault="00D4534C" w:rsidP="00690390">
      <w:r>
        <w:separator/>
      </w:r>
    </w:p>
  </w:footnote>
  <w:footnote w:type="continuationSeparator" w:id="0">
    <w:p w:rsidR="00D4534C" w:rsidRDefault="00D4534C" w:rsidP="0069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5725372"/>
    <w:lvl w:ilvl="0">
      <w:numFmt w:val="decimal"/>
      <w:lvlText w:val="*"/>
      <w:lvlJc w:val="left"/>
    </w:lvl>
  </w:abstractNum>
  <w:abstractNum w:abstractNumId="1" w15:restartNumberingAfterBreak="0">
    <w:nsid w:val="0B3D5E60"/>
    <w:multiLevelType w:val="hybridMultilevel"/>
    <w:tmpl w:val="959ABA30"/>
    <w:lvl w:ilvl="0" w:tplc="1DAA67A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D593B"/>
    <w:multiLevelType w:val="hybridMultilevel"/>
    <w:tmpl w:val="E21C094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91582"/>
    <w:multiLevelType w:val="hybridMultilevel"/>
    <w:tmpl w:val="959ABA30"/>
    <w:lvl w:ilvl="0" w:tplc="1DAA67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423F6E"/>
    <w:multiLevelType w:val="hybridMultilevel"/>
    <w:tmpl w:val="959ABA30"/>
    <w:lvl w:ilvl="0" w:tplc="1DAA67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DB3754"/>
    <w:multiLevelType w:val="singleLevel"/>
    <w:tmpl w:val="2854A23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6" w15:restartNumberingAfterBreak="0">
    <w:nsid w:val="42AD338D"/>
    <w:multiLevelType w:val="hybridMultilevel"/>
    <w:tmpl w:val="724AE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7B5005"/>
    <w:multiLevelType w:val="hybridMultilevel"/>
    <w:tmpl w:val="724AE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9545A1"/>
    <w:multiLevelType w:val="hybridMultilevel"/>
    <w:tmpl w:val="724AE6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BB0BA6"/>
    <w:multiLevelType w:val="hybridMultilevel"/>
    <w:tmpl w:val="959ABA30"/>
    <w:lvl w:ilvl="0" w:tplc="1DAA67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AC47CD"/>
    <w:multiLevelType w:val="hybridMultilevel"/>
    <w:tmpl w:val="724AE62A"/>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B6421B"/>
    <w:multiLevelType w:val="hybridMultilevel"/>
    <w:tmpl w:val="959ABA30"/>
    <w:lvl w:ilvl="0" w:tplc="1DAA67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A777B4"/>
    <w:multiLevelType w:val="singleLevel"/>
    <w:tmpl w:val="2854A23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3" w15:restartNumberingAfterBreak="0">
    <w:nsid w:val="6B6850B6"/>
    <w:multiLevelType w:val="hybridMultilevel"/>
    <w:tmpl w:val="3C226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C46181"/>
    <w:multiLevelType w:val="hybridMultilevel"/>
    <w:tmpl w:val="3C226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D13572"/>
    <w:multiLevelType w:val="hybridMultilevel"/>
    <w:tmpl w:val="3C226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7"/>
  </w:num>
  <w:num w:numId="5">
    <w:abstractNumId w:val="8"/>
  </w:num>
  <w:num w:numId="6">
    <w:abstractNumId w:val="15"/>
  </w:num>
  <w:num w:numId="7">
    <w:abstractNumId w:val="14"/>
  </w:num>
  <w:num w:numId="8">
    <w:abstractNumId w:val="13"/>
  </w:num>
  <w:num w:numId="9">
    <w:abstractNumId w:val="1"/>
  </w:num>
  <w:num w:numId="10">
    <w:abstractNumId w:val="3"/>
  </w:num>
  <w:num w:numId="11">
    <w:abstractNumId w:val="11"/>
  </w:num>
  <w:num w:numId="12">
    <w:abstractNumId w:val="9"/>
  </w:num>
  <w:num w:numId="13">
    <w:abstractNumId w:val="4"/>
  </w:num>
  <w:num w:numId="14">
    <w:abstractNumId w:val="12"/>
  </w:num>
  <w:num w:numId="15">
    <w:abstractNumId w:val="5"/>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0A"/>
    <w:rsid w:val="00050060"/>
    <w:rsid w:val="001E4EC1"/>
    <w:rsid w:val="00332F3C"/>
    <w:rsid w:val="00346C62"/>
    <w:rsid w:val="00371B97"/>
    <w:rsid w:val="003B7FAF"/>
    <w:rsid w:val="00535709"/>
    <w:rsid w:val="006618A3"/>
    <w:rsid w:val="00683FE3"/>
    <w:rsid w:val="00690390"/>
    <w:rsid w:val="008E7263"/>
    <w:rsid w:val="00B56216"/>
    <w:rsid w:val="00B75E67"/>
    <w:rsid w:val="00BE5269"/>
    <w:rsid w:val="00C77725"/>
    <w:rsid w:val="00CF1253"/>
    <w:rsid w:val="00D3750A"/>
    <w:rsid w:val="00D4534C"/>
    <w:rsid w:val="00D908B3"/>
    <w:rsid w:val="00EB4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DE7653C-F715-4547-B5DA-A9ABA520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50A"/>
    <w:pPr>
      <w:ind w:left="720"/>
      <w:contextualSpacing/>
    </w:pPr>
    <w:rPr>
      <w:rFonts w:eastAsiaTheme="minorHAnsi"/>
      <w:lang w:val="en-US"/>
    </w:rPr>
  </w:style>
  <w:style w:type="paragraph" w:styleId="a4">
    <w:name w:val="footer"/>
    <w:basedOn w:val="a"/>
    <w:link w:val="Char"/>
    <w:uiPriority w:val="99"/>
    <w:unhideWhenUsed/>
    <w:rsid w:val="00690390"/>
    <w:pPr>
      <w:tabs>
        <w:tab w:val="center" w:pos="4320"/>
        <w:tab w:val="right" w:pos="8640"/>
      </w:tabs>
    </w:pPr>
  </w:style>
  <w:style w:type="character" w:customStyle="1" w:styleId="Char">
    <w:name w:val="Υποσέλιδο Char"/>
    <w:basedOn w:val="a0"/>
    <w:link w:val="a4"/>
    <w:uiPriority w:val="99"/>
    <w:rsid w:val="00690390"/>
    <w:rPr>
      <w:lang w:val="el-GR"/>
    </w:rPr>
  </w:style>
  <w:style w:type="character" w:styleId="a5">
    <w:name w:val="page number"/>
    <w:basedOn w:val="a0"/>
    <w:uiPriority w:val="99"/>
    <w:semiHidden/>
    <w:unhideWhenUsed/>
    <w:rsid w:val="0069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1229</Words>
  <Characters>6765</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Pamboukis</dc:creator>
  <cp:keywords/>
  <dc:description/>
  <cp:lastModifiedBy>Valia Daskalaki</cp:lastModifiedBy>
  <cp:revision>2</cp:revision>
  <dcterms:created xsi:type="dcterms:W3CDTF">2018-10-26T11:44:00Z</dcterms:created>
  <dcterms:modified xsi:type="dcterms:W3CDTF">2018-10-26T11:44:00Z</dcterms:modified>
</cp:coreProperties>
</file>