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E9" w:rsidRDefault="00962868" w:rsidP="00EA2AE9">
      <w:pPr>
        <w:jc w:val="center"/>
        <w:rPr>
          <w:b/>
          <w:sz w:val="24"/>
          <w:szCs w:val="24"/>
          <w:lang w:val="en-US"/>
        </w:rPr>
      </w:pPr>
      <w:r w:rsidRPr="00280043">
        <w:rPr>
          <w:b/>
          <w:sz w:val="24"/>
          <w:szCs w:val="24"/>
          <w:lang w:val="en-US"/>
        </w:rPr>
        <w:t>Main features of the Greek Civil Law</w:t>
      </w:r>
    </w:p>
    <w:p w:rsidR="00962868" w:rsidRPr="00280043" w:rsidRDefault="00280043" w:rsidP="00962868">
      <w:pPr>
        <w:rPr>
          <w:b/>
          <w:sz w:val="24"/>
          <w:szCs w:val="24"/>
          <w:lang w:val="en-US"/>
        </w:rPr>
      </w:pPr>
      <w:r>
        <w:rPr>
          <w:b/>
          <w:sz w:val="24"/>
          <w:szCs w:val="24"/>
          <w:lang w:val="en-US"/>
        </w:rPr>
        <w:t>19.11.2021 CIVIS</w:t>
      </w:r>
    </w:p>
    <w:p w:rsidR="00EA2AE9" w:rsidRDefault="00EA2AE9" w:rsidP="00EA2AE9">
      <w:pPr>
        <w:spacing w:after="0" w:line="240" w:lineRule="auto"/>
        <w:rPr>
          <w:b/>
          <w:sz w:val="24"/>
          <w:szCs w:val="24"/>
          <w:lang w:val="en-US"/>
        </w:rPr>
      </w:pPr>
      <w:proofErr w:type="spellStart"/>
      <w:r>
        <w:rPr>
          <w:b/>
          <w:sz w:val="24"/>
          <w:szCs w:val="24"/>
          <w:lang w:val="en-US"/>
        </w:rPr>
        <w:t>Elisavet</w:t>
      </w:r>
      <w:proofErr w:type="spellEnd"/>
      <w:r>
        <w:rPr>
          <w:b/>
          <w:sz w:val="24"/>
          <w:szCs w:val="24"/>
          <w:lang w:val="en-US"/>
        </w:rPr>
        <w:t xml:space="preserve"> </w:t>
      </w:r>
      <w:proofErr w:type="spellStart"/>
      <w:r>
        <w:rPr>
          <w:b/>
          <w:sz w:val="24"/>
          <w:szCs w:val="24"/>
          <w:lang w:val="en-US"/>
        </w:rPr>
        <w:t>Poulou</w:t>
      </w:r>
      <w:proofErr w:type="spellEnd"/>
    </w:p>
    <w:p w:rsidR="00EA2AE9" w:rsidRPr="00280043" w:rsidRDefault="00EA2AE9" w:rsidP="00EA2AE9">
      <w:pPr>
        <w:spacing w:after="0" w:line="240" w:lineRule="auto"/>
        <w:rPr>
          <w:b/>
          <w:sz w:val="24"/>
          <w:szCs w:val="24"/>
          <w:lang w:val="en-US"/>
        </w:rPr>
      </w:pPr>
      <w:r>
        <w:rPr>
          <w:b/>
          <w:sz w:val="24"/>
          <w:szCs w:val="24"/>
          <w:lang w:val="en-US"/>
        </w:rPr>
        <w:t>Assistant professor of civil law</w:t>
      </w:r>
      <w:r w:rsidR="000547A5">
        <w:rPr>
          <w:b/>
          <w:sz w:val="24"/>
          <w:szCs w:val="24"/>
          <w:lang w:val="en-US"/>
        </w:rPr>
        <w:t xml:space="preserve"> at the Law School of Athens</w:t>
      </w:r>
    </w:p>
    <w:p w:rsidR="00EA2AE9" w:rsidRDefault="00EA2AE9" w:rsidP="00962868">
      <w:pPr>
        <w:pStyle w:val="a4"/>
        <w:widowControl/>
        <w:tabs>
          <w:tab w:val="clear" w:pos="1701"/>
        </w:tabs>
        <w:spacing w:line="280" w:lineRule="exact"/>
        <w:rPr>
          <w:rFonts w:asciiTheme="minorHAnsi" w:hAnsiTheme="minorHAnsi"/>
          <w:szCs w:val="24"/>
          <w:lang w:val="en-US"/>
        </w:rPr>
      </w:pPr>
    </w:p>
    <w:p w:rsidR="00962868" w:rsidRPr="00280043" w:rsidRDefault="00962868" w:rsidP="00962868">
      <w:pPr>
        <w:pStyle w:val="a4"/>
        <w:widowControl/>
        <w:tabs>
          <w:tab w:val="clear" w:pos="1701"/>
        </w:tabs>
        <w:spacing w:line="280" w:lineRule="exact"/>
        <w:rPr>
          <w:rFonts w:asciiTheme="minorHAnsi" w:hAnsiTheme="minorHAnsi"/>
          <w:szCs w:val="24"/>
        </w:rPr>
      </w:pPr>
      <w:r w:rsidRPr="00280043">
        <w:rPr>
          <w:rFonts w:asciiTheme="minorHAnsi" w:hAnsiTheme="minorHAnsi"/>
          <w:szCs w:val="24"/>
        </w:rPr>
        <w:t>The Greek civil law is mainly included in the G</w:t>
      </w:r>
      <w:r w:rsidR="000547A5">
        <w:rPr>
          <w:rFonts w:asciiTheme="minorHAnsi" w:hAnsiTheme="minorHAnsi"/>
          <w:szCs w:val="24"/>
        </w:rPr>
        <w:t>reek</w:t>
      </w:r>
      <w:r w:rsidRPr="00280043">
        <w:rPr>
          <w:rFonts w:asciiTheme="minorHAnsi" w:hAnsiTheme="minorHAnsi"/>
          <w:szCs w:val="24"/>
        </w:rPr>
        <w:t xml:space="preserve"> Civil Code (</w:t>
      </w:r>
      <w:r w:rsidR="000547A5">
        <w:rPr>
          <w:rFonts w:asciiTheme="minorHAnsi" w:hAnsiTheme="minorHAnsi"/>
          <w:szCs w:val="24"/>
        </w:rPr>
        <w:t>GCC</w:t>
      </w:r>
      <w:r w:rsidRPr="00280043">
        <w:rPr>
          <w:rFonts w:asciiTheme="minorHAnsi" w:hAnsiTheme="minorHAnsi"/>
          <w:szCs w:val="24"/>
        </w:rPr>
        <w:t>)</w:t>
      </w:r>
      <w:r w:rsidR="000547A5">
        <w:rPr>
          <w:rFonts w:asciiTheme="minorHAnsi" w:hAnsiTheme="minorHAnsi"/>
          <w:szCs w:val="24"/>
        </w:rPr>
        <w:t>.</w:t>
      </w:r>
    </w:p>
    <w:p w:rsidR="00962868" w:rsidRPr="00280043" w:rsidRDefault="00962868" w:rsidP="00962868">
      <w:pPr>
        <w:pStyle w:val="a4"/>
        <w:widowControl/>
        <w:tabs>
          <w:tab w:val="clear" w:pos="1701"/>
        </w:tabs>
        <w:spacing w:line="280" w:lineRule="exact"/>
        <w:rPr>
          <w:rFonts w:asciiTheme="minorHAnsi" w:hAnsiTheme="minorHAnsi"/>
          <w:szCs w:val="24"/>
        </w:rPr>
      </w:pPr>
      <w:r w:rsidRPr="00280043">
        <w:rPr>
          <w:rFonts w:asciiTheme="minorHAnsi" w:hAnsiTheme="minorHAnsi"/>
          <w:szCs w:val="24"/>
        </w:rPr>
        <w:t>In parallel to the GCC</w:t>
      </w:r>
      <w:r w:rsidR="000547A5">
        <w:rPr>
          <w:rFonts w:asciiTheme="minorHAnsi" w:hAnsiTheme="minorHAnsi"/>
          <w:szCs w:val="24"/>
        </w:rPr>
        <w:t>,</w:t>
      </w:r>
      <w:r w:rsidRPr="00280043">
        <w:rPr>
          <w:rFonts w:asciiTheme="minorHAnsi" w:hAnsiTheme="minorHAnsi"/>
          <w:szCs w:val="24"/>
        </w:rPr>
        <w:t xml:space="preserve"> a body of laws pertaining to the civil law has also been </w:t>
      </w:r>
      <w:proofErr w:type="gramStart"/>
      <w:r w:rsidRPr="00280043">
        <w:rPr>
          <w:rFonts w:asciiTheme="minorHAnsi" w:hAnsiTheme="minorHAnsi"/>
          <w:szCs w:val="24"/>
        </w:rPr>
        <w:t>enacted :</w:t>
      </w:r>
      <w:proofErr w:type="gramEnd"/>
      <w:r w:rsidRPr="00280043">
        <w:rPr>
          <w:rFonts w:asciiTheme="minorHAnsi" w:hAnsiTheme="minorHAnsi"/>
          <w:szCs w:val="24"/>
        </w:rPr>
        <w:t xml:space="preserve"> </w:t>
      </w:r>
    </w:p>
    <w:p w:rsidR="00962868" w:rsidRPr="00280043" w:rsidRDefault="00962868" w:rsidP="00962868">
      <w:pPr>
        <w:pStyle w:val="a4"/>
        <w:widowControl/>
        <w:numPr>
          <w:ilvl w:val="0"/>
          <w:numId w:val="1"/>
        </w:numPr>
        <w:tabs>
          <w:tab w:val="clear" w:pos="1701"/>
          <w:tab w:val="left" w:pos="360"/>
        </w:tabs>
        <w:spacing w:line="280" w:lineRule="exact"/>
        <w:rPr>
          <w:rFonts w:asciiTheme="minorHAnsi" w:hAnsiTheme="minorHAnsi"/>
          <w:szCs w:val="24"/>
        </w:rPr>
      </w:pPr>
      <w:r w:rsidRPr="00280043">
        <w:rPr>
          <w:rFonts w:asciiTheme="minorHAnsi" w:hAnsiTheme="minorHAnsi"/>
          <w:szCs w:val="24"/>
        </w:rPr>
        <w:t xml:space="preserve">Some of them introduce new forms of modern contracts such as franchising, leasing, </w:t>
      </w:r>
      <w:proofErr w:type="spellStart"/>
      <w:r w:rsidRPr="00280043">
        <w:rPr>
          <w:rFonts w:asciiTheme="minorHAnsi" w:hAnsiTheme="minorHAnsi"/>
          <w:szCs w:val="24"/>
        </w:rPr>
        <w:t>forfaiting</w:t>
      </w:r>
      <w:proofErr w:type="spellEnd"/>
      <w:r w:rsidRPr="00280043">
        <w:rPr>
          <w:rFonts w:asciiTheme="minorHAnsi" w:hAnsiTheme="minorHAnsi"/>
          <w:szCs w:val="24"/>
        </w:rPr>
        <w:t>, factoring etc.</w:t>
      </w:r>
      <w:r w:rsidRPr="00280043">
        <w:rPr>
          <w:rStyle w:val="a3"/>
          <w:rFonts w:asciiTheme="minorHAnsi" w:hAnsiTheme="minorHAnsi"/>
          <w:szCs w:val="24"/>
        </w:rPr>
        <w:t xml:space="preserve"> </w:t>
      </w:r>
      <w:r w:rsidRPr="00280043">
        <w:rPr>
          <w:rFonts w:asciiTheme="minorHAnsi" w:hAnsiTheme="minorHAnsi"/>
          <w:szCs w:val="24"/>
        </w:rPr>
        <w:t xml:space="preserve"> and</w:t>
      </w:r>
    </w:p>
    <w:p w:rsidR="00DD265D" w:rsidRPr="000547A5" w:rsidRDefault="00962868" w:rsidP="000547A5">
      <w:pPr>
        <w:pStyle w:val="a5"/>
        <w:numPr>
          <w:ilvl w:val="0"/>
          <w:numId w:val="1"/>
        </w:numPr>
        <w:rPr>
          <w:sz w:val="24"/>
          <w:szCs w:val="24"/>
          <w:lang w:val="en-US"/>
        </w:rPr>
      </w:pPr>
      <w:r w:rsidRPr="000547A5">
        <w:rPr>
          <w:sz w:val="24"/>
          <w:szCs w:val="24"/>
          <w:lang w:val="en-US"/>
        </w:rPr>
        <w:t>Some others incorporate European Union Directives</w:t>
      </w:r>
    </w:p>
    <w:p w:rsidR="00291E77" w:rsidRPr="000547A5" w:rsidRDefault="00291E77" w:rsidP="00291E77">
      <w:pPr>
        <w:spacing w:after="0"/>
        <w:rPr>
          <w:b/>
          <w:sz w:val="24"/>
          <w:szCs w:val="24"/>
          <w:lang w:val="en-US"/>
        </w:rPr>
      </w:pPr>
      <w:r w:rsidRPr="00280043">
        <w:rPr>
          <w:b/>
          <w:sz w:val="24"/>
          <w:szCs w:val="24"/>
          <w:lang w:val="en-AU"/>
        </w:rPr>
        <w:t xml:space="preserve">Main characteristics of </w:t>
      </w:r>
      <w:r w:rsidR="000547A5" w:rsidRPr="000547A5">
        <w:rPr>
          <w:b/>
          <w:sz w:val="24"/>
          <w:szCs w:val="24"/>
          <w:lang w:val="en-US"/>
        </w:rPr>
        <w:t>the Greek Civil Code</w:t>
      </w:r>
    </w:p>
    <w:p w:rsidR="001D6DEC" w:rsidRPr="00280043" w:rsidRDefault="001D6DEC" w:rsidP="00291E77">
      <w:pPr>
        <w:spacing w:after="0"/>
        <w:rPr>
          <w:b/>
          <w:sz w:val="24"/>
          <w:szCs w:val="24"/>
          <w:lang w:val="en-AU"/>
        </w:rPr>
      </w:pPr>
    </w:p>
    <w:p w:rsidR="00291E77" w:rsidRPr="00280043" w:rsidRDefault="00291E77" w:rsidP="00291E77">
      <w:pPr>
        <w:pStyle w:val="a5"/>
        <w:numPr>
          <w:ilvl w:val="0"/>
          <w:numId w:val="2"/>
        </w:numPr>
        <w:spacing w:after="0"/>
        <w:rPr>
          <w:b/>
          <w:sz w:val="24"/>
          <w:szCs w:val="24"/>
          <w:lang w:val="en-US"/>
        </w:rPr>
      </w:pPr>
      <w:r w:rsidRPr="00280043">
        <w:rPr>
          <w:b/>
          <w:sz w:val="24"/>
          <w:szCs w:val="24"/>
          <w:lang w:val="en-US"/>
        </w:rPr>
        <w:t>Right of Personality</w:t>
      </w:r>
    </w:p>
    <w:p w:rsidR="003C781B" w:rsidRPr="00280043" w:rsidRDefault="000547A5" w:rsidP="003C781B">
      <w:pPr>
        <w:pStyle w:val="a5"/>
        <w:spacing w:after="0"/>
        <w:rPr>
          <w:sz w:val="24"/>
          <w:szCs w:val="24"/>
          <w:lang w:val="en-US"/>
        </w:rPr>
      </w:pPr>
      <w:r w:rsidRPr="000547A5">
        <w:rPr>
          <w:lang w:val="en-US"/>
        </w:rPr>
        <w:t xml:space="preserve">After the Swiss Civil Code, </w:t>
      </w:r>
      <w:r>
        <w:rPr>
          <w:lang w:val="en-US"/>
        </w:rPr>
        <w:t>t</w:t>
      </w:r>
      <w:r w:rsidR="003C781B" w:rsidRPr="00280043">
        <w:rPr>
          <w:sz w:val="24"/>
          <w:szCs w:val="24"/>
          <w:lang w:val="en-US"/>
        </w:rPr>
        <w:t xml:space="preserve">he </w:t>
      </w:r>
      <w:r>
        <w:rPr>
          <w:sz w:val="24"/>
          <w:szCs w:val="24"/>
          <w:lang w:val="en-US"/>
        </w:rPr>
        <w:t xml:space="preserve">GCC was the </w:t>
      </w:r>
      <w:r w:rsidR="003C781B" w:rsidRPr="00280043">
        <w:rPr>
          <w:sz w:val="24"/>
          <w:szCs w:val="24"/>
          <w:lang w:val="en-US"/>
        </w:rPr>
        <w:t>first continental civil code to recognize a comprehensive right of personality of natural persons</w:t>
      </w:r>
      <w:r>
        <w:rPr>
          <w:sz w:val="24"/>
          <w:szCs w:val="24"/>
          <w:lang w:val="en-US"/>
        </w:rPr>
        <w:t>.</w:t>
      </w:r>
      <w:r w:rsidR="003C781B" w:rsidRPr="00280043">
        <w:rPr>
          <w:sz w:val="24"/>
          <w:szCs w:val="24"/>
          <w:lang w:val="en-US"/>
        </w:rPr>
        <w:t xml:space="preserve"> </w:t>
      </w:r>
    </w:p>
    <w:p w:rsidR="003C781B" w:rsidRPr="00280043" w:rsidRDefault="003C781B" w:rsidP="000547A5">
      <w:pPr>
        <w:pStyle w:val="a5"/>
        <w:numPr>
          <w:ilvl w:val="0"/>
          <w:numId w:val="6"/>
        </w:numPr>
        <w:spacing w:after="0"/>
        <w:rPr>
          <w:sz w:val="24"/>
          <w:szCs w:val="24"/>
          <w:lang w:val="en-US"/>
        </w:rPr>
      </w:pPr>
      <w:r w:rsidRPr="00280043">
        <w:rPr>
          <w:sz w:val="24"/>
          <w:szCs w:val="24"/>
          <w:lang w:val="en-US"/>
        </w:rPr>
        <w:t>Broad definition of personality allows its protection from any offence that could not be specifically provided by law</w:t>
      </w:r>
    </w:p>
    <w:p w:rsidR="003C781B" w:rsidRPr="00280043" w:rsidRDefault="003C781B" w:rsidP="000547A5">
      <w:pPr>
        <w:pStyle w:val="a5"/>
        <w:numPr>
          <w:ilvl w:val="0"/>
          <w:numId w:val="6"/>
        </w:numPr>
        <w:spacing w:after="0"/>
        <w:rPr>
          <w:sz w:val="24"/>
          <w:szCs w:val="24"/>
          <w:lang w:val="en-US"/>
        </w:rPr>
      </w:pPr>
      <w:r w:rsidRPr="00280043">
        <w:rPr>
          <w:sz w:val="24"/>
          <w:szCs w:val="24"/>
          <w:lang w:val="en-US"/>
        </w:rPr>
        <w:t>Examples from the jurisdiction</w:t>
      </w:r>
      <w:r w:rsidR="00F77F60" w:rsidRPr="00F77F60">
        <w:rPr>
          <w:lang w:val="en-US"/>
        </w:rPr>
        <w:t xml:space="preserve"> </w:t>
      </w:r>
      <w:r w:rsidR="00F77F60">
        <w:rPr>
          <w:lang w:val="en-US"/>
        </w:rPr>
        <w:t>(</w:t>
      </w:r>
      <w:r w:rsidR="00F77F60" w:rsidRPr="00F77F60">
        <w:rPr>
          <w:lang w:val="en-US"/>
        </w:rPr>
        <w:t>cessation of the running of factories, because they polluted the atmospheric air and the sea, or cessation of cultivation of rice in a region of rare ecosystems</w:t>
      </w:r>
    </w:p>
    <w:p w:rsidR="003C781B" w:rsidRPr="00280043" w:rsidRDefault="003C781B" w:rsidP="000547A5">
      <w:pPr>
        <w:pStyle w:val="a5"/>
        <w:numPr>
          <w:ilvl w:val="0"/>
          <w:numId w:val="6"/>
        </w:numPr>
        <w:spacing w:after="0"/>
        <w:rPr>
          <w:b/>
          <w:sz w:val="24"/>
          <w:szCs w:val="24"/>
          <w:lang w:val="en-US"/>
        </w:rPr>
      </w:pPr>
      <w:r w:rsidRPr="00280043">
        <w:rPr>
          <w:sz w:val="24"/>
          <w:szCs w:val="24"/>
          <w:lang w:val="en-US"/>
        </w:rPr>
        <w:t>General action for the protection of one’s personality against any “unlawful”</w:t>
      </w:r>
      <w:r w:rsidR="007E2C6B" w:rsidRPr="00280043">
        <w:rPr>
          <w:sz w:val="24"/>
          <w:szCs w:val="24"/>
          <w:lang w:val="en-US"/>
        </w:rPr>
        <w:t xml:space="preserve"> </w:t>
      </w:r>
      <w:r w:rsidRPr="00280043">
        <w:rPr>
          <w:sz w:val="24"/>
          <w:szCs w:val="24"/>
          <w:lang w:val="en-US"/>
        </w:rPr>
        <w:t>offence.</w:t>
      </w:r>
    </w:p>
    <w:p w:rsidR="00D762BC" w:rsidRPr="00280043" w:rsidRDefault="00291E77" w:rsidP="00291E77">
      <w:pPr>
        <w:pStyle w:val="a5"/>
        <w:numPr>
          <w:ilvl w:val="0"/>
          <w:numId w:val="2"/>
        </w:numPr>
        <w:spacing w:after="0"/>
        <w:rPr>
          <w:b/>
          <w:sz w:val="24"/>
          <w:szCs w:val="24"/>
          <w:lang w:val="en-US"/>
        </w:rPr>
      </w:pPr>
      <w:r w:rsidRPr="00280043">
        <w:rPr>
          <w:b/>
          <w:sz w:val="24"/>
          <w:szCs w:val="24"/>
          <w:lang w:val="en-US"/>
        </w:rPr>
        <w:t>Private autonomy</w:t>
      </w:r>
      <w:r w:rsidR="005A784E" w:rsidRPr="00280043">
        <w:rPr>
          <w:sz w:val="24"/>
          <w:szCs w:val="24"/>
          <w:lang w:val="en-US"/>
        </w:rPr>
        <w:t xml:space="preserve"> </w:t>
      </w:r>
      <w:r w:rsidR="00D762BC" w:rsidRPr="00280043">
        <w:rPr>
          <w:sz w:val="24"/>
          <w:szCs w:val="24"/>
          <w:lang w:val="en-US"/>
        </w:rPr>
        <w:t>→</w:t>
      </w:r>
    </w:p>
    <w:p w:rsidR="00291E77" w:rsidRPr="00280043" w:rsidRDefault="00F77F60" w:rsidP="003C781B">
      <w:pPr>
        <w:pStyle w:val="a5"/>
        <w:spacing w:after="0"/>
        <w:rPr>
          <w:b/>
          <w:sz w:val="24"/>
          <w:szCs w:val="24"/>
          <w:lang w:val="en-US"/>
        </w:rPr>
      </w:pPr>
      <w:r>
        <w:rPr>
          <w:sz w:val="24"/>
          <w:szCs w:val="24"/>
          <w:lang w:val="en-US"/>
        </w:rPr>
        <w:t>F</w:t>
      </w:r>
      <w:r w:rsidR="005A784E" w:rsidRPr="00280043">
        <w:rPr>
          <w:sz w:val="24"/>
          <w:szCs w:val="24"/>
          <w:lang w:val="en-US"/>
        </w:rPr>
        <w:t>reedom of contracts</w:t>
      </w:r>
      <w:proofErr w:type="gramStart"/>
      <w:r w:rsidR="005A784E" w:rsidRPr="00280043">
        <w:rPr>
          <w:sz w:val="24"/>
          <w:szCs w:val="24"/>
          <w:lang w:val="en-US"/>
        </w:rPr>
        <w:t>,  freedom</w:t>
      </w:r>
      <w:proofErr w:type="gramEnd"/>
      <w:r w:rsidR="005A784E" w:rsidRPr="00280043">
        <w:rPr>
          <w:sz w:val="24"/>
          <w:szCs w:val="24"/>
          <w:lang w:val="en-US"/>
        </w:rPr>
        <w:t xml:space="preserve"> of constituting unions and associations, the principle  of </w:t>
      </w:r>
      <w:proofErr w:type="spellStart"/>
      <w:r w:rsidR="005A784E" w:rsidRPr="00280043">
        <w:rPr>
          <w:sz w:val="24"/>
          <w:szCs w:val="24"/>
          <w:lang w:val="en-US"/>
        </w:rPr>
        <w:t>pacta</w:t>
      </w:r>
      <w:proofErr w:type="spellEnd"/>
      <w:r w:rsidR="005A784E" w:rsidRPr="00280043">
        <w:rPr>
          <w:sz w:val="24"/>
          <w:szCs w:val="24"/>
          <w:lang w:val="en-US"/>
        </w:rPr>
        <w:t xml:space="preserve"> </w:t>
      </w:r>
      <w:proofErr w:type="spellStart"/>
      <w:r w:rsidR="005A784E" w:rsidRPr="00280043">
        <w:rPr>
          <w:sz w:val="24"/>
          <w:szCs w:val="24"/>
          <w:lang w:val="en-US"/>
        </w:rPr>
        <w:t>sunt</w:t>
      </w:r>
      <w:proofErr w:type="spellEnd"/>
      <w:r w:rsidR="005A784E" w:rsidRPr="00280043">
        <w:rPr>
          <w:sz w:val="24"/>
          <w:szCs w:val="24"/>
          <w:lang w:val="en-US"/>
        </w:rPr>
        <w:t xml:space="preserve"> </w:t>
      </w:r>
      <w:proofErr w:type="spellStart"/>
      <w:r w:rsidR="005A784E" w:rsidRPr="00280043">
        <w:rPr>
          <w:sz w:val="24"/>
          <w:szCs w:val="24"/>
          <w:lang w:val="en-US"/>
        </w:rPr>
        <w:t>servanda</w:t>
      </w:r>
      <w:proofErr w:type="spellEnd"/>
      <w:r w:rsidR="005A784E" w:rsidRPr="00280043">
        <w:rPr>
          <w:sz w:val="24"/>
          <w:szCs w:val="24"/>
          <w:lang w:val="en-US"/>
        </w:rPr>
        <w:t xml:space="preserve"> etc.</w:t>
      </w:r>
    </w:p>
    <w:p w:rsidR="00C01E43" w:rsidRPr="00280043" w:rsidRDefault="00291E77" w:rsidP="00D762BC">
      <w:pPr>
        <w:pStyle w:val="Web"/>
        <w:numPr>
          <w:ilvl w:val="0"/>
          <w:numId w:val="2"/>
        </w:numPr>
        <w:spacing w:before="0" w:beforeAutospacing="0" w:after="0" w:afterAutospacing="0" w:line="276" w:lineRule="auto"/>
        <w:rPr>
          <w:rFonts w:asciiTheme="minorHAnsi" w:hAnsiTheme="minorHAnsi" w:cs="Arial"/>
          <w:lang w:val="en-US"/>
        </w:rPr>
      </w:pPr>
      <w:r w:rsidRPr="00280043">
        <w:rPr>
          <w:rFonts w:asciiTheme="minorHAnsi" w:hAnsiTheme="minorHAnsi" w:cs="Arial"/>
          <w:b/>
          <w:lang w:val="en-US"/>
        </w:rPr>
        <w:t>Social orientation of AK</w:t>
      </w:r>
    </w:p>
    <w:p w:rsidR="00D762BC" w:rsidRPr="00280043" w:rsidRDefault="007E2C6B" w:rsidP="00DB67D9">
      <w:pPr>
        <w:pStyle w:val="Web"/>
        <w:spacing w:before="0" w:beforeAutospacing="0" w:after="0" w:afterAutospacing="0" w:line="276" w:lineRule="auto"/>
        <w:ind w:left="720"/>
        <w:jc w:val="both"/>
        <w:rPr>
          <w:rFonts w:asciiTheme="minorHAnsi" w:hAnsiTheme="minorHAnsi" w:cs="Arial"/>
          <w:lang w:val="en-US"/>
        </w:rPr>
      </w:pPr>
      <w:r w:rsidRPr="00280043">
        <w:rPr>
          <w:rFonts w:asciiTheme="minorHAnsi" w:hAnsiTheme="minorHAnsi" w:cs="Arial"/>
          <w:lang w:val="en-US"/>
        </w:rPr>
        <w:t xml:space="preserve">Need to protect socially weaker people from the exploitation of more powerful. Solution → </w:t>
      </w:r>
      <w:r w:rsidR="00D762BC" w:rsidRPr="00280043">
        <w:rPr>
          <w:rFonts w:asciiTheme="minorHAnsi" w:hAnsiTheme="minorHAnsi" w:cs="Arial"/>
          <w:lang w:val="en-US"/>
        </w:rPr>
        <w:t>mandatory rules:  rules e.g. on p</w:t>
      </w:r>
      <w:r w:rsidR="00D762BC" w:rsidRPr="00280043">
        <w:rPr>
          <w:rFonts w:asciiTheme="minorHAnsi" w:hAnsiTheme="minorHAnsi"/>
          <w:lang w:val="en-US"/>
        </w:rPr>
        <w:t>rohibition of the abuse of a right,</w:t>
      </w:r>
      <w:r w:rsidR="00D762BC" w:rsidRPr="00280043">
        <w:rPr>
          <w:rFonts w:asciiTheme="minorHAnsi" w:hAnsiTheme="minorHAnsi"/>
          <w:b/>
          <w:lang w:val="en-US"/>
        </w:rPr>
        <w:t xml:space="preserve"> </w:t>
      </w:r>
      <w:r w:rsidR="00D762BC" w:rsidRPr="00280043">
        <w:rPr>
          <w:rFonts w:asciiTheme="minorHAnsi" w:hAnsiTheme="minorHAnsi"/>
          <w:lang w:val="en-US"/>
        </w:rPr>
        <w:t>on the nullity of contracts contrary to good morals</w:t>
      </w:r>
      <w:r w:rsidR="00D762BC" w:rsidRPr="00280043">
        <w:rPr>
          <w:rFonts w:asciiTheme="minorHAnsi" w:hAnsiTheme="minorHAnsi" w:cs="Arial"/>
          <w:lang w:val="en-US"/>
        </w:rPr>
        <w:t xml:space="preserve"> (such as contracts whereby a party exploits the need, mental levity</w:t>
      </w:r>
      <w:r w:rsidR="00D762BC" w:rsidRPr="00280043">
        <w:rPr>
          <w:rFonts w:asciiTheme="minorHAnsi" w:hAnsiTheme="minorHAnsi" w:cs="Arial"/>
          <w:b/>
          <w:lang w:val="en-US"/>
        </w:rPr>
        <w:t xml:space="preserve"> </w:t>
      </w:r>
      <w:r w:rsidR="00D762BC" w:rsidRPr="00280043">
        <w:rPr>
          <w:rFonts w:asciiTheme="minorHAnsi" w:hAnsiTheme="minorHAnsi" w:cs="Arial"/>
          <w:lang w:val="en-US"/>
        </w:rPr>
        <w:t xml:space="preserve">or inexperience of the other party), </w:t>
      </w:r>
      <w:r w:rsidR="005F3F41" w:rsidRPr="00280043">
        <w:rPr>
          <w:rFonts w:asciiTheme="minorHAnsi" w:hAnsiTheme="minorHAnsi" w:cs="Arial"/>
          <w:lang w:val="en-US"/>
        </w:rPr>
        <w:t xml:space="preserve">on </w:t>
      </w:r>
      <w:r w:rsidR="00D762BC" w:rsidRPr="00280043">
        <w:rPr>
          <w:rFonts w:asciiTheme="minorHAnsi" w:hAnsiTheme="minorHAnsi" w:cs="Arial"/>
          <w:lang w:val="en-US"/>
        </w:rPr>
        <w:t xml:space="preserve">good faith. </w:t>
      </w:r>
      <w:r w:rsidR="00C01E43" w:rsidRPr="00280043">
        <w:rPr>
          <w:rFonts w:asciiTheme="minorHAnsi" w:hAnsiTheme="minorHAnsi" w:cs="Arial"/>
          <w:lang w:val="en-US"/>
        </w:rPr>
        <w:t>Example: In case of an u</w:t>
      </w:r>
      <w:r w:rsidR="00C01E43" w:rsidRPr="00280043">
        <w:rPr>
          <w:rFonts w:asciiTheme="minorHAnsi" w:hAnsiTheme="minorHAnsi"/>
          <w:lang w:val="en-US"/>
        </w:rPr>
        <w:t>nforeseen change in circumstances which renders performance excessively difficult the court may decide upon restoration of the distorted equilibrium between performance and counter performance or to bring the contract to an end (</w:t>
      </w:r>
      <w:r w:rsidR="00DB67D9">
        <w:rPr>
          <w:rFonts w:asciiTheme="minorHAnsi" w:hAnsiTheme="minorHAnsi"/>
          <w:lang w:val="en-US"/>
        </w:rPr>
        <w:t>GCC</w:t>
      </w:r>
      <w:r w:rsidR="00C01E43" w:rsidRPr="00280043">
        <w:rPr>
          <w:rFonts w:asciiTheme="minorHAnsi" w:hAnsiTheme="minorHAnsi"/>
          <w:lang w:val="en-US"/>
        </w:rPr>
        <w:t xml:space="preserve"> 388).</w:t>
      </w:r>
    </w:p>
    <w:p w:rsidR="00291E77" w:rsidRDefault="00291E77" w:rsidP="00291E77">
      <w:pPr>
        <w:pStyle w:val="ParaNum"/>
        <w:numPr>
          <w:ilvl w:val="0"/>
          <w:numId w:val="2"/>
        </w:numPr>
        <w:rPr>
          <w:b/>
          <w:sz w:val="24"/>
          <w:szCs w:val="24"/>
        </w:rPr>
      </w:pPr>
      <w:r w:rsidRPr="00280043">
        <w:rPr>
          <w:b/>
          <w:sz w:val="24"/>
          <w:szCs w:val="24"/>
        </w:rPr>
        <w:t>Regulation of family law</w:t>
      </w:r>
      <w:r w:rsidRPr="00280043">
        <w:rPr>
          <w:sz w:val="24"/>
          <w:szCs w:val="24"/>
        </w:rPr>
        <w:t xml:space="preserve"> </w:t>
      </w:r>
      <w:r w:rsidRPr="00280043">
        <w:rPr>
          <w:b/>
          <w:sz w:val="24"/>
          <w:szCs w:val="24"/>
        </w:rPr>
        <w:t xml:space="preserve">according to the principle of equity </w:t>
      </w:r>
      <w:r w:rsidR="001D6DEC" w:rsidRPr="00280043">
        <w:rPr>
          <w:b/>
          <w:sz w:val="24"/>
          <w:szCs w:val="24"/>
        </w:rPr>
        <w:t xml:space="preserve">between </w:t>
      </w:r>
      <w:r w:rsidRPr="00280043">
        <w:rPr>
          <w:b/>
          <w:sz w:val="24"/>
          <w:szCs w:val="24"/>
        </w:rPr>
        <w:t>the two sexes</w:t>
      </w:r>
    </w:p>
    <w:p w:rsidR="001A53D2" w:rsidRPr="001A53D2" w:rsidRDefault="001A53D2" w:rsidP="001A53D2">
      <w:pPr>
        <w:pStyle w:val="a4"/>
        <w:spacing w:line="276" w:lineRule="auto"/>
        <w:rPr>
          <w:rFonts w:asciiTheme="minorHAnsi" w:hAnsiTheme="minorHAnsi"/>
          <w:lang w:val="en-US" w:eastAsia="nl-NL"/>
        </w:rPr>
      </w:pPr>
      <w:r w:rsidRPr="001A53D2">
        <w:rPr>
          <w:rFonts w:asciiTheme="minorHAnsi" w:hAnsiTheme="minorHAnsi"/>
          <w:lang w:val="en-US" w:eastAsia="nl-NL"/>
        </w:rPr>
        <w:t xml:space="preserve">            </w:t>
      </w:r>
      <w:r w:rsidRPr="001A53D2">
        <w:rPr>
          <w:rFonts w:asciiTheme="minorHAnsi" w:hAnsiTheme="minorHAnsi"/>
          <w:lang w:val="en-US"/>
        </w:rPr>
        <w:t xml:space="preserve">Greek Family Law was influenced by Greek tradition and the attitude of the Orthodox Church, which for example opposed to the introduction of civil marriage. Until 1983, the law prescribed different roles for each spouse and considered the </w:t>
      </w:r>
      <w:r w:rsidRPr="001A53D2">
        <w:rPr>
          <w:rFonts w:asciiTheme="minorHAnsi" w:hAnsiTheme="minorHAnsi"/>
          <w:lang w:val="en-US"/>
        </w:rPr>
        <w:lastRenderedPageBreak/>
        <w:t>husband as the head and main supporter of the family.</w:t>
      </w:r>
      <w:r>
        <w:rPr>
          <w:rFonts w:asciiTheme="minorHAnsi" w:hAnsiTheme="minorHAnsi"/>
          <w:lang w:val="en-US"/>
        </w:rPr>
        <w:t xml:space="preserve"> NOW:</w:t>
      </w:r>
    </w:p>
    <w:p w:rsidR="001D6DEC" w:rsidRPr="00280043" w:rsidRDefault="00D762BC" w:rsidP="00C01E43">
      <w:pPr>
        <w:pStyle w:val="a4"/>
        <w:numPr>
          <w:ilvl w:val="0"/>
          <w:numId w:val="5"/>
        </w:numPr>
        <w:rPr>
          <w:rFonts w:asciiTheme="minorHAnsi" w:hAnsiTheme="minorHAnsi"/>
          <w:szCs w:val="24"/>
          <w:lang w:val="en-US" w:eastAsia="nl-NL"/>
        </w:rPr>
      </w:pPr>
      <w:r w:rsidRPr="00280043">
        <w:rPr>
          <w:rFonts w:asciiTheme="minorHAnsi" w:hAnsiTheme="minorHAnsi"/>
          <w:szCs w:val="24"/>
          <w:lang w:val="en-US" w:eastAsia="nl-NL"/>
        </w:rPr>
        <w:t>Introduction of civil marriage</w:t>
      </w:r>
    </w:p>
    <w:p w:rsidR="00D762BC" w:rsidRPr="00280043" w:rsidRDefault="00D762BC" w:rsidP="00C01E43">
      <w:pPr>
        <w:pStyle w:val="a5"/>
        <w:numPr>
          <w:ilvl w:val="0"/>
          <w:numId w:val="5"/>
        </w:numPr>
        <w:spacing w:after="0"/>
        <w:rPr>
          <w:sz w:val="24"/>
          <w:szCs w:val="24"/>
          <w:lang w:val="en-US"/>
        </w:rPr>
      </w:pPr>
      <w:r w:rsidRPr="00280043">
        <w:rPr>
          <w:sz w:val="24"/>
          <w:szCs w:val="24"/>
          <w:lang w:val="en-US"/>
        </w:rPr>
        <w:t xml:space="preserve">Abolishment of dowry </w:t>
      </w:r>
    </w:p>
    <w:p w:rsidR="00C01E43" w:rsidRPr="00280043" w:rsidRDefault="00C01E43" w:rsidP="00C01E43">
      <w:pPr>
        <w:pStyle w:val="a5"/>
        <w:numPr>
          <w:ilvl w:val="0"/>
          <w:numId w:val="5"/>
        </w:numPr>
        <w:spacing w:after="0"/>
        <w:rPr>
          <w:sz w:val="24"/>
          <w:szCs w:val="24"/>
          <w:lang w:val="en-US"/>
        </w:rPr>
      </w:pPr>
      <w:r w:rsidRPr="00280043">
        <w:rPr>
          <w:sz w:val="24"/>
          <w:szCs w:val="24"/>
          <w:lang w:val="en-US"/>
        </w:rPr>
        <w:t>Common decision on every matter arising in the common life</w:t>
      </w:r>
    </w:p>
    <w:p w:rsidR="00C01E43" w:rsidRPr="00280043" w:rsidRDefault="00C01E43" w:rsidP="00C01E43">
      <w:pPr>
        <w:pStyle w:val="a5"/>
        <w:numPr>
          <w:ilvl w:val="0"/>
          <w:numId w:val="5"/>
        </w:numPr>
        <w:spacing w:after="0"/>
        <w:rPr>
          <w:sz w:val="24"/>
          <w:szCs w:val="24"/>
          <w:lang w:val="en-US"/>
        </w:rPr>
      </w:pPr>
      <w:r w:rsidRPr="00280043">
        <w:rPr>
          <w:sz w:val="24"/>
          <w:szCs w:val="24"/>
          <w:lang w:val="en-US"/>
        </w:rPr>
        <w:t xml:space="preserve">Parental care instead of paternal authority </w:t>
      </w:r>
    </w:p>
    <w:p w:rsidR="001D6DEC" w:rsidRPr="00280043" w:rsidRDefault="001D6DEC" w:rsidP="00316D53">
      <w:pPr>
        <w:pStyle w:val="a5"/>
        <w:numPr>
          <w:ilvl w:val="0"/>
          <w:numId w:val="5"/>
        </w:numPr>
        <w:spacing w:after="0"/>
        <w:rPr>
          <w:sz w:val="24"/>
          <w:szCs w:val="24"/>
          <w:lang w:val="en-US"/>
        </w:rPr>
      </w:pPr>
      <w:r w:rsidRPr="00280043">
        <w:rPr>
          <w:sz w:val="24"/>
          <w:szCs w:val="24"/>
          <w:lang w:val="en-US"/>
        </w:rPr>
        <w:t>Medically assisted human reproduction (artificial insemination),</w:t>
      </w:r>
    </w:p>
    <w:p w:rsidR="00104203" w:rsidRPr="00280043" w:rsidRDefault="00104203" w:rsidP="00DF6541">
      <w:pPr>
        <w:pStyle w:val="a5"/>
        <w:numPr>
          <w:ilvl w:val="0"/>
          <w:numId w:val="3"/>
        </w:numPr>
        <w:spacing w:after="0"/>
        <w:jc w:val="both"/>
        <w:rPr>
          <w:color w:val="111111"/>
          <w:sz w:val="24"/>
          <w:szCs w:val="24"/>
          <w:lang w:val="en-US"/>
        </w:rPr>
      </w:pPr>
      <w:r w:rsidRPr="00280043">
        <w:rPr>
          <w:color w:val="111111"/>
          <w:sz w:val="24"/>
          <w:szCs w:val="24"/>
          <w:lang w:val="en-US"/>
        </w:rPr>
        <w:t xml:space="preserve">Post-mortem fertilization </w:t>
      </w:r>
      <w:r w:rsidR="00316D53" w:rsidRPr="00280043">
        <w:rPr>
          <w:color w:val="111111"/>
          <w:sz w:val="24"/>
          <w:szCs w:val="24"/>
          <w:lang w:val="en-US"/>
        </w:rPr>
        <w:t>permitted under strict presuppositions</w:t>
      </w:r>
    </w:p>
    <w:p w:rsidR="00291E77" w:rsidRPr="00280043" w:rsidRDefault="00104203" w:rsidP="00860D44">
      <w:pPr>
        <w:pStyle w:val="Web"/>
        <w:numPr>
          <w:ilvl w:val="0"/>
          <w:numId w:val="3"/>
        </w:numPr>
        <w:spacing w:before="0" w:beforeAutospacing="0" w:after="0" w:afterAutospacing="0" w:line="276" w:lineRule="auto"/>
        <w:jc w:val="both"/>
        <w:rPr>
          <w:rStyle w:val="a6"/>
          <w:rFonts w:asciiTheme="minorHAnsi" w:hAnsiTheme="minorHAnsi" w:cs="Arial"/>
          <w:color w:val="333333"/>
          <w:lang w:val="en-US"/>
        </w:rPr>
      </w:pPr>
      <w:r w:rsidRPr="00280043">
        <w:rPr>
          <w:rFonts w:asciiTheme="minorHAnsi" w:hAnsiTheme="minorHAnsi"/>
          <w:lang w:val="en-US"/>
        </w:rPr>
        <w:t>Surrogate motherhood</w:t>
      </w:r>
      <w:r w:rsidR="00DF6541" w:rsidRPr="00280043">
        <w:rPr>
          <w:rFonts w:asciiTheme="minorHAnsi" w:hAnsiTheme="minorHAnsi"/>
          <w:lang w:val="en-US"/>
        </w:rPr>
        <w:t xml:space="preserve"> </w:t>
      </w:r>
      <w:r w:rsidR="00316D53" w:rsidRPr="00280043">
        <w:rPr>
          <w:rFonts w:asciiTheme="minorHAnsi" w:hAnsiTheme="minorHAnsi"/>
          <w:lang w:val="en-GB"/>
        </w:rPr>
        <w:t>a woman, after a judicial allowance, may be pregnant with the child of another woman, if the latter is medically incapable to gestate</w:t>
      </w:r>
    </w:p>
    <w:p w:rsidR="00291E77" w:rsidRDefault="005F3F41" w:rsidP="005F3F41">
      <w:pPr>
        <w:rPr>
          <w:b/>
          <w:sz w:val="24"/>
          <w:szCs w:val="24"/>
          <w:lang w:val="en-US"/>
        </w:rPr>
      </w:pPr>
      <w:r w:rsidRPr="00280043">
        <w:rPr>
          <w:b/>
          <w:sz w:val="24"/>
          <w:szCs w:val="24"/>
          <w:lang w:val="en-US"/>
        </w:rPr>
        <w:t>Conclusions</w:t>
      </w:r>
    </w:p>
    <w:p w:rsidR="00F77F60" w:rsidRDefault="00F77F60" w:rsidP="00F77F60">
      <w:pPr>
        <w:jc w:val="both"/>
        <w:rPr>
          <w:lang w:val="en-AU"/>
        </w:rPr>
      </w:pPr>
      <w:r>
        <w:rPr>
          <w:lang w:val="en-AU"/>
        </w:rPr>
        <w:t>GCC presents imperfections. For example it does not regulate performance not duly fulfilled, as BGB does after its modernization, neither it regulates permanent contracts. It also includes some provisions of doubtful usefulness e.g. provisions on flock of bees.</w:t>
      </w:r>
      <w:r w:rsidRPr="00F77F60">
        <w:rPr>
          <w:lang w:val="en-AU"/>
        </w:rPr>
        <w:t xml:space="preserve"> </w:t>
      </w:r>
      <w:r>
        <w:rPr>
          <w:lang w:val="en-AU"/>
        </w:rPr>
        <w:t>Nevertheless GCC has faced successfully –with the help of jurisdiction and theoretical ideas- problems that have arisen during its over 70 years application.</w:t>
      </w:r>
    </w:p>
    <w:p w:rsidR="00EA7A7E" w:rsidRDefault="00EA7A7E" w:rsidP="00F77F60">
      <w:pPr>
        <w:jc w:val="both"/>
        <w:rPr>
          <w:b/>
          <w:sz w:val="24"/>
          <w:szCs w:val="24"/>
          <w:lang w:val="en-US"/>
        </w:rPr>
      </w:pPr>
      <w:r>
        <w:rPr>
          <w:lang w:val="en-AU"/>
        </w:rPr>
        <w:t>E. Poulou</w:t>
      </w:r>
    </w:p>
    <w:sectPr w:rsidR="00EA7A7E" w:rsidSect="002203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4357"/>
    <w:multiLevelType w:val="singleLevel"/>
    <w:tmpl w:val="56A6938A"/>
    <w:lvl w:ilvl="0">
      <w:start w:val="1"/>
      <w:numFmt w:val="lowerLetter"/>
      <w:lvlText w:val="%1)"/>
      <w:legacy w:legacy="1" w:legacySpace="0" w:legacyIndent="360"/>
      <w:lvlJc w:val="left"/>
      <w:pPr>
        <w:ind w:left="360" w:hanging="360"/>
      </w:pPr>
    </w:lvl>
  </w:abstractNum>
  <w:abstractNum w:abstractNumId="1">
    <w:nsid w:val="30420335"/>
    <w:multiLevelType w:val="hybridMultilevel"/>
    <w:tmpl w:val="2A0C6A50"/>
    <w:lvl w:ilvl="0" w:tplc="04080001">
      <w:start w:val="1"/>
      <w:numFmt w:val="bullet"/>
      <w:lvlText w:val=""/>
      <w:lvlJc w:val="left"/>
      <w:pPr>
        <w:ind w:left="1471" w:hanging="360"/>
      </w:pPr>
      <w:rPr>
        <w:rFonts w:ascii="Symbol" w:hAnsi="Symbol" w:hint="default"/>
      </w:rPr>
    </w:lvl>
    <w:lvl w:ilvl="1" w:tplc="04080003" w:tentative="1">
      <w:start w:val="1"/>
      <w:numFmt w:val="bullet"/>
      <w:lvlText w:val="o"/>
      <w:lvlJc w:val="left"/>
      <w:pPr>
        <w:ind w:left="2191" w:hanging="360"/>
      </w:pPr>
      <w:rPr>
        <w:rFonts w:ascii="Courier New" w:hAnsi="Courier New" w:cs="Courier New" w:hint="default"/>
      </w:rPr>
    </w:lvl>
    <w:lvl w:ilvl="2" w:tplc="04080005" w:tentative="1">
      <w:start w:val="1"/>
      <w:numFmt w:val="bullet"/>
      <w:lvlText w:val=""/>
      <w:lvlJc w:val="left"/>
      <w:pPr>
        <w:ind w:left="2911" w:hanging="360"/>
      </w:pPr>
      <w:rPr>
        <w:rFonts w:ascii="Wingdings" w:hAnsi="Wingdings" w:hint="default"/>
      </w:rPr>
    </w:lvl>
    <w:lvl w:ilvl="3" w:tplc="04080001" w:tentative="1">
      <w:start w:val="1"/>
      <w:numFmt w:val="bullet"/>
      <w:lvlText w:val=""/>
      <w:lvlJc w:val="left"/>
      <w:pPr>
        <w:ind w:left="3631" w:hanging="360"/>
      </w:pPr>
      <w:rPr>
        <w:rFonts w:ascii="Symbol" w:hAnsi="Symbol" w:hint="default"/>
      </w:rPr>
    </w:lvl>
    <w:lvl w:ilvl="4" w:tplc="04080003" w:tentative="1">
      <w:start w:val="1"/>
      <w:numFmt w:val="bullet"/>
      <w:lvlText w:val="o"/>
      <w:lvlJc w:val="left"/>
      <w:pPr>
        <w:ind w:left="4351" w:hanging="360"/>
      </w:pPr>
      <w:rPr>
        <w:rFonts w:ascii="Courier New" w:hAnsi="Courier New" w:cs="Courier New" w:hint="default"/>
      </w:rPr>
    </w:lvl>
    <w:lvl w:ilvl="5" w:tplc="04080005" w:tentative="1">
      <w:start w:val="1"/>
      <w:numFmt w:val="bullet"/>
      <w:lvlText w:val=""/>
      <w:lvlJc w:val="left"/>
      <w:pPr>
        <w:ind w:left="5071" w:hanging="360"/>
      </w:pPr>
      <w:rPr>
        <w:rFonts w:ascii="Wingdings" w:hAnsi="Wingdings" w:hint="default"/>
      </w:rPr>
    </w:lvl>
    <w:lvl w:ilvl="6" w:tplc="04080001" w:tentative="1">
      <w:start w:val="1"/>
      <w:numFmt w:val="bullet"/>
      <w:lvlText w:val=""/>
      <w:lvlJc w:val="left"/>
      <w:pPr>
        <w:ind w:left="5791" w:hanging="360"/>
      </w:pPr>
      <w:rPr>
        <w:rFonts w:ascii="Symbol" w:hAnsi="Symbol" w:hint="default"/>
      </w:rPr>
    </w:lvl>
    <w:lvl w:ilvl="7" w:tplc="04080003" w:tentative="1">
      <w:start w:val="1"/>
      <w:numFmt w:val="bullet"/>
      <w:lvlText w:val="o"/>
      <w:lvlJc w:val="left"/>
      <w:pPr>
        <w:ind w:left="6511" w:hanging="360"/>
      </w:pPr>
      <w:rPr>
        <w:rFonts w:ascii="Courier New" w:hAnsi="Courier New" w:cs="Courier New" w:hint="default"/>
      </w:rPr>
    </w:lvl>
    <w:lvl w:ilvl="8" w:tplc="04080005" w:tentative="1">
      <w:start w:val="1"/>
      <w:numFmt w:val="bullet"/>
      <w:lvlText w:val=""/>
      <w:lvlJc w:val="left"/>
      <w:pPr>
        <w:ind w:left="7231" w:hanging="360"/>
      </w:pPr>
      <w:rPr>
        <w:rFonts w:ascii="Wingdings" w:hAnsi="Wingdings" w:hint="default"/>
      </w:rPr>
    </w:lvl>
  </w:abstractNum>
  <w:abstractNum w:abstractNumId="2">
    <w:nsid w:val="36B45179"/>
    <w:multiLevelType w:val="hybridMultilevel"/>
    <w:tmpl w:val="A98293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AB68A4"/>
    <w:multiLevelType w:val="hybridMultilevel"/>
    <w:tmpl w:val="917EFFD0"/>
    <w:lvl w:ilvl="0" w:tplc="8910B496">
      <w:start w:val="4"/>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6863C47"/>
    <w:multiLevelType w:val="hybridMultilevel"/>
    <w:tmpl w:val="C50264A2"/>
    <w:lvl w:ilvl="0" w:tplc="1E0275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F15734"/>
    <w:multiLevelType w:val="hybridMultilevel"/>
    <w:tmpl w:val="621A04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2868"/>
    <w:rsid w:val="000547A5"/>
    <w:rsid w:val="00092B3B"/>
    <w:rsid w:val="00104203"/>
    <w:rsid w:val="00180B19"/>
    <w:rsid w:val="001A53D2"/>
    <w:rsid w:val="001D6DEC"/>
    <w:rsid w:val="002203A4"/>
    <w:rsid w:val="00280043"/>
    <w:rsid w:val="00291E77"/>
    <w:rsid w:val="002D4A72"/>
    <w:rsid w:val="00316D53"/>
    <w:rsid w:val="003602A9"/>
    <w:rsid w:val="003C781B"/>
    <w:rsid w:val="005A784E"/>
    <w:rsid w:val="005B3DBF"/>
    <w:rsid w:val="005F3F41"/>
    <w:rsid w:val="007E2BFB"/>
    <w:rsid w:val="007E2C6B"/>
    <w:rsid w:val="00830783"/>
    <w:rsid w:val="00860D44"/>
    <w:rsid w:val="00962868"/>
    <w:rsid w:val="00B31200"/>
    <w:rsid w:val="00C01E43"/>
    <w:rsid w:val="00D17A13"/>
    <w:rsid w:val="00D762BC"/>
    <w:rsid w:val="00DB67D9"/>
    <w:rsid w:val="00DF6541"/>
    <w:rsid w:val="00E8277D"/>
    <w:rsid w:val="00EA2AE9"/>
    <w:rsid w:val="00EA7A7E"/>
    <w:rsid w:val="00F3649A"/>
    <w:rsid w:val="00F77F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68"/>
  </w:style>
  <w:style w:type="paragraph" w:styleId="9">
    <w:name w:val="heading 9"/>
    <w:basedOn w:val="a"/>
    <w:next w:val="a"/>
    <w:link w:val="9Char"/>
    <w:uiPriority w:val="9"/>
    <w:semiHidden/>
    <w:unhideWhenUsed/>
    <w:qFormat/>
    <w:rsid w:val="00291E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Referência de rodapé,Texto de nota al pie,Appel note de bas de page,Footnotes refss,Footnote number,referencia nota al pie,BVI fnr,f,4_G,16 Point,Superscript 6 Point,Texto nota al pie,fr,sobrescrito,FZ,Refer’ncia de rodap™,F"/>
    <w:semiHidden/>
    <w:unhideWhenUsed/>
    <w:qFormat/>
    <w:rsid w:val="00962868"/>
    <w:rPr>
      <w:vertAlign w:val="superscript"/>
    </w:rPr>
  </w:style>
  <w:style w:type="paragraph" w:styleId="a4">
    <w:name w:val="Body Text"/>
    <w:basedOn w:val="a"/>
    <w:link w:val="Char"/>
    <w:rsid w:val="00962868"/>
    <w:pPr>
      <w:widowControl w:val="0"/>
      <w:tabs>
        <w:tab w:val="left" w:pos="1701"/>
      </w:tabs>
      <w:spacing w:after="0" w:line="360" w:lineRule="auto"/>
      <w:jc w:val="both"/>
    </w:pPr>
    <w:rPr>
      <w:rFonts w:ascii="Times New Roman" w:eastAsia="Times New Roman" w:hAnsi="Times New Roman" w:cs="Times New Roman"/>
      <w:sz w:val="24"/>
      <w:szCs w:val="20"/>
      <w:lang w:val="en-AU" w:eastAsia="el-GR"/>
    </w:rPr>
  </w:style>
  <w:style w:type="character" w:customStyle="1" w:styleId="Char">
    <w:name w:val="Σώμα κειμένου Char"/>
    <w:basedOn w:val="a0"/>
    <w:link w:val="a4"/>
    <w:rsid w:val="00962868"/>
    <w:rPr>
      <w:rFonts w:ascii="Times New Roman" w:eastAsia="Times New Roman" w:hAnsi="Times New Roman" w:cs="Times New Roman"/>
      <w:sz w:val="24"/>
      <w:szCs w:val="20"/>
      <w:lang w:val="en-AU" w:eastAsia="el-GR"/>
    </w:rPr>
  </w:style>
  <w:style w:type="paragraph" w:styleId="a5">
    <w:name w:val="List Paragraph"/>
    <w:basedOn w:val="a"/>
    <w:uiPriority w:val="34"/>
    <w:qFormat/>
    <w:rsid w:val="00291E77"/>
    <w:pPr>
      <w:ind w:left="720"/>
      <w:contextualSpacing/>
    </w:pPr>
  </w:style>
  <w:style w:type="paragraph" w:styleId="Web">
    <w:name w:val="Normal (Web)"/>
    <w:basedOn w:val="a"/>
    <w:uiPriority w:val="99"/>
    <w:unhideWhenUsed/>
    <w:rsid w:val="00291E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291E77"/>
    <w:rPr>
      <w:b/>
      <w:bCs/>
    </w:rPr>
  </w:style>
  <w:style w:type="paragraph" w:customStyle="1" w:styleId="ParaNum">
    <w:name w:val="ParaNum"/>
    <w:basedOn w:val="9"/>
    <w:next w:val="a4"/>
    <w:autoRedefine/>
    <w:qFormat/>
    <w:rsid w:val="00291E77"/>
    <w:pPr>
      <w:keepNext w:val="0"/>
      <w:keepLines w:val="0"/>
      <w:spacing w:before="40"/>
      <w:jc w:val="both"/>
    </w:pPr>
    <w:rPr>
      <w:rFonts w:asciiTheme="minorHAnsi" w:eastAsia="SimSun" w:hAnsiTheme="minorHAnsi" w:cs="Times New Roman"/>
      <w:i w:val="0"/>
      <w:color w:val="auto"/>
      <w:sz w:val="22"/>
      <w:szCs w:val="22"/>
      <w:lang w:val="en-US" w:eastAsia="nl-NL"/>
    </w:rPr>
  </w:style>
  <w:style w:type="character" w:customStyle="1" w:styleId="9Char">
    <w:name w:val="Επικεφαλίδα 9 Char"/>
    <w:basedOn w:val="a0"/>
    <w:link w:val="9"/>
    <w:uiPriority w:val="9"/>
    <w:semiHidden/>
    <w:rsid w:val="00291E7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3</cp:revision>
  <dcterms:created xsi:type="dcterms:W3CDTF">2021-12-01T15:27:00Z</dcterms:created>
  <dcterms:modified xsi:type="dcterms:W3CDTF">2022-10-22T17:34:00Z</dcterms:modified>
</cp:coreProperties>
</file>