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DF627" w14:textId="77777777" w:rsidR="00833922" w:rsidRPr="00355218" w:rsidRDefault="00833922" w:rsidP="001B1339">
      <w:pPr>
        <w:shd w:val="clear" w:color="auto" w:fill="FFFFFF"/>
        <w:spacing w:after="150" w:line="240" w:lineRule="auto"/>
        <w:jc w:val="center"/>
        <w:rPr>
          <w:rFonts w:ascii="Open Sans" w:eastAsia="Times New Roman" w:hAnsi="Open Sans" w:cs="Open Sans"/>
          <w:color w:val="555555"/>
          <w:kern w:val="0"/>
          <w:sz w:val="24"/>
          <w:szCs w:val="24"/>
          <w:lang w:val="fr-FR" w:eastAsia="en-GB"/>
          <w14:ligatures w14:val="none"/>
        </w:rPr>
      </w:pPr>
      <w:r w:rsidRPr="00355218">
        <w:rPr>
          <w:rFonts w:ascii="Open Sans" w:eastAsia="Times New Roman" w:hAnsi="Open Sans" w:cs="Open Sans"/>
          <w:color w:val="555555"/>
          <w:kern w:val="0"/>
          <w:sz w:val="24"/>
          <w:szCs w:val="24"/>
          <w:lang w:val="fr-FR" w:eastAsia="en-GB"/>
          <w14:ligatures w14:val="none"/>
        </w:rPr>
        <w:t>6410199 La diplomatie culturelle de la France au XXe siècle</w:t>
      </w:r>
    </w:p>
    <w:p w14:paraId="5199B656" w14:textId="32ED4EF3" w:rsidR="00C7088A" w:rsidRPr="0047796C" w:rsidRDefault="00C7088A" w:rsidP="00355218">
      <w:pPr>
        <w:shd w:val="clear" w:color="auto" w:fill="FFFFFF"/>
        <w:spacing w:after="0" w:line="276" w:lineRule="auto"/>
        <w:jc w:val="center"/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</w:pPr>
      <w:r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Année académique 202</w:t>
      </w:r>
      <w:r w:rsidR="00C404DF" w:rsidRPr="0047796C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5</w:t>
      </w:r>
      <w:r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-202</w:t>
      </w:r>
      <w:r w:rsidR="00C404DF" w:rsidRPr="0047796C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6</w:t>
      </w:r>
    </w:p>
    <w:p w14:paraId="20ECBDA8" w14:textId="5F8F0F20" w:rsidR="00244804" w:rsidRPr="00355218" w:rsidRDefault="00244804" w:rsidP="00355218">
      <w:pPr>
        <w:shd w:val="clear" w:color="auto" w:fill="FFFFFF"/>
        <w:spacing w:after="0" w:line="276" w:lineRule="auto"/>
        <w:jc w:val="center"/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</w:pPr>
      <w:r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Th</w:t>
      </w:r>
      <w:r w:rsidR="00355218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 xml:space="preserve">ématique du cours et guide de lecture </w:t>
      </w:r>
    </w:p>
    <w:p w14:paraId="76F9930C" w14:textId="76C089E9" w:rsidR="005A6997" w:rsidRPr="00833922" w:rsidRDefault="00355218" w:rsidP="00355218">
      <w:pPr>
        <w:shd w:val="clear" w:color="auto" w:fill="FFFFFF"/>
        <w:spacing w:after="0" w:line="276" w:lineRule="auto"/>
        <w:jc w:val="center"/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</w:pPr>
      <w:r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Chaque l</w:t>
      </w:r>
      <w:r w:rsidR="005A6997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undi (à partir de 2</w:t>
      </w:r>
      <w:r w:rsidR="00244804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8</w:t>
      </w:r>
      <w:r w:rsidR="005A6997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.</w:t>
      </w:r>
      <w:r w:rsidR="00244804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9</w:t>
      </w:r>
      <w:r w:rsidR="005A6997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) 15h00-18h00, salle 82</w:t>
      </w:r>
      <w:r w:rsidR="00244804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5</w:t>
      </w:r>
    </w:p>
    <w:p w14:paraId="18A9A54B" w14:textId="310BCB4B" w:rsidR="00833922" w:rsidRPr="00833922" w:rsidRDefault="00833922" w:rsidP="00F71065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</w:pP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 xml:space="preserve">                                                                                         </w:t>
      </w:r>
    </w:p>
    <w:p w14:paraId="3F36E40C" w14:textId="2AC1D71D" w:rsidR="00833922" w:rsidRPr="0047796C" w:rsidRDefault="00833922" w:rsidP="00F71065">
      <w:pPr>
        <w:shd w:val="clear" w:color="auto" w:fill="FFFFFF"/>
        <w:spacing w:after="0" w:line="240" w:lineRule="auto"/>
        <w:jc w:val="right"/>
        <w:rPr>
          <w:rFonts w:ascii="Open Sans" w:eastAsia="Times New Roman" w:hAnsi="Open Sans" w:cs="Open Sans"/>
          <w:color w:val="964F4F"/>
          <w:kern w:val="0"/>
          <w:sz w:val="16"/>
          <w:szCs w:val="16"/>
          <w:u w:val="single"/>
          <w:lang w:val="it-IT" w:eastAsia="en-GB"/>
          <w14:ligatures w14:val="none"/>
        </w:rPr>
      </w:pP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 xml:space="preserve">                                    </w:t>
      </w:r>
      <w:r w:rsidRPr="0047796C">
        <w:rPr>
          <w:rFonts w:ascii="Open Sans" w:eastAsia="Times New Roman" w:hAnsi="Open Sans" w:cs="Open Sans"/>
          <w:color w:val="555555"/>
          <w:kern w:val="0"/>
          <w:sz w:val="16"/>
          <w:szCs w:val="16"/>
          <w:lang w:val="it-IT" w:eastAsia="en-GB"/>
          <w14:ligatures w14:val="none"/>
        </w:rPr>
        <w:t>Nicolas Manitakis, </w:t>
      </w:r>
      <w:r>
        <w:fldChar w:fldCharType="begin"/>
      </w:r>
      <w:r w:rsidRPr="0047796C">
        <w:rPr>
          <w:lang w:val="it-IT"/>
        </w:rPr>
        <w:instrText>HYPERLINK "mailto:manitaki@frl.uoa.gr"</w:instrText>
      </w:r>
      <w:r>
        <w:fldChar w:fldCharType="separate"/>
      </w:r>
      <w:r w:rsidRPr="0047796C">
        <w:rPr>
          <w:rFonts w:ascii="Open Sans" w:eastAsia="Times New Roman" w:hAnsi="Open Sans" w:cs="Open Sans"/>
          <w:color w:val="964F4F"/>
          <w:kern w:val="0"/>
          <w:sz w:val="16"/>
          <w:szCs w:val="16"/>
          <w:u w:val="single"/>
          <w:lang w:val="it-IT" w:eastAsia="en-GB"/>
          <w14:ligatures w14:val="none"/>
        </w:rPr>
        <w:t>manitaki@frl.uoa.gr</w:t>
      </w:r>
      <w:r>
        <w:fldChar w:fldCharType="end"/>
      </w:r>
    </w:p>
    <w:p w14:paraId="62CA28CE" w14:textId="3CB24DF7" w:rsidR="00C7088A" w:rsidRPr="00C404DF" w:rsidRDefault="00C7088A" w:rsidP="00F71065">
      <w:pPr>
        <w:shd w:val="clear" w:color="auto" w:fill="FFFFFF"/>
        <w:spacing w:after="0" w:line="240" w:lineRule="auto"/>
        <w:jc w:val="right"/>
        <w:rPr>
          <w:rFonts w:ascii="Open Sans" w:eastAsia="Times New Roman" w:hAnsi="Open Sans" w:cs="Open Sans"/>
          <w:color w:val="555555"/>
          <w:kern w:val="0"/>
          <w:sz w:val="16"/>
          <w:szCs w:val="16"/>
          <w:lang w:eastAsia="en-GB"/>
          <w14:ligatures w14:val="none"/>
        </w:rPr>
      </w:pPr>
      <w:r w:rsidRPr="00C404DF">
        <w:rPr>
          <w:rFonts w:ascii="Open Sans" w:eastAsia="Times New Roman" w:hAnsi="Open Sans" w:cs="Open Sans"/>
          <w:color w:val="964F4F"/>
          <w:kern w:val="0"/>
          <w:sz w:val="16"/>
          <w:szCs w:val="16"/>
          <w:u w:val="single"/>
          <w:lang w:eastAsia="en-GB"/>
          <w14:ligatures w14:val="none"/>
        </w:rPr>
        <w:t>Bureau 815 (Lundi 18h00-19h00)</w:t>
      </w:r>
    </w:p>
    <w:p w14:paraId="37D763DF" w14:textId="77777777" w:rsidR="00833922" w:rsidRDefault="00833922" w:rsidP="00833922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</w:pPr>
      <w:r w:rsidRPr="00C404DF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>                                                                                   </w:t>
      </w:r>
    </w:p>
    <w:p w14:paraId="66D58E9B" w14:textId="34EF2212" w:rsidR="00355218" w:rsidRPr="00355218" w:rsidRDefault="00355218" w:rsidP="00355218">
      <w:pPr>
        <w:shd w:val="clear" w:color="auto" w:fill="FFFFFF"/>
        <w:spacing w:after="150" w:line="240" w:lineRule="auto"/>
        <w:jc w:val="center"/>
        <w:rPr>
          <w:rFonts w:ascii="Open Sans" w:eastAsia="Times New Roman" w:hAnsi="Open Sans" w:cs="Open Sans"/>
          <w:b/>
          <w:bCs/>
          <w:color w:val="555555"/>
          <w:kern w:val="0"/>
          <w:sz w:val="21"/>
          <w:szCs w:val="21"/>
          <w:lang w:val="fr-FR" w:eastAsia="en-GB"/>
          <w14:ligatures w14:val="none"/>
        </w:rPr>
      </w:pPr>
      <w:r w:rsidRPr="00355218">
        <w:rPr>
          <w:rFonts w:ascii="Open Sans" w:eastAsia="Times New Roman" w:hAnsi="Open Sans" w:cs="Open Sans"/>
          <w:b/>
          <w:bCs/>
          <w:color w:val="555555"/>
          <w:kern w:val="0"/>
          <w:sz w:val="21"/>
          <w:szCs w:val="21"/>
          <w:lang w:val="fr-FR" w:eastAsia="en-GB"/>
          <w14:ligatures w14:val="none"/>
        </w:rPr>
        <w:t>Thématique et calendrier du cours</w:t>
      </w:r>
    </w:p>
    <w:p w14:paraId="5D1F2EBD" w14:textId="581F1B91" w:rsidR="00833922" w:rsidRPr="00C7088A" w:rsidRDefault="00833922" w:rsidP="0083392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</w:pPr>
      <w:r w:rsidRPr="00833922">
        <w:rPr>
          <w:rFonts w:ascii="Open Sans" w:eastAsia="Times New Roman" w:hAnsi="Open Sans" w:cs="Open Sans"/>
          <w:b/>
          <w:bCs/>
          <w:color w:val="555555"/>
          <w:kern w:val="0"/>
          <w:sz w:val="21"/>
          <w:szCs w:val="21"/>
          <w:lang w:val="fr-FR" w:eastAsia="en-GB"/>
          <w14:ligatures w14:val="none"/>
        </w:rPr>
        <w:t>Diplomatie culturelle. Définitions d’un objet de recherche</w:t>
      </w: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.</w:t>
      </w:r>
      <w:r w:rsidR="00244804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 xml:space="preserve"> </w:t>
      </w:r>
      <w:r w:rsidR="00355218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28</w:t>
      </w:r>
      <w:r w:rsidR="00244804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.9</w:t>
      </w: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 </w:t>
      </w:r>
    </w:p>
    <w:p w14:paraId="1050E281" w14:textId="4D423F8E" w:rsidR="00833922" w:rsidRPr="00833922" w:rsidRDefault="00833922" w:rsidP="00212FB7">
      <w:pPr>
        <w:shd w:val="clear" w:color="auto" w:fill="FFFFFF"/>
        <w:spacing w:after="0" w:line="240" w:lineRule="auto"/>
        <w:ind w:firstLine="720"/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</w:pP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 xml:space="preserve">Lectures </w:t>
      </w:r>
      <w:proofErr w:type="spellStart"/>
      <w:r w:rsidR="007D4103"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>recommandées</w:t>
      </w:r>
      <w:proofErr w:type="spellEnd"/>
      <w:r w:rsidR="007D4103"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>:</w:t>
      </w:r>
    </w:p>
    <w:p w14:paraId="0A0E1A2D" w14:textId="34FE17DC" w:rsidR="00833922" w:rsidRPr="008F7C8F" w:rsidRDefault="00833922" w:rsidP="000D389F">
      <w:pPr>
        <w:pStyle w:val="ListParagraph"/>
        <w:numPr>
          <w:ilvl w:val="0"/>
          <w:numId w:val="2"/>
        </w:numPr>
        <w:pBdr>
          <w:bottom w:val="single" w:sz="6" w:space="11" w:color="DDDDDD"/>
        </w:pBdr>
        <w:shd w:val="clear" w:color="auto" w:fill="FFFFFF"/>
        <w:spacing w:after="0" w:line="240" w:lineRule="auto"/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</w:pPr>
      <w:r w:rsidRPr="008F7C8F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>M. Cummings, Cultural diplomacy, pp.1-15.</w:t>
      </w:r>
    </w:p>
    <w:p w14:paraId="5A0EE35F" w14:textId="77777777" w:rsidR="00833922" w:rsidRPr="00833922" w:rsidRDefault="00833922" w:rsidP="000D389F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</w:pP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>P. Goff, «Cultural diplomacy», pp. 1-19.</w:t>
      </w:r>
    </w:p>
    <w:p w14:paraId="0835A81B" w14:textId="77777777" w:rsidR="00833922" w:rsidRPr="00833922" w:rsidRDefault="00833922" w:rsidP="00833922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</w:pP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> </w:t>
      </w:r>
    </w:p>
    <w:p w14:paraId="0D7EB934" w14:textId="396EDAC0" w:rsidR="00833922" w:rsidRPr="00C7088A" w:rsidRDefault="00833922" w:rsidP="0083392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</w:pPr>
      <w:r w:rsidRPr="00833922">
        <w:rPr>
          <w:rFonts w:ascii="Open Sans" w:eastAsia="Times New Roman" w:hAnsi="Open Sans" w:cs="Open Sans"/>
          <w:b/>
          <w:bCs/>
          <w:color w:val="555555"/>
          <w:kern w:val="0"/>
          <w:sz w:val="21"/>
          <w:szCs w:val="21"/>
          <w:lang w:val="fr-FR" w:eastAsia="en-GB"/>
          <w14:ligatures w14:val="none"/>
        </w:rPr>
        <w:t>Diplomatie culturelle. Diplomatie publique. Quelle différence ?</w:t>
      </w:r>
      <w:r w:rsidR="00244804">
        <w:rPr>
          <w:rFonts w:ascii="Open Sans" w:eastAsia="Times New Roman" w:hAnsi="Open Sans" w:cs="Open Sans"/>
          <w:b/>
          <w:bCs/>
          <w:color w:val="555555"/>
          <w:kern w:val="0"/>
          <w:sz w:val="21"/>
          <w:szCs w:val="21"/>
          <w:lang w:val="fr-FR" w:eastAsia="en-GB"/>
          <w14:ligatures w14:val="none"/>
        </w:rPr>
        <w:t xml:space="preserve"> </w:t>
      </w: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 </w:t>
      </w:r>
      <w:r w:rsidR="00355218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5.10</w:t>
      </w:r>
    </w:p>
    <w:p w14:paraId="5193A581" w14:textId="77777777" w:rsidR="00833922" w:rsidRPr="00833922" w:rsidRDefault="00833922" w:rsidP="00212FB7">
      <w:pPr>
        <w:shd w:val="clear" w:color="auto" w:fill="FFFFFF"/>
        <w:spacing w:after="0" w:line="240" w:lineRule="auto"/>
        <w:ind w:firstLine="720"/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</w:pP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 xml:space="preserve">Lectures </w:t>
      </w:r>
      <w:proofErr w:type="spellStart"/>
      <w:proofErr w:type="gramStart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>obligatoires</w:t>
      </w:r>
      <w:proofErr w:type="spellEnd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> :</w:t>
      </w:r>
      <w:proofErr w:type="gramEnd"/>
    </w:p>
    <w:p w14:paraId="284126BF" w14:textId="77777777" w:rsidR="00833922" w:rsidRPr="001B1339" w:rsidRDefault="00833922" w:rsidP="000D389F">
      <w:pPr>
        <w:pStyle w:val="ListParagraph"/>
        <w:numPr>
          <w:ilvl w:val="0"/>
          <w:numId w:val="31"/>
        </w:num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</w:pPr>
      <w:r w:rsidRPr="001B1339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 xml:space="preserve">Chr. Lequesne, « La diplomatie publique : un objet </w:t>
      </w:r>
      <w:proofErr w:type="gramStart"/>
      <w:r w:rsidRPr="001B1339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nouveau?</w:t>
      </w:r>
      <w:proofErr w:type="gramEnd"/>
      <w:r w:rsidRPr="001B1339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 », pp.9-12.</w:t>
      </w:r>
    </w:p>
    <w:p w14:paraId="667841E7" w14:textId="77777777" w:rsidR="00833922" w:rsidRPr="00833922" w:rsidRDefault="00833922" w:rsidP="00212FB7">
      <w:pPr>
        <w:shd w:val="clear" w:color="auto" w:fill="FFFFFF"/>
        <w:spacing w:after="0" w:line="240" w:lineRule="auto"/>
        <w:ind w:firstLine="720"/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</w:pP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 xml:space="preserve">Lectures </w:t>
      </w:r>
      <w:proofErr w:type="spellStart"/>
      <w:proofErr w:type="gramStart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>recommandées</w:t>
      </w:r>
      <w:proofErr w:type="spellEnd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> :</w:t>
      </w:r>
      <w:proofErr w:type="gramEnd"/>
    </w:p>
    <w:p w14:paraId="2E8536ED" w14:textId="77777777" w:rsidR="00833922" w:rsidRPr="00833922" w:rsidRDefault="00833922" w:rsidP="000D389F">
      <w:pPr>
        <w:numPr>
          <w:ilvl w:val="0"/>
          <w:numId w:val="4"/>
        </w:numPr>
        <w:pBdr>
          <w:bottom w:val="single" w:sz="6" w:space="11" w:color="DDDDDD"/>
        </w:pBdr>
        <w:shd w:val="clear" w:color="auto" w:fill="FFFFFF"/>
        <w:spacing w:after="0" w:line="240" w:lineRule="auto"/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</w:pP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Gillalbert, « Diplomatie culturelle et diplomatie publique », pp. 1-19.</w:t>
      </w:r>
    </w:p>
    <w:p w14:paraId="7813602B" w14:textId="77777777" w:rsidR="001B1339" w:rsidRDefault="00833922" w:rsidP="000D389F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</w:pP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>Nye, Joseph, «Public Diplomacy and Soft Power», pp. 94-109.</w:t>
      </w:r>
    </w:p>
    <w:p w14:paraId="50CFB156" w14:textId="271BFF06" w:rsidR="00833922" w:rsidRPr="00833922" w:rsidRDefault="00833922" w:rsidP="001B1339">
      <w:pPr>
        <w:shd w:val="clear" w:color="auto" w:fill="FFFFFF"/>
        <w:spacing w:before="100" w:beforeAutospacing="1" w:after="150" w:afterAutospacing="1" w:line="240" w:lineRule="auto"/>
        <w:ind w:left="720"/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</w:pP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> </w:t>
      </w:r>
    </w:p>
    <w:p w14:paraId="4AD30FDA" w14:textId="3D7DEC84" w:rsidR="00833922" w:rsidRPr="00C7088A" w:rsidRDefault="001B1339" w:rsidP="0083392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b/>
          <w:bCs/>
          <w:color w:val="555555"/>
          <w:kern w:val="0"/>
          <w:sz w:val="21"/>
          <w:szCs w:val="21"/>
          <w:lang w:val="fr-FR" w:eastAsia="en-GB"/>
          <w14:ligatures w14:val="none"/>
        </w:rPr>
      </w:pPr>
      <w:r>
        <w:rPr>
          <w:rFonts w:ascii="Open Sans" w:eastAsia="Times New Roman" w:hAnsi="Open Sans" w:cs="Open Sans"/>
          <w:b/>
          <w:bCs/>
          <w:color w:val="555555"/>
          <w:kern w:val="0"/>
          <w:sz w:val="21"/>
          <w:szCs w:val="21"/>
          <w:lang w:val="fr-FR" w:eastAsia="en-GB"/>
          <w14:ligatures w14:val="none"/>
        </w:rPr>
        <w:t xml:space="preserve">La diplomatie de la langue. </w:t>
      </w:r>
      <w:r w:rsidR="00833922" w:rsidRPr="00833922">
        <w:rPr>
          <w:rFonts w:ascii="Open Sans" w:eastAsia="Times New Roman" w:hAnsi="Open Sans" w:cs="Open Sans"/>
          <w:b/>
          <w:bCs/>
          <w:color w:val="555555"/>
          <w:kern w:val="0"/>
          <w:sz w:val="21"/>
          <w:szCs w:val="21"/>
          <w:lang w:val="fr-FR" w:eastAsia="en-GB"/>
          <w14:ligatures w14:val="none"/>
        </w:rPr>
        <w:t xml:space="preserve">Les acteurs non étatiques et la diplomatie culturelle. </w:t>
      </w:r>
      <w:r w:rsidR="00355218" w:rsidRPr="00355218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1</w:t>
      </w:r>
      <w:r w:rsidR="00355218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2</w:t>
      </w:r>
      <w:r w:rsidR="00355218" w:rsidRPr="00355218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.10</w:t>
      </w:r>
    </w:p>
    <w:p w14:paraId="7DD1D1F1" w14:textId="354BBF9C" w:rsidR="00833922" w:rsidRPr="00833922" w:rsidRDefault="00833922" w:rsidP="000D389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</w:pPr>
      <w:r w:rsidRPr="00C7088A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 </w:t>
      </w:r>
      <w:r w:rsidR="00212FB7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ab/>
      </w: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 xml:space="preserve">Lectures </w:t>
      </w:r>
      <w:proofErr w:type="spellStart"/>
      <w:proofErr w:type="gramStart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>obligatoires</w:t>
      </w:r>
      <w:proofErr w:type="spellEnd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> :</w:t>
      </w:r>
      <w:proofErr w:type="gramEnd"/>
    </w:p>
    <w:p w14:paraId="756FF59F" w14:textId="77777777" w:rsidR="00833922" w:rsidRPr="00833922" w:rsidRDefault="00833922" w:rsidP="000D389F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555555"/>
          <w:kern w:val="0"/>
          <w:sz w:val="21"/>
          <w:szCs w:val="21"/>
          <w:lang w:val="el-GR" w:eastAsia="en-GB"/>
          <w14:ligatures w14:val="none"/>
        </w:rPr>
      </w:pP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>N</w:t>
      </w: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el-GR" w:eastAsia="en-GB"/>
          <w14:ligatures w14:val="none"/>
        </w:rPr>
        <w:t xml:space="preserve">. </w:t>
      </w:r>
      <w:proofErr w:type="spellStart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el-GR" w:eastAsia="en-GB"/>
          <w14:ligatures w14:val="none"/>
        </w:rPr>
        <w:t>Μανιτάκης</w:t>
      </w:r>
      <w:proofErr w:type="spellEnd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el-GR" w:eastAsia="en-GB"/>
          <w14:ligatures w14:val="none"/>
        </w:rPr>
        <w:t>,</w:t>
      </w: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> </w:t>
      </w:r>
      <w:r w:rsidRPr="00833922">
        <w:rPr>
          <w:rFonts w:ascii="Open Sans" w:eastAsia="Times New Roman" w:hAnsi="Open Sans" w:cs="Open Sans"/>
          <w:i/>
          <w:iCs/>
          <w:color w:val="555555"/>
          <w:kern w:val="0"/>
          <w:sz w:val="21"/>
          <w:szCs w:val="21"/>
          <w:lang w:val="el-GR" w:eastAsia="en-GB"/>
          <w14:ligatures w14:val="none"/>
        </w:rPr>
        <w:t>Γαλλικό Ινστιτούτο</w:t>
      </w: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el-GR" w:eastAsia="en-GB"/>
          <w14:ligatures w14:val="none"/>
        </w:rPr>
        <w:t>, σ. 97-100, 147-162.</w:t>
      </w:r>
    </w:p>
    <w:p w14:paraId="142EB631" w14:textId="360282FD" w:rsidR="00833922" w:rsidRPr="00833922" w:rsidRDefault="00833922" w:rsidP="000D389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</w:pP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> </w:t>
      </w:r>
      <w:r w:rsidR="00212FB7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ab/>
      </w: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 xml:space="preserve">Lectures </w:t>
      </w:r>
      <w:proofErr w:type="spellStart"/>
      <w:proofErr w:type="gramStart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>recommandées</w:t>
      </w:r>
      <w:proofErr w:type="spellEnd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> :</w:t>
      </w:r>
      <w:proofErr w:type="gramEnd"/>
    </w:p>
    <w:p w14:paraId="5F1029F3" w14:textId="23CEADE4" w:rsidR="00833922" w:rsidRPr="00833922" w:rsidRDefault="00833922" w:rsidP="000D389F">
      <w:pPr>
        <w:numPr>
          <w:ilvl w:val="0"/>
          <w:numId w:val="7"/>
        </w:numPr>
        <w:pBdr>
          <w:bottom w:val="single" w:sz="6" w:space="11" w:color="DDDDDD"/>
        </w:pBdr>
        <w:shd w:val="clear" w:color="auto" w:fill="FFFFFF"/>
        <w:spacing w:after="0" w:line="240" w:lineRule="auto"/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</w:pP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 xml:space="preserve">F. </w:t>
      </w:r>
      <w:proofErr w:type="spellStart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Chaubet</w:t>
      </w:r>
      <w:proofErr w:type="spellEnd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, « L'Alliance française ou la diplomatie de la langue (1883-1914) », </w:t>
      </w:r>
      <w:r w:rsidRPr="00833922">
        <w:rPr>
          <w:rFonts w:ascii="Open Sans" w:eastAsia="Times New Roman" w:hAnsi="Open Sans" w:cs="Open Sans"/>
          <w:i/>
          <w:iCs/>
          <w:color w:val="555555"/>
          <w:kern w:val="0"/>
          <w:sz w:val="21"/>
          <w:szCs w:val="21"/>
          <w:lang w:val="fr-FR" w:eastAsia="en-GB"/>
          <w14:ligatures w14:val="none"/>
        </w:rPr>
        <w:t>Revue Historique</w:t>
      </w: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, 2004, No. 306/4, pp. 763-785</w:t>
      </w:r>
    </w:p>
    <w:p w14:paraId="0A26394E" w14:textId="77777777" w:rsidR="00833922" w:rsidRPr="00833922" w:rsidRDefault="00833922" w:rsidP="000D389F">
      <w:pPr>
        <w:numPr>
          <w:ilvl w:val="0"/>
          <w:numId w:val="7"/>
        </w:numPr>
        <w:pBdr>
          <w:bottom w:val="single" w:sz="6" w:space="11" w:color="DDDDDD"/>
        </w:pBdr>
        <w:shd w:val="clear" w:color="auto" w:fill="FFFFFF"/>
        <w:spacing w:after="0" w:line="240" w:lineRule="auto"/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</w:pP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 xml:space="preserve">V. </w:t>
      </w:r>
      <w:proofErr w:type="spellStart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Spaëth</w:t>
      </w:r>
      <w:proofErr w:type="spellEnd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,</w:t>
      </w:r>
      <w:proofErr w:type="gramStart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 xml:space="preserve"> «Mondialisation</w:t>
      </w:r>
      <w:proofErr w:type="gramEnd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 xml:space="preserve"> du </w:t>
      </w:r>
      <w:proofErr w:type="gramStart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français»</w:t>
      </w:r>
      <w:proofErr w:type="gramEnd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, pp. 56-65.</w:t>
      </w:r>
    </w:p>
    <w:p w14:paraId="48F153D0" w14:textId="3CDF6AA2" w:rsidR="00833922" w:rsidRPr="00833922" w:rsidRDefault="00833922" w:rsidP="000D389F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</w:pP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 xml:space="preserve">A. </w:t>
      </w:r>
      <w:proofErr w:type="spellStart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Dubosclard</w:t>
      </w:r>
      <w:proofErr w:type="spellEnd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, « L’Alliance Française aux États-Unis », pp. 117-137.</w:t>
      </w:r>
    </w:p>
    <w:p w14:paraId="6D29250E" w14:textId="0D401380" w:rsidR="00833922" w:rsidRPr="00833922" w:rsidRDefault="00833922" w:rsidP="00833922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b/>
          <w:bCs/>
          <w:color w:val="555555"/>
          <w:kern w:val="0"/>
          <w:sz w:val="21"/>
          <w:szCs w:val="21"/>
          <w:lang w:val="fr-FR" w:eastAsia="en-GB"/>
          <w14:ligatures w14:val="none"/>
        </w:rPr>
      </w:pPr>
      <w:r w:rsidRPr="00833922">
        <w:rPr>
          <w:rFonts w:ascii="Open Sans" w:eastAsia="Times New Roman" w:hAnsi="Open Sans" w:cs="Open Sans"/>
          <w:b/>
          <w:bCs/>
          <w:color w:val="555555"/>
          <w:kern w:val="0"/>
          <w:sz w:val="21"/>
          <w:szCs w:val="21"/>
          <w:lang w:val="fr-FR" w:eastAsia="en-GB"/>
          <w14:ligatures w14:val="none"/>
        </w:rPr>
        <w:t>La diplomatie culturelle de l’Etat françai</w:t>
      </w:r>
      <w:r w:rsidR="001B1339" w:rsidRPr="001B1339">
        <w:rPr>
          <w:rFonts w:ascii="Open Sans" w:eastAsia="Times New Roman" w:hAnsi="Open Sans" w:cs="Open Sans"/>
          <w:b/>
          <w:bCs/>
          <w:color w:val="555555"/>
          <w:kern w:val="0"/>
          <w:sz w:val="21"/>
          <w:szCs w:val="21"/>
          <w:lang w:val="fr-FR" w:eastAsia="en-GB"/>
          <w14:ligatures w14:val="none"/>
        </w:rPr>
        <w:t>s</w:t>
      </w:r>
      <w:r w:rsidRPr="00833922">
        <w:rPr>
          <w:rFonts w:ascii="Open Sans" w:eastAsia="Times New Roman" w:hAnsi="Open Sans" w:cs="Open Sans"/>
          <w:b/>
          <w:bCs/>
          <w:color w:val="555555"/>
          <w:kern w:val="0"/>
          <w:sz w:val="21"/>
          <w:szCs w:val="21"/>
          <w:lang w:val="fr-FR" w:eastAsia="en-GB"/>
          <w14:ligatures w14:val="none"/>
        </w:rPr>
        <w:t> </w:t>
      </w:r>
      <w:r w:rsidR="00355218" w:rsidRPr="00355218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19.10</w:t>
      </w:r>
    </w:p>
    <w:p w14:paraId="5E7F89C3" w14:textId="77777777" w:rsidR="00833922" w:rsidRPr="00833922" w:rsidRDefault="00833922" w:rsidP="00212FB7">
      <w:pPr>
        <w:shd w:val="clear" w:color="auto" w:fill="FFFFFF"/>
        <w:spacing w:after="0" w:line="240" w:lineRule="auto"/>
        <w:ind w:firstLine="720"/>
        <w:contextualSpacing/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</w:pP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 xml:space="preserve">Lectures </w:t>
      </w:r>
      <w:proofErr w:type="spellStart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>obligatoires</w:t>
      </w:r>
      <w:proofErr w:type="spellEnd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>:</w:t>
      </w:r>
    </w:p>
    <w:p w14:paraId="5DD4EB75" w14:textId="60D42CE0" w:rsidR="00833922" w:rsidRPr="00212FB7" w:rsidRDefault="00833922" w:rsidP="000D389F">
      <w:pPr>
        <w:pStyle w:val="ListParagraph"/>
        <w:numPr>
          <w:ilvl w:val="0"/>
          <w:numId w:val="29"/>
        </w:num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</w:pPr>
      <w:r w:rsidRPr="001B1339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« Un soft power à la française : la diplomatie culturelle et linguistique » dans Nicolas Beaupré</w:t>
      </w:r>
      <w:r w:rsidRPr="001B1339">
        <w:rPr>
          <w:rFonts w:ascii="Open Sans" w:eastAsia="Times New Roman" w:hAnsi="Open Sans" w:cs="Open Sans"/>
          <w:i/>
          <w:iCs/>
          <w:color w:val="555555"/>
          <w:kern w:val="0"/>
          <w:sz w:val="21"/>
          <w:szCs w:val="21"/>
          <w:lang w:val="fr-FR" w:eastAsia="en-GB"/>
          <w14:ligatures w14:val="none"/>
        </w:rPr>
        <w:t xml:space="preserve">, Histoire de la France. </w:t>
      </w:r>
      <w:r w:rsidRPr="00212FB7">
        <w:rPr>
          <w:rFonts w:ascii="Open Sans" w:eastAsia="Times New Roman" w:hAnsi="Open Sans" w:cs="Open Sans"/>
          <w:i/>
          <w:iCs/>
          <w:color w:val="555555"/>
          <w:kern w:val="0"/>
          <w:sz w:val="21"/>
          <w:szCs w:val="21"/>
          <w:lang w:val="fr-FR" w:eastAsia="en-GB"/>
          <w14:ligatures w14:val="none"/>
        </w:rPr>
        <w:t>Les Grandes Guerres</w:t>
      </w:r>
      <w:r w:rsidRPr="00212FB7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, Paris, Belin, 2012, pp. 551-557</w:t>
      </w:r>
    </w:p>
    <w:p w14:paraId="2E9C8DA1" w14:textId="148E61D4" w:rsidR="00833922" w:rsidRPr="00833922" w:rsidRDefault="00833922" w:rsidP="000D389F">
      <w:pPr>
        <w:shd w:val="clear" w:color="auto" w:fill="FFFFFF"/>
        <w:spacing w:after="0" w:line="240" w:lineRule="auto"/>
        <w:contextualSpacing/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</w:pPr>
      <w:r w:rsidRPr="00212FB7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 </w:t>
      </w:r>
      <w:r w:rsidR="00212FB7" w:rsidRPr="00212FB7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ab/>
      </w: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 xml:space="preserve">Lectures </w:t>
      </w:r>
      <w:proofErr w:type="spellStart"/>
      <w:proofErr w:type="gramStart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>recommandées</w:t>
      </w:r>
      <w:proofErr w:type="spellEnd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> :</w:t>
      </w:r>
      <w:proofErr w:type="gramEnd"/>
    </w:p>
    <w:p w14:paraId="46F21787" w14:textId="77777777" w:rsidR="00833922" w:rsidRPr="00833922" w:rsidRDefault="00833922" w:rsidP="000D389F">
      <w:pPr>
        <w:numPr>
          <w:ilvl w:val="0"/>
          <w:numId w:val="9"/>
        </w:numPr>
        <w:pBdr>
          <w:bottom w:val="single" w:sz="6" w:space="11" w:color="DDDDDD"/>
        </w:pBdr>
        <w:shd w:val="clear" w:color="auto" w:fill="FFFFFF"/>
        <w:spacing w:after="0" w:line="240" w:lineRule="auto"/>
        <w:contextualSpacing/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</w:pP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lastRenderedPageBreak/>
        <w:t xml:space="preserve">A. </w:t>
      </w:r>
      <w:proofErr w:type="spellStart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Marès</w:t>
      </w:r>
      <w:proofErr w:type="spellEnd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, Puissance et présence culturelle »</w:t>
      </w:r>
    </w:p>
    <w:p w14:paraId="507D7F2B" w14:textId="77777777" w:rsidR="00833922" w:rsidRPr="00833922" w:rsidRDefault="00833922" w:rsidP="000D389F">
      <w:pPr>
        <w:numPr>
          <w:ilvl w:val="0"/>
          <w:numId w:val="9"/>
        </w:numPr>
        <w:shd w:val="clear" w:color="auto" w:fill="FFFFFF"/>
        <w:spacing w:after="0" w:line="240" w:lineRule="auto"/>
        <w:contextualSpacing/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</w:pP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R. Frank, « La machine diplomatique », pp. 325-348.</w:t>
      </w:r>
    </w:p>
    <w:p w14:paraId="79846863" w14:textId="019BEBD8" w:rsidR="00833922" w:rsidRPr="00833922" w:rsidRDefault="00833922" w:rsidP="00833922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</w:pP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                              </w:t>
      </w:r>
    </w:p>
    <w:p w14:paraId="67A5A103" w14:textId="251A620B" w:rsidR="00833922" w:rsidRPr="00C7088A" w:rsidRDefault="00833922" w:rsidP="0083392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</w:pPr>
      <w:r w:rsidRPr="00833922">
        <w:rPr>
          <w:rFonts w:ascii="Open Sans" w:eastAsia="Times New Roman" w:hAnsi="Open Sans" w:cs="Open Sans"/>
          <w:b/>
          <w:bCs/>
          <w:color w:val="555555"/>
          <w:kern w:val="0"/>
          <w:sz w:val="21"/>
          <w:szCs w:val="21"/>
          <w:lang w:val="fr-FR" w:eastAsia="en-GB"/>
          <w14:ligatures w14:val="none"/>
        </w:rPr>
        <w:t>Les Instituts Français à l’étranger : l’émergence d’un nouveau type d’institution</w:t>
      </w:r>
      <w:r w:rsidR="00355218">
        <w:rPr>
          <w:rFonts w:ascii="Open Sans" w:eastAsia="Times New Roman" w:hAnsi="Open Sans" w:cs="Open Sans"/>
          <w:b/>
          <w:bCs/>
          <w:color w:val="555555"/>
          <w:kern w:val="0"/>
          <w:sz w:val="21"/>
          <w:szCs w:val="21"/>
          <w:lang w:val="fr-FR" w:eastAsia="en-GB"/>
          <w14:ligatures w14:val="none"/>
        </w:rPr>
        <w:t xml:space="preserve"> </w:t>
      </w:r>
      <w:r w:rsidR="00355218" w:rsidRPr="00355218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26.10</w:t>
      </w:r>
    </w:p>
    <w:p w14:paraId="581EE474" w14:textId="77777777" w:rsidR="00833922" w:rsidRPr="00833922" w:rsidRDefault="00833922" w:rsidP="00212FB7">
      <w:pPr>
        <w:shd w:val="clear" w:color="auto" w:fill="FFFFFF"/>
        <w:spacing w:after="0" w:line="240" w:lineRule="auto"/>
        <w:ind w:firstLine="720"/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</w:pP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 xml:space="preserve">Lectures </w:t>
      </w:r>
      <w:proofErr w:type="spellStart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>obligatoires</w:t>
      </w:r>
      <w:proofErr w:type="spellEnd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>:</w:t>
      </w:r>
    </w:p>
    <w:p w14:paraId="342F135A" w14:textId="6FA926AF" w:rsidR="00833922" w:rsidRPr="00833922" w:rsidRDefault="00833922" w:rsidP="00355218">
      <w:pPr>
        <w:numPr>
          <w:ilvl w:val="0"/>
          <w:numId w:val="11"/>
        </w:numPr>
        <w:pBdr>
          <w:bottom w:val="single" w:sz="6" w:space="11" w:color="DDDDDD"/>
        </w:pBdr>
        <w:shd w:val="clear" w:color="auto" w:fill="FFFFFF"/>
        <w:spacing w:after="0" w:line="240" w:lineRule="auto"/>
        <w:rPr>
          <w:rFonts w:ascii="Open Sans" w:eastAsia="Times New Roman" w:hAnsi="Open Sans" w:cs="Open Sans"/>
          <w:color w:val="555555"/>
          <w:kern w:val="0"/>
          <w:sz w:val="21"/>
          <w:szCs w:val="21"/>
          <w:lang w:val="el-GR" w:eastAsia="en-GB"/>
          <w14:ligatures w14:val="none"/>
        </w:rPr>
      </w:pP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el-GR" w:eastAsia="en-GB"/>
          <w14:ligatures w14:val="none"/>
        </w:rPr>
        <w:t xml:space="preserve">Ν. </w:t>
      </w:r>
      <w:proofErr w:type="spellStart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el-GR" w:eastAsia="en-GB"/>
          <w14:ligatures w14:val="none"/>
        </w:rPr>
        <w:t>Μανιτάκης</w:t>
      </w:r>
      <w:proofErr w:type="spellEnd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el-GR" w:eastAsia="en-GB"/>
          <w14:ligatures w14:val="none"/>
        </w:rPr>
        <w:t>,</w:t>
      </w: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> </w:t>
      </w:r>
      <w:r w:rsidRPr="00833922">
        <w:rPr>
          <w:rFonts w:ascii="Open Sans" w:eastAsia="Times New Roman" w:hAnsi="Open Sans" w:cs="Open Sans"/>
          <w:i/>
          <w:iCs/>
          <w:color w:val="555555"/>
          <w:kern w:val="0"/>
          <w:sz w:val="21"/>
          <w:szCs w:val="21"/>
          <w:lang w:val="el-GR" w:eastAsia="en-GB"/>
          <w14:ligatures w14:val="none"/>
        </w:rPr>
        <w:t>Γαλλικό Ινστιτούτο</w:t>
      </w: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el-GR" w:eastAsia="en-GB"/>
          <w14:ligatures w14:val="none"/>
        </w:rPr>
        <w:t>, σ .39-45</w:t>
      </w:r>
    </w:p>
    <w:p w14:paraId="0D063C0A" w14:textId="77777777" w:rsidR="00833922" w:rsidRPr="00833922" w:rsidRDefault="00833922" w:rsidP="00355218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</w:pPr>
      <w:proofErr w:type="spellStart"/>
      <w:proofErr w:type="gramStart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N.Beaupré</w:t>
      </w:r>
      <w:proofErr w:type="spellEnd"/>
      <w:proofErr w:type="gramEnd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, </w:t>
      </w:r>
      <w:r w:rsidRPr="00833922">
        <w:rPr>
          <w:rFonts w:ascii="Open Sans" w:eastAsia="Times New Roman" w:hAnsi="Open Sans" w:cs="Open Sans"/>
          <w:i/>
          <w:iCs/>
          <w:color w:val="555555"/>
          <w:kern w:val="0"/>
          <w:sz w:val="21"/>
          <w:szCs w:val="21"/>
          <w:lang w:val="fr-FR" w:eastAsia="en-GB"/>
          <w14:ligatures w14:val="none"/>
        </w:rPr>
        <w:t>Histoire de la France</w:t>
      </w: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, pp. 551-557.</w:t>
      </w:r>
    </w:p>
    <w:p w14:paraId="433A0507" w14:textId="77777777" w:rsidR="00833922" w:rsidRPr="00833922" w:rsidRDefault="00833922" w:rsidP="00355218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</w:pP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 </w:t>
      </w:r>
    </w:p>
    <w:p w14:paraId="23DFBCA1" w14:textId="77777777" w:rsidR="00833922" w:rsidRPr="00833922" w:rsidRDefault="00833922" w:rsidP="00212FB7">
      <w:pPr>
        <w:shd w:val="clear" w:color="auto" w:fill="FFFFFF"/>
        <w:spacing w:after="0" w:line="240" w:lineRule="auto"/>
        <w:ind w:firstLine="720"/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</w:pP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Lectures recommandées :</w:t>
      </w:r>
    </w:p>
    <w:p w14:paraId="59543338" w14:textId="77777777" w:rsidR="00833922" w:rsidRPr="001B1339" w:rsidRDefault="00833922" w:rsidP="00355218">
      <w:pPr>
        <w:pStyle w:val="ListParagraph"/>
        <w:numPr>
          <w:ilvl w:val="0"/>
          <w:numId w:val="30"/>
        </w:numPr>
        <w:shd w:val="clear" w:color="auto" w:fill="FFFFFF"/>
        <w:spacing w:after="0" w:line="240" w:lineRule="auto"/>
        <w:contextualSpacing w:val="0"/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</w:pPr>
      <w:r w:rsidRPr="001B1339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>Α</w:t>
      </w:r>
      <w:r w:rsidRPr="001B1339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 xml:space="preserve">. </w:t>
      </w:r>
      <w:proofErr w:type="spellStart"/>
      <w:r w:rsidRPr="001B1339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Guénard</w:t>
      </w:r>
      <w:proofErr w:type="spellEnd"/>
      <w:r w:rsidRPr="001B1339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, «La politique culturelle française vis-à-vis des Etats balkaniques», pp. 143</w:t>
      </w:r>
    </w:p>
    <w:p w14:paraId="0E3DD72B" w14:textId="77777777" w:rsidR="00833922" w:rsidRPr="00833922" w:rsidRDefault="00833922" w:rsidP="00833922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</w:pP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 </w:t>
      </w:r>
    </w:p>
    <w:p w14:paraId="75744EB4" w14:textId="577318C0" w:rsidR="00833922" w:rsidRPr="00C7088A" w:rsidRDefault="00833922" w:rsidP="0083392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</w:pPr>
      <w:r w:rsidRPr="00833922">
        <w:rPr>
          <w:rFonts w:ascii="Open Sans" w:eastAsia="Times New Roman" w:hAnsi="Open Sans" w:cs="Open Sans"/>
          <w:b/>
          <w:bCs/>
          <w:color w:val="555555"/>
          <w:kern w:val="0"/>
          <w:sz w:val="21"/>
          <w:szCs w:val="21"/>
          <w:lang w:val="fr-FR" w:eastAsia="en-GB"/>
          <w14:ligatures w14:val="none"/>
        </w:rPr>
        <w:t>Une étude de cas : l’Institut Français d’Athènes (1915-1946)</w:t>
      </w:r>
      <w:r w:rsidR="00A204D3">
        <w:rPr>
          <w:rFonts w:ascii="Open Sans" w:eastAsia="Times New Roman" w:hAnsi="Open Sans" w:cs="Open Sans"/>
          <w:b/>
          <w:bCs/>
          <w:color w:val="555555"/>
          <w:kern w:val="0"/>
          <w:sz w:val="21"/>
          <w:szCs w:val="21"/>
          <w:lang w:val="fr-FR" w:eastAsia="en-GB"/>
          <w14:ligatures w14:val="none"/>
        </w:rPr>
        <w:t xml:space="preserve"> </w:t>
      </w:r>
      <w:r w:rsidR="00355218" w:rsidRPr="00355218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2.11</w:t>
      </w: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 </w:t>
      </w:r>
    </w:p>
    <w:p w14:paraId="09FC578A" w14:textId="77777777" w:rsidR="00833922" w:rsidRPr="00833922" w:rsidRDefault="00833922" w:rsidP="00212FB7">
      <w:pPr>
        <w:shd w:val="clear" w:color="auto" w:fill="FFFFFF"/>
        <w:spacing w:after="0" w:line="240" w:lineRule="auto"/>
        <w:ind w:firstLine="720"/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</w:pP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 xml:space="preserve">Lectures </w:t>
      </w:r>
      <w:proofErr w:type="spellStart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>obligatoires</w:t>
      </w:r>
      <w:proofErr w:type="spellEnd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>:</w:t>
      </w:r>
    </w:p>
    <w:p w14:paraId="30B6FE42" w14:textId="77777777" w:rsidR="00833922" w:rsidRDefault="00833922" w:rsidP="000D389F">
      <w:pPr>
        <w:pStyle w:val="ListParagraph"/>
        <w:numPr>
          <w:ilvl w:val="0"/>
          <w:numId w:val="32"/>
        </w:num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555555"/>
          <w:kern w:val="0"/>
          <w:sz w:val="21"/>
          <w:szCs w:val="21"/>
          <w:lang w:val="el-GR" w:eastAsia="en-GB"/>
          <w14:ligatures w14:val="none"/>
        </w:rPr>
      </w:pPr>
      <w:r w:rsidRPr="001B1339">
        <w:rPr>
          <w:rFonts w:ascii="Open Sans" w:eastAsia="Times New Roman" w:hAnsi="Open Sans" w:cs="Open Sans"/>
          <w:color w:val="555555"/>
          <w:kern w:val="0"/>
          <w:sz w:val="21"/>
          <w:szCs w:val="21"/>
          <w:lang w:val="el-GR" w:eastAsia="en-GB"/>
          <w14:ligatures w14:val="none"/>
        </w:rPr>
        <w:t xml:space="preserve">Ν. </w:t>
      </w:r>
      <w:proofErr w:type="spellStart"/>
      <w:r w:rsidRPr="001B1339">
        <w:rPr>
          <w:rFonts w:ascii="Open Sans" w:eastAsia="Times New Roman" w:hAnsi="Open Sans" w:cs="Open Sans"/>
          <w:color w:val="555555"/>
          <w:kern w:val="0"/>
          <w:sz w:val="21"/>
          <w:szCs w:val="21"/>
          <w:lang w:val="el-GR" w:eastAsia="en-GB"/>
          <w14:ligatures w14:val="none"/>
        </w:rPr>
        <w:t>Μανιτάκης</w:t>
      </w:r>
      <w:proofErr w:type="spellEnd"/>
      <w:r w:rsidRPr="001B1339">
        <w:rPr>
          <w:rFonts w:ascii="Open Sans" w:eastAsia="Times New Roman" w:hAnsi="Open Sans" w:cs="Open Sans"/>
          <w:color w:val="555555"/>
          <w:kern w:val="0"/>
          <w:sz w:val="21"/>
          <w:szCs w:val="21"/>
          <w:lang w:val="el-GR" w:eastAsia="en-GB"/>
          <w14:ligatures w14:val="none"/>
        </w:rPr>
        <w:t>,</w:t>
      </w:r>
      <w:r w:rsidRPr="001B1339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> </w:t>
      </w:r>
      <w:r w:rsidRPr="001B1339">
        <w:rPr>
          <w:rFonts w:ascii="Open Sans" w:eastAsia="Times New Roman" w:hAnsi="Open Sans" w:cs="Open Sans"/>
          <w:i/>
          <w:iCs/>
          <w:color w:val="555555"/>
          <w:kern w:val="0"/>
          <w:sz w:val="21"/>
          <w:szCs w:val="21"/>
          <w:lang w:val="el-GR" w:eastAsia="en-GB"/>
          <w14:ligatures w14:val="none"/>
        </w:rPr>
        <w:t>Γαλλικό Ινστιτούτο</w:t>
      </w:r>
      <w:r w:rsidRPr="001B1339">
        <w:rPr>
          <w:rFonts w:ascii="Open Sans" w:eastAsia="Times New Roman" w:hAnsi="Open Sans" w:cs="Open Sans"/>
          <w:color w:val="555555"/>
          <w:kern w:val="0"/>
          <w:sz w:val="21"/>
          <w:szCs w:val="21"/>
          <w:lang w:val="el-GR" w:eastAsia="en-GB"/>
          <w14:ligatures w14:val="none"/>
        </w:rPr>
        <w:t>, σ. 33-39, 45-59, 69-85.</w:t>
      </w:r>
    </w:p>
    <w:p w14:paraId="25823845" w14:textId="050F9129" w:rsidR="00F71065" w:rsidRPr="00833922" w:rsidRDefault="00F71065" w:rsidP="000D389F">
      <w:pPr>
        <w:numPr>
          <w:ilvl w:val="0"/>
          <w:numId w:val="32"/>
        </w:num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</w:pPr>
      <w:r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 xml:space="preserve">N. </w:t>
      </w: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Manitakis – L. Arnoux, </w:t>
      </w:r>
      <w:r w:rsidRPr="00833922">
        <w:rPr>
          <w:rFonts w:ascii="Open Sans" w:eastAsia="Times New Roman" w:hAnsi="Open Sans" w:cs="Open Sans"/>
          <w:i/>
          <w:iCs/>
          <w:color w:val="555555"/>
          <w:kern w:val="0"/>
          <w:sz w:val="21"/>
          <w:szCs w:val="21"/>
          <w:lang w:val="fr-FR" w:eastAsia="en-GB"/>
          <w14:ligatures w14:val="none"/>
        </w:rPr>
        <w:t>De l’Ecole Giffard à l’Institut Français de Grèce</w:t>
      </w: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, p.</w:t>
      </w:r>
      <w:r w:rsidR="00AF30FE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13</w:t>
      </w: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-</w:t>
      </w:r>
      <w:r w:rsidR="00AF30FE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75</w:t>
      </w:r>
    </w:p>
    <w:p w14:paraId="7744FB7F" w14:textId="77777777" w:rsidR="00833922" w:rsidRPr="00833922" w:rsidRDefault="00833922" w:rsidP="00212FB7">
      <w:pPr>
        <w:shd w:val="clear" w:color="auto" w:fill="FFFFFF"/>
        <w:spacing w:after="0" w:line="240" w:lineRule="auto"/>
        <w:ind w:firstLine="720"/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</w:pP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 xml:space="preserve">Lectures </w:t>
      </w:r>
      <w:proofErr w:type="spellStart"/>
      <w:proofErr w:type="gramStart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>recommandées</w:t>
      </w:r>
      <w:proofErr w:type="spellEnd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> :</w:t>
      </w:r>
      <w:proofErr w:type="gramEnd"/>
    </w:p>
    <w:p w14:paraId="2C7128F4" w14:textId="77777777" w:rsidR="00833922" w:rsidRDefault="00833922" w:rsidP="000D389F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</w:pPr>
      <w:proofErr w:type="spellStart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Milliex</w:t>
      </w:r>
      <w:proofErr w:type="spellEnd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, « L'Institut français d'Athènes », pp. 69-82.</w:t>
      </w:r>
    </w:p>
    <w:p w14:paraId="2337F098" w14:textId="3CDB0B8B" w:rsidR="00A204D3" w:rsidRPr="00A204D3" w:rsidRDefault="00A204D3" w:rsidP="00A204D3">
      <w:pPr>
        <w:pStyle w:val="ListParagraph"/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</w:pPr>
      <w:r w:rsidRPr="00A204D3">
        <w:rPr>
          <w:rFonts w:ascii="Open Sans" w:eastAsia="Times New Roman" w:hAnsi="Open Sans" w:cs="Open Sans"/>
          <w:b/>
          <w:bCs/>
          <w:color w:val="555555"/>
          <w:kern w:val="0"/>
          <w:sz w:val="21"/>
          <w:szCs w:val="21"/>
          <w:lang w:val="fr-FR" w:eastAsia="en-GB"/>
          <w14:ligatures w14:val="none"/>
        </w:rPr>
        <w:t xml:space="preserve">Une étude de cas : l’Institut Français d’Athènes (1915-1946) </w:t>
      </w:r>
      <w:r w:rsidR="000D389F" w:rsidRPr="000D389F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9.11</w:t>
      </w:r>
      <w:r w:rsidRPr="00A204D3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 </w:t>
      </w:r>
    </w:p>
    <w:p w14:paraId="6843700C" w14:textId="77777777" w:rsidR="00A204D3" w:rsidRPr="00A204D3" w:rsidRDefault="00A204D3" w:rsidP="000D389F">
      <w:pPr>
        <w:shd w:val="clear" w:color="auto" w:fill="FFFFFF"/>
        <w:spacing w:after="0" w:line="240" w:lineRule="auto"/>
        <w:ind w:firstLine="720"/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</w:pPr>
      <w:r w:rsidRPr="00A204D3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 xml:space="preserve">Lectures </w:t>
      </w:r>
      <w:proofErr w:type="gramStart"/>
      <w:r w:rsidRPr="00A204D3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obligatoires:</w:t>
      </w:r>
      <w:proofErr w:type="gramEnd"/>
    </w:p>
    <w:p w14:paraId="066E620E" w14:textId="77777777" w:rsidR="00A204D3" w:rsidRDefault="00A204D3" w:rsidP="000D389F">
      <w:pPr>
        <w:shd w:val="clear" w:color="auto" w:fill="FFFFFF"/>
        <w:spacing w:after="0" w:line="240" w:lineRule="auto"/>
        <w:ind w:firstLine="720"/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</w:pPr>
      <w:r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 xml:space="preserve">1.N. </w:t>
      </w: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Manitakis – L. Arnoux, </w:t>
      </w:r>
      <w:r w:rsidRPr="00833922">
        <w:rPr>
          <w:rFonts w:ascii="Open Sans" w:eastAsia="Times New Roman" w:hAnsi="Open Sans" w:cs="Open Sans"/>
          <w:i/>
          <w:iCs/>
          <w:color w:val="555555"/>
          <w:kern w:val="0"/>
          <w:sz w:val="21"/>
          <w:szCs w:val="21"/>
          <w:lang w:val="fr-FR" w:eastAsia="en-GB"/>
          <w14:ligatures w14:val="none"/>
        </w:rPr>
        <w:t>De l’Ecole Giffard à l’Institut Français de Grèce</w:t>
      </w: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 xml:space="preserve">, </w:t>
      </w:r>
      <w:r w:rsidRPr="00355218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p.13-75</w:t>
      </w:r>
    </w:p>
    <w:p w14:paraId="4C602165" w14:textId="32EF62B4" w:rsidR="00833922" w:rsidRPr="001B1339" w:rsidRDefault="00A204D3" w:rsidP="00212FB7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</w:pPr>
      <w:r>
        <w:rPr>
          <w:rFonts w:ascii="Open Sans" w:eastAsia="Times New Roman" w:hAnsi="Open Sans" w:cs="Open Sans"/>
          <w:b/>
          <w:bCs/>
          <w:color w:val="555555"/>
          <w:kern w:val="0"/>
          <w:sz w:val="21"/>
          <w:szCs w:val="21"/>
          <w:lang w:val="fr-FR" w:eastAsia="en-GB"/>
          <w14:ligatures w14:val="none"/>
        </w:rPr>
        <w:t xml:space="preserve">8. </w:t>
      </w:r>
      <w:r w:rsidR="00833922" w:rsidRPr="001B1339">
        <w:rPr>
          <w:rFonts w:ascii="Open Sans" w:eastAsia="Times New Roman" w:hAnsi="Open Sans" w:cs="Open Sans"/>
          <w:b/>
          <w:bCs/>
          <w:color w:val="555555"/>
          <w:kern w:val="0"/>
          <w:sz w:val="21"/>
          <w:szCs w:val="21"/>
          <w:lang w:val="fr-FR" w:eastAsia="en-GB"/>
          <w14:ligatures w14:val="none"/>
        </w:rPr>
        <w:t>Les concurrents : les instituts culturels allemands, italiens et britanniques</w:t>
      </w:r>
      <w:r w:rsidR="00833922" w:rsidRPr="001B1339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 xml:space="preserve"> </w:t>
      </w:r>
      <w:r w:rsidR="00212FB7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16.11</w:t>
      </w:r>
    </w:p>
    <w:p w14:paraId="1EEDEDD8" w14:textId="77777777" w:rsidR="00833922" w:rsidRPr="00833922" w:rsidRDefault="00833922" w:rsidP="000D389F">
      <w:pPr>
        <w:shd w:val="clear" w:color="auto" w:fill="FFFFFF"/>
        <w:spacing w:after="0" w:line="240" w:lineRule="auto"/>
        <w:ind w:firstLine="720"/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</w:pP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 xml:space="preserve">Lectures </w:t>
      </w:r>
      <w:proofErr w:type="gramStart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obligatoires:</w:t>
      </w:r>
      <w:proofErr w:type="gramEnd"/>
    </w:p>
    <w:p w14:paraId="28CA3C41" w14:textId="77777777" w:rsidR="00833922" w:rsidRPr="00C7088A" w:rsidRDefault="00833922" w:rsidP="000D389F">
      <w:pPr>
        <w:pStyle w:val="ListParagraph"/>
        <w:numPr>
          <w:ilvl w:val="0"/>
          <w:numId w:val="33"/>
        </w:num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555555"/>
          <w:kern w:val="0"/>
          <w:sz w:val="21"/>
          <w:szCs w:val="21"/>
          <w:lang w:val="el-GR" w:eastAsia="en-GB"/>
          <w14:ligatures w14:val="none"/>
        </w:rPr>
      </w:pPr>
      <w:r w:rsidRPr="00C7088A">
        <w:rPr>
          <w:rFonts w:ascii="Open Sans" w:eastAsia="Times New Roman" w:hAnsi="Open Sans" w:cs="Open Sans"/>
          <w:color w:val="555555"/>
          <w:kern w:val="0"/>
          <w:sz w:val="21"/>
          <w:szCs w:val="21"/>
          <w:lang w:val="el-GR" w:eastAsia="en-GB"/>
          <w14:ligatures w14:val="none"/>
        </w:rPr>
        <w:t xml:space="preserve">Ν. </w:t>
      </w:r>
      <w:proofErr w:type="spellStart"/>
      <w:r w:rsidRPr="00C7088A">
        <w:rPr>
          <w:rFonts w:ascii="Open Sans" w:eastAsia="Times New Roman" w:hAnsi="Open Sans" w:cs="Open Sans"/>
          <w:color w:val="555555"/>
          <w:kern w:val="0"/>
          <w:sz w:val="21"/>
          <w:szCs w:val="21"/>
          <w:lang w:val="el-GR" w:eastAsia="en-GB"/>
          <w14:ligatures w14:val="none"/>
        </w:rPr>
        <w:t>Μανιτάκης</w:t>
      </w:r>
      <w:proofErr w:type="spellEnd"/>
      <w:r w:rsidRPr="00C7088A">
        <w:rPr>
          <w:rFonts w:ascii="Open Sans" w:eastAsia="Times New Roman" w:hAnsi="Open Sans" w:cs="Open Sans"/>
          <w:color w:val="555555"/>
          <w:kern w:val="0"/>
          <w:sz w:val="21"/>
          <w:szCs w:val="21"/>
          <w:lang w:val="el-GR" w:eastAsia="en-GB"/>
          <w14:ligatures w14:val="none"/>
        </w:rPr>
        <w:t>,</w:t>
      </w:r>
      <w:r w:rsidRPr="001B1339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 </w:t>
      </w:r>
      <w:r w:rsidRPr="00C7088A">
        <w:rPr>
          <w:rFonts w:ascii="Open Sans" w:eastAsia="Times New Roman" w:hAnsi="Open Sans" w:cs="Open Sans"/>
          <w:i/>
          <w:iCs/>
          <w:color w:val="555555"/>
          <w:kern w:val="0"/>
          <w:sz w:val="21"/>
          <w:szCs w:val="21"/>
          <w:lang w:val="el-GR" w:eastAsia="en-GB"/>
          <w14:ligatures w14:val="none"/>
        </w:rPr>
        <w:t>Γαλλικό</w:t>
      </w:r>
      <w:r w:rsidRPr="001B1339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 </w:t>
      </w:r>
      <w:r w:rsidRPr="00C7088A">
        <w:rPr>
          <w:rFonts w:ascii="Open Sans" w:eastAsia="Times New Roman" w:hAnsi="Open Sans" w:cs="Open Sans"/>
          <w:i/>
          <w:iCs/>
          <w:color w:val="555555"/>
          <w:kern w:val="0"/>
          <w:sz w:val="21"/>
          <w:szCs w:val="21"/>
          <w:lang w:val="el-GR" w:eastAsia="en-GB"/>
          <w14:ligatures w14:val="none"/>
        </w:rPr>
        <w:t>Ινστιτούτο</w:t>
      </w:r>
      <w:r w:rsidRPr="00C7088A">
        <w:rPr>
          <w:rFonts w:ascii="Open Sans" w:eastAsia="Times New Roman" w:hAnsi="Open Sans" w:cs="Open Sans"/>
          <w:color w:val="555555"/>
          <w:kern w:val="0"/>
          <w:sz w:val="21"/>
          <w:szCs w:val="21"/>
          <w:lang w:val="el-GR" w:eastAsia="en-GB"/>
          <w14:ligatures w14:val="none"/>
        </w:rPr>
        <w:t>, σ. 101-116.</w:t>
      </w:r>
    </w:p>
    <w:p w14:paraId="717659B5" w14:textId="77777777" w:rsidR="00833922" w:rsidRPr="00833922" w:rsidRDefault="00833922" w:rsidP="000D389F">
      <w:pPr>
        <w:shd w:val="clear" w:color="auto" w:fill="FFFFFF"/>
        <w:spacing w:after="0" w:line="240" w:lineRule="auto"/>
        <w:ind w:firstLine="720"/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</w:pP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 xml:space="preserve">Lectures </w:t>
      </w:r>
      <w:proofErr w:type="gramStart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recommandées:</w:t>
      </w:r>
      <w:proofErr w:type="gramEnd"/>
    </w:p>
    <w:p w14:paraId="645C7B9F" w14:textId="77777777" w:rsidR="00833922" w:rsidRPr="00833922" w:rsidRDefault="00833922" w:rsidP="000D389F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</w:pP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>Santoro, «The cultural penetration of Fascist Italy abroad and in eastern Europe», pp.36-66.</w:t>
      </w:r>
    </w:p>
    <w:p w14:paraId="4AFF812A" w14:textId="77777777" w:rsidR="00833922" w:rsidRPr="00833922" w:rsidRDefault="00833922" w:rsidP="000D389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</w:pP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> </w:t>
      </w:r>
    </w:p>
    <w:p w14:paraId="470B1282" w14:textId="50F0B755" w:rsidR="00833922" w:rsidRPr="00A204D3" w:rsidRDefault="00833922" w:rsidP="00A204D3">
      <w:pPr>
        <w:pStyle w:val="ListParagraph"/>
        <w:numPr>
          <w:ilvl w:val="0"/>
          <w:numId w:val="37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b/>
          <w:bCs/>
          <w:color w:val="555555"/>
          <w:kern w:val="0"/>
          <w:sz w:val="21"/>
          <w:szCs w:val="21"/>
          <w:lang w:val="fr-FR" w:eastAsia="en-GB"/>
          <w14:ligatures w14:val="none"/>
        </w:rPr>
      </w:pPr>
      <w:r w:rsidRPr="00A204D3">
        <w:rPr>
          <w:rFonts w:ascii="Open Sans" w:eastAsia="Times New Roman" w:hAnsi="Open Sans" w:cs="Open Sans"/>
          <w:b/>
          <w:bCs/>
          <w:color w:val="555555"/>
          <w:kern w:val="0"/>
          <w:sz w:val="21"/>
          <w:szCs w:val="21"/>
          <w:lang w:val="fr-FR" w:eastAsia="en-GB"/>
          <w14:ligatures w14:val="none"/>
        </w:rPr>
        <w:t xml:space="preserve">La diplomatie universitaire. Accueillir des étudiants étrangers, fonder des chaires universitaires. </w:t>
      </w:r>
      <w:r w:rsidR="0044001A" w:rsidRPr="0044001A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23.11</w:t>
      </w:r>
    </w:p>
    <w:p w14:paraId="0ED1CE6F" w14:textId="2501E6CB" w:rsidR="00833922" w:rsidRPr="00833922" w:rsidRDefault="00833922" w:rsidP="00212FB7">
      <w:pPr>
        <w:shd w:val="clear" w:color="auto" w:fill="FFFFFF"/>
        <w:spacing w:after="150" w:line="240" w:lineRule="auto"/>
        <w:ind w:firstLine="720"/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</w:pP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 xml:space="preserve">Lectures </w:t>
      </w:r>
      <w:proofErr w:type="spellStart"/>
      <w:proofErr w:type="gramStart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>r</w:t>
      </w:r>
      <w:r w:rsidR="0044001A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>e</w:t>
      </w: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>commandées</w:t>
      </w:r>
      <w:proofErr w:type="spellEnd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> :</w:t>
      </w:r>
      <w:proofErr w:type="gramEnd"/>
    </w:p>
    <w:p w14:paraId="21E93D8F" w14:textId="77777777" w:rsidR="00833922" w:rsidRPr="00833922" w:rsidRDefault="00833922" w:rsidP="001B1339">
      <w:pPr>
        <w:numPr>
          <w:ilvl w:val="0"/>
          <w:numId w:val="22"/>
        </w:numPr>
        <w:pBdr>
          <w:bottom w:val="single" w:sz="6" w:space="11" w:color="DDDDDD"/>
        </w:pBd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</w:pP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Efthymiou, </w:t>
      </w:r>
      <w:r w:rsidRPr="00833922">
        <w:rPr>
          <w:rFonts w:ascii="Open Sans" w:eastAsia="Times New Roman" w:hAnsi="Open Sans" w:cs="Open Sans"/>
          <w:i/>
          <w:iCs/>
          <w:color w:val="555555"/>
          <w:kern w:val="0"/>
          <w:sz w:val="21"/>
          <w:szCs w:val="21"/>
          <w:lang w:val="fr-FR" w:eastAsia="en-GB"/>
          <w14:ligatures w14:val="none"/>
        </w:rPr>
        <w:t xml:space="preserve">La formation des </w:t>
      </w:r>
      <w:proofErr w:type="spellStart"/>
      <w:r w:rsidRPr="00833922">
        <w:rPr>
          <w:rFonts w:ascii="Open Sans" w:eastAsia="Times New Roman" w:hAnsi="Open Sans" w:cs="Open Sans"/>
          <w:i/>
          <w:iCs/>
          <w:color w:val="555555"/>
          <w:kern w:val="0"/>
          <w:sz w:val="21"/>
          <w:szCs w:val="21"/>
          <w:lang w:val="fr-FR" w:eastAsia="en-GB"/>
          <w14:ligatures w14:val="none"/>
        </w:rPr>
        <w:t>francisants</w:t>
      </w:r>
      <w:proofErr w:type="spellEnd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, pp. 135-150.</w:t>
      </w:r>
    </w:p>
    <w:p w14:paraId="0BEB6A7F" w14:textId="77777777" w:rsidR="00833922" w:rsidRPr="00833922" w:rsidRDefault="00833922" w:rsidP="00833922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</w:pPr>
      <w:proofErr w:type="spellStart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>Tronchet</w:t>
      </w:r>
      <w:proofErr w:type="spellEnd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>, « </w:t>
      </w:r>
      <w:proofErr w:type="spellStart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>Diplomatie</w:t>
      </w:r>
      <w:proofErr w:type="spellEnd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 xml:space="preserve"> </w:t>
      </w:r>
      <w:proofErr w:type="spellStart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>universitaire</w:t>
      </w:r>
      <w:proofErr w:type="spellEnd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> », pp. 58-88.</w:t>
      </w:r>
    </w:p>
    <w:p w14:paraId="616151EB" w14:textId="77777777" w:rsidR="00833922" w:rsidRPr="00833922" w:rsidRDefault="00833922" w:rsidP="00833922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</w:pP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lastRenderedPageBreak/>
        <w:t> </w:t>
      </w:r>
    </w:p>
    <w:p w14:paraId="6D907EA8" w14:textId="6313CC2B" w:rsidR="00833922" w:rsidRPr="00A204D3" w:rsidRDefault="00833922" w:rsidP="00A204D3">
      <w:pPr>
        <w:pStyle w:val="ListParagraph"/>
        <w:numPr>
          <w:ilvl w:val="0"/>
          <w:numId w:val="37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</w:pPr>
      <w:r w:rsidRPr="00A204D3">
        <w:rPr>
          <w:rFonts w:ascii="Open Sans" w:eastAsia="Times New Roman" w:hAnsi="Open Sans" w:cs="Open Sans"/>
          <w:b/>
          <w:bCs/>
          <w:color w:val="555555"/>
          <w:kern w:val="0"/>
          <w:sz w:val="21"/>
          <w:szCs w:val="21"/>
          <w:lang w:val="fr-FR" w:eastAsia="en-GB"/>
          <w14:ligatures w14:val="none"/>
        </w:rPr>
        <w:t>La politique des bourses de l’Etat français.</w:t>
      </w:r>
      <w:r w:rsidRPr="00A204D3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 xml:space="preserve"> Comment renforcer l’attractivité de l’enseignement supérieur français </w:t>
      </w:r>
    </w:p>
    <w:p w14:paraId="5B57EE83" w14:textId="77777777" w:rsidR="00833922" w:rsidRPr="0044001A" w:rsidRDefault="00833922" w:rsidP="0044001A">
      <w:pPr>
        <w:shd w:val="clear" w:color="auto" w:fill="FFFFFF"/>
        <w:spacing w:after="0" w:line="240" w:lineRule="auto"/>
        <w:ind w:firstLine="720"/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</w:pPr>
      <w:r w:rsidRPr="0044001A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Lectures obligatoires:</w:t>
      </w:r>
    </w:p>
    <w:p w14:paraId="5765FE9D" w14:textId="2D362B35" w:rsidR="00833922" w:rsidRPr="0044001A" w:rsidRDefault="00833922" w:rsidP="0044001A">
      <w:pPr>
        <w:shd w:val="clear" w:color="auto" w:fill="FFFFFF"/>
        <w:spacing w:after="0" w:line="240" w:lineRule="auto"/>
        <w:ind w:firstLine="720"/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</w:pPr>
      <w:r w:rsidRPr="0044001A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Manitakis, « La politique des bourses », pp. 302-312.</w:t>
      </w:r>
    </w:p>
    <w:p w14:paraId="2B0920C0" w14:textId="77777777" w:rsidR="00AD2D93" w:rsidRPr="00AD2D93" w:rsidRDefault="00AD2D93" w:rsidP="00AD2D93">
      <w:pPr>
        <w:pStyle w:val="ListParagraph"/>
        <w:shd w:val="clear" w:color="auto" w:fill="FFFFFF"/>
        <w:spacing w:before="100" w:beforeAutospacing="1" w:after="100" w:afterAutospacing="1" w:line="240" w:lineRule="auto"/>
        <w:ind w:left="1440"/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</w:pPr>
    </w:p>
    <w:p w14:paraId="334B98F5" w14:textId="7F751565" w:rsidR="00833922" w:rsidRPr="00AD2D93" w:rsidRDefault="00833922" w:rsidP="00A204D3">
      <w:pPr>
        <w:pStyle w:val="ListParagraph"/>
        <w:numPr>
          <w:ilvl w:val="0"/>
          <w:numId w:val="37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b/>
          <w:bCs/>
          <w:color w:val="555555"/>
          <w:kern w:val="0"/>
          <w:sz w:val="21"/>
          <w:szCs w:val="21"/>
          <w:lang w:val="fr-FR" w:eastAsia="en-GB"/>
          <w14:ligatures w14:val="none"/>
        </w:rPr>
      </w:pPr>
      <w:r w:rsidRPr="00AD2D93">
        <w:rPr>
          <w:rFonts w:ascii="Open Sans" w:eastAsia="Times New Roman" w:hAnsi="Open Sans" w:cs="Open Sans"/>
          <w:b/>
          <w:bCs/>
          <w:color w:val="555555"/>
          <w:kern w:val="0"/>
          <w:sz w:val="21"/>
          <w:szCs w:val="21"/>
          <w:lang w:val="fr-FR" w:eastAsia="en-GB"/>
          <w14:ligatures w14:val="none"/>
        </w:rPr>
        <w:t xml:space="preserve">La diplomatie sportive. Les sports au service de l’entente des peuples </w:t>
      </w:r>
    </w:p>
    <w:p w14:paraId="7637D008" w14:textId="77777777" w:rsidR="00833922" w:rsidRPr="00833922" w:rsidRDefault="00833922" w:rsidP="00212FB7">
      <w:pPr>
        <w:shd w:val="clear" w:color="auto" w:fill="FFFFFF"/>
        <w:spacing w:after="150" w:line="240" w:lineRule="auto"/>
        <w:ind w:firstLine="720"/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</w:pP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 xml:space="preserve">Lectures </w:t>
      </w:r>
      <w:proofErr w:type="spellStart"/>
      <w:proofErr w:type="gramStart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>recommandées</w:t>
      </w:r>
      <w:proofErr w:type="spellEnd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> :</w:t>
      </w:r>
      <w:proofErr w:type="gramEnd"/>
    </w:p>
    <w:p w14:paraId="5634CBB9" w14:textId="77777777" w:rsidR="00833922" w:rsidRDefault="00833922" w:rsidP="00AD2D93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</w:pP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Deschamps, « La réception des basketteurs Soviétiques en France », pp. 101-118.</w:t>
      </w:r>
    </w:p>
    <w:p w14:paraId="626C0924" w14:textId="77777777" w:rsidR="00AF30FE" w:rsidRDefault="00AF30FE" w:rsidP="00AF30FE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</w:pPr>
    </w:p>
    <w:p w14:paraId="3BC9D03F" w14:textId="701AD62F" w:rsidR="00AD2D93" w:rsidRDefault="00AD2D93" w:rsidP="00A204D3">
      <w:pPr>
        <w:pStyle w:val="ListParagraph"/>
        <w:numPr>
          <w:ilvl w:val="0"/>
          <w:numId w:val="37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b/>
          <w:bCs/>
          <w:color w:val="555555"/>
          <w:kern w:val="0"/>
          <w:sz w:val="21"/>
          <w:szCs w:val="21"/>
          <w:lang w:val="fr-FR" w:eastAsia="en-GB"/>
          <w14:ligatures w14:val="none"/>
        </w:rPr>
      </w:pPr>
      <w:r w:rsidRPr="00AD2D93">
        <w:rPr>
          <w:rFonts w:ascii="Open Sans" w:eastAsia="Times New Roman" w:hAnsi="Open Sans" w:cs="Open Sans"/>
          <w:b/>
          <w:bCs/>
          <w:color w:val="555555"/>
          <w:kern w:val="0"/>
          <w:sz w:val="21"/>
          <w:szCs w:val="21"/>
          <w:lang w:val="fr-FR" w:eastAsia="en-GB"/>
          <w14:ligatures w14:val="none"/>
        </w:rPr>
        <w:t>Les accords culturels : un outil au service de la diplomatie culturelle</w:t>
      </w:r>
    </w:p>
    <w:p w14:paraId="2CBA16C9" w14:textId="231F215B" w:rsidR="00F93FC7" w:rsidRPr="00C7088A" w:rsidRDefault="00F93FC7" w:rsidP="00212FB7">
      <w:pPr>
        <w:shd w:val="clear" w:color="auto" w:fill="FFFFFF"/>
        <w:spacing w:before="100" w:beforeAutospacing="1" w:after="100" w:afterAutospacing="1" w:line="240" w:lineRule="auto"/>
        <w:ind w:firstLine="720"/>
        <w:rPr>
          <w:rFonts w:ascii="Open Sans" w:eastAsia="Times New Roman" w:hAnsi="Open Sans" w:cs="Open Sans"/>
          <w:color w:val="555555"/>
          <w:kern w:val="0"/>
          <w:sz w:val="21"/>
          <w:szCs w:val="21"/>
          <w:lang w:val="en-US" w:eastAsia="en-GB"/>
          <w14:ligatures w14:val="none"/>
        </w:rPr>
      </w:pPr>
      <w:r w:rsidRPr="00C7088A">
        <w:rPr>
          <w:rFonts w:ascii="Open Sans" w:eastAsia="Times New Roman" w:hAnsi="Open Sans" w:cs="Open Sans"/>
          <w:color w:val="555555"/>
          <w:kern w:val="0"/>
          <w:sz w:val="21"/>
          <w:szCs w:val="21"/>
          <w:lang w:val="en-US" w:eastAsia="en-GB"/>
          <w14:ligatures w14:val="none"/>
        </w:rPr>
        <w:t xml:space="preserve">Lectures </w:t>
      </w:r>
      <w:proofErr w:type="spellStart"/>
      <w:proofErr w:type="gramStart"/>
      <w:r w:rsidRPr="00C7088A">
        <w:rPr>
          <w:rFonts w:ascii="Open Sans" w:eastAsia="Times New Roman" w:hAnsi="Open Sans" w:cs="Open Sans"/>
          <w:color w:val="555555"/>
          <w:kern w:val="0"/>
          <w:sz w:val="21"/>
          <w:szCs w:val="21"/>
          <w:lang w:val="en-US" w:eastAsia="en-GB"/>
          <w14:ligatures w14:val="none"/>
        </w:rPr>
        <w:t>recommandées</w:t>
      </w:r>
      <w:proofErr w:type="spellEnd"/>
      <w:r w:rsidRPr="00C7088A">
        <w:rPr>
          <w:rFonts w:ascii="Open Sans" w:eastAsia="Times New Roman" w:hAnsi="Open Sans" w:cs="Open Sans"/>
          <w:color w:val="555555"/>
          <w:kern w:val="0"/>
          <w:sz w:val="21"/>
          <w:szCs w:val="21"/>
          <w:lang w:val="en-US" w:eastAsia="en-GB"/>
          <w14:ligatures w14:val="none"/>
        </w:rPr>
        <w:t> :</w:t>
      </w:r>
      <w:proofErr w:type="gramEnd"/>
    </w:p>
    <w:p w14:paraId="0CF66168" w14:textId="1FF40919" w:rsidR="00F93FC7" w:rsidRPr="00F93FC7" w:rsidRDefault="00F93FC7" w:rsidP="00F93FC7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</w:pPr>
      <w:r w:rsidRPr="00C7088A">
        <w:rPr>
          <w:rFonts w:ascii="Open Sans" w:eastAsia="Times New Roman" w:hAnsi="Open Sans" w:cs="Open Sans"/>
          <w:color w:val="555555"/>
          <w:kern w:val="0"/>
          <w:sz w:val="21"/>
          <w:szCs w:val="21"/>
          <w:lang w:val="en-US" w:eastAsia="en-GB"/>
          <w14:ligatures w14:val="none"/>
        </w:rPr>
        <w:tab/>
      </w:r>
      <w:r w:rsidRPr="00F93FC7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>B. Martin, « The Rise o</w:t>
      </w:r>
      <w:r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>f the Cultural Treaty</w:t>
      </w:r>
      <w:r w:rsidRPr="00F93FC7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> »</w:t>
      </w:r>
      <w:r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>, p. 1327-1346.</w:t>
      </w:r>
    </w:p>
    <w:p w14:paraId="42786C1F" w14:textId="77777777" w:rsidR="00833922" w:rsidRPr="00833922" w:rsidRDefault="00833922" w:rsidP="00833922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</w:pP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> </w:t>
      </w:r>
    </w:p>
    <w:p w14:paraId="20D8BB07" w14:textId="77777777" w:rsidR="00833922" w:rsidRDefault="00833922" w:rsidP="00833922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</w:pP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> </w:t>
      </w:r>
    </w:p>
    <w:p w14:paraId="019BAC60" w14:textId="77777777" w:rsidR="00355218" w:rsidRDefault="00355218" w:rsidP="00355218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Open Sans"/>
          <w:color w:val="555555"/>
          <w:kern w:val="0"/>
          <w:sz w:val="24"/>
          <w:szCs w:val="24"/>
          <w:lang w:val="fr-FR" w:eastAsia="en-GB"/>
          <w14:ligatures w14:val="none"/>
        </w:rPr>
      </w:pPr>
      <w:r w:rsidRPr="00355218">
        <w:rPr>
          <w:rFonts w:ascii="Open Sans" w:eastAsia="Times New Roman" w:hAnsi="Open Sans" w:cs="Open Sans"/>
          <w:color w:val="555555"/>
          <w:kern w:val="0"/>
          <w:sz w:val="24"/>
          <w:szCs w:val="24"/>
          <w:lang w:val="fr-FR" w:eastAsia="en-GB"/>
          <w14:ligatures w14:val="none"/>
        </w:rPr>
        <w:t xml:space="preserve">Guide de lecture et bibliographie </w:t>
      </w:r>
    </w:p>
    <w:p w14:paraId="40D8F9DE" w14:textId="03AB9D70" w:rsidR="00355218" w:rsidRPr="00355218" w:rsidRDefault="00355218" w:rsidP="00355218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Open Sans"/>
          <w:color w:val="555555"/>
          <w:kern w:val="0"/>
          <w:sz w:val="24"/>
          <w:szCs w:val="24"/>
          <w:lang w:val="fr-FR" w:eastAsia="en-GB"/>
          <w14:ligatures w14:val="none"/>
        </w:rPr>
      </w:pPr>
      <w:r>
        <w:rPr>
          <w:rFonts w:ascii="Open Sans" w:eastAsia="Times New Roman" w:hAnsi="Open Sans" w:cs="Open Sans"/>
          <w:color w:val="555555"/>
          <w:kern w:val="0"/>
          <w:sz w:val="24"/>
          <w:szCs w:val="24"/>
          <w:lang w:val="fr-FR" w:eastAsia="en-GB"/>
          <w14:ligatures w14:val="none"/>
        </w:rPr>
        <w:t>L</w:t>
      </w:r>
      <w:r w:rsidRPr="00355218">
        <w:rPr>
          <w:rFonts w:ascii="Open Sans" w:eastAsia="Times New Roman" w:hAnsi="Open Sans" w:cs="Open Sans"/>
          <w:color w:val="555555"/>
          <w:kern w:val="0"/>
          <w:sz w:val="24"/>
          <w:szCs w:val="24"/>
          <w:lang w:val="fr-FR" w:eastAsia="en-GB"/>
          <w14:ligatures w14:val="none"/>
        </w:rPr>
        <w:t xml:space="preserve">ectures </w:t>
      </w:r>
      <w:proofErr w:type="gramStart"/>
      <w:r w:rsidRPr="00355218">
        <w:rPr>
          <w:rFonts w:ascii="Open Sans" w:eastAsia="Times New Roman" w:hAnsi="Open Sans" w:cs="Open Sans"/>
          <w:color w:val="555555"/>
          <w:kern w:val="0"/>
          <w:sz w:val="24"/>
          <w:szCs w:val="24"/>
          <w:lang w:val="fr-FR" w:eastAsia="en-GB"/>
          <w14:ligatures w14:val="none"/>
        </w:rPr>
        <w:t>obligatoires</w:t>
      </w:r>
      <w:r>
        <w:rPr>
          <w:rFonts w:ascii="Open Sans" w:eastAsia="Times New Roman" w:hAnsi="Open Sans" w:cs="Open Sans"/>
          <w:color w:val="555555"/>
          <w:kern w:val="0"/>
          <w:sz w:val="24"/>
          <w:szCs w:val="24"/>
          <w:lang w:val="fr-FR" w:eastAsia="en-GB"/>
          <w14:ligatures w14:val="none"/>
        </w:rPr>
        <w:t xml:space="preserve">  et</w:t>
      </w:r>
      <w:proofErr w:type="gramEnd"/>
      <w:r w:rsidRPr="00355218">
        <w:rPr>
          <w:rFonts w:ascii="Open Sans" w:eastAsia="Times New Roman" w:hAnsi="Open Sans" w:cs="Open Sans"/>
          <w:color w:val="555555"/>
          <w:kern w:val="0"/>
          <w:sz w:val="24"/>
          <w:szCs w:val="24"/>
          <w:lang w:val="fr-FR" w:eastAsia="en-GB"/>
          <w14:ligatures w14:val="none"/>
        </w:rPr>
        <w:t xml:space="preserve"> lectures recommandées</w:t>
      </w:r>
    </w:p>
    <w:p w14:paraId="6563CDBF" w14:textId="77777777" w:rsidR="00355218" w:rsidRPr="00355218" w:rsidRDefault="00355218" w:rsidP="00833922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</w:pPr>
    </w:p>
    <w:p w14:paraId="358BC63F" w14:textId="77777777" w:rsidR="00833922" w:rsidRPr="00833922" w:rsidRDefault="00833922" w:rsidP="00833922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555555"/>
          <w:kern w:val="0"/>
          <w:sz w:val="21"/>
          <w:szCs w:val="21"/>
          <w:lang w:val="el-GR" w:eastAsia="en-GB"/>
          <w14:ligatures w14:val="none"/>
        </w:rPr>
      </w:pP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>BIBLIOGRAPHIE</w:t>
      </w:r>
    </w:p>
    <w:p w14:paraId="4E413C66" w14:textId="77777777" w:rsidR="00833922" w:rsidRPr="00833922" w:rsidRDefault="00833922" w:rsidP="00833922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555555"/>
          <w:kern w:val="0"/>
          <w:sz w:val="21"/>
          <w:szCs w:val="21"/>
          <w:lang w:val="el-GR" w:eastAsia="en-GB"/>
          <w14:ligatures w14:val="none"/>
        </w:rPr>
      </w:pPr>
      <w:proofErr w:type="gramStart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>Manuels </w:t>
      </w: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el-GR" w:eastAsia="en-GB"/>
          <w14:ligatures w14:val="none"/>
        </w:rPr>
        <w:t>:</w:t>
      </w:r>
      <w:proofErr w:type="gramEnd"/>
    </w:p>
    <w:p w14:paraId="37B6E2E8" w14:textId="77777777" w:rsidR="00833922" w:rsidRPr="00833922" w:rsidRDefault="00833922" w:rsidP="00833922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555555"/>
          <w:kern w:val="0"/>
          <w:sz w:val="21"/>
          <w:szCs w:val="21"/>
          <w:lang w:val="el-GR" w:eastAsia="en-GB"/>
          <w14:ligatures w14:val="none"/>
        </w:rPr>
      </w:pPr>
      <w:proofErr w:type="spellStart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el-GR" w:eastAsia="en-GB"/>
          <w14:ligatures w14:val="none"/>
        </w:rPr>
        <w:t>Μανιτάκης</w:t>
      </w:r>
      <w:proofErr w:type="spellEnd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el-GR" w:eastAsia="en-GB"/>
          <w14:ligatures w14:val="none"/>
        </w:rPr>
        <w:t>, Νικόλας,</w:t>
      </w: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> </w:t>
      </w:r>
      <w:r w:rsidRPr="00833922">
        <w:rPr>
          <w:rFonts w:ascii="Open Sans" w:eastAsia="Times New Roman" w:hAnsi="Open Sans" w:cs="Open Sans"/>
          <w:i/>
          <w:iCs/>
          <w:color w:val="555555"/>
          <w:kern w:val="0"/>
          <w:sz w:val="21"/>
          <w:szCs w:val="21"/>
          <w:lang w:val="el-GR" w:eastAsia="en-GB"/>
          <w14:ligatures w14:val="none"/>
        </w:rPr>
        <w:t xml:space="preserve">Το Γαλλικό Ινστιτούτο Αθηνών (1915-1961). Η </w:t>
      </w:r>
      <w:proofErr w:type="spellStart"/>
      <w:r w:rsidRPr="00833922">
        <w:rPr>
          <w:rFonts w:ascii="Open Sans" w:eastAsia="Times New Roman" w:hAnsi="Open Sans" w:cs="Open Sans"/>
          <w:i/>
          <w:iCs/>
          <w:color w:val="555555"/>
          <w:kern w:val="0"/>
          <w:sz w:val="21"/>
          <w:szCs w:val="21"/>
          <w:lang w:val="el-GR" w:eastAsia="en-GB"/>
          <w14:ligatures w14:val="none"/>
        </w:rPr>
        <w:t>αειφορία</w:t>
      </w:r>
      <w:proofErr w:type="spellEnd"/>
      <w:r w:rsidRPr="00833922">
        <w:rPr>
          <w:rFonts w:ascii="Open Sans" w:eastAsia="Times New Roman" w:hAnsi="Open Sans" w:cs="Open Sans"/>
          <w:i/>
          <w:iCs/>
          <w:color w:val="555555"/>
          <w:kern w:val="0"/>
          <w:sz w:val="21"/>
          <w:szCs w:val="21"/>
          <w:lang w:val="el-GR" w:eastAsia="en-GB"/>
          <w14:ligatures w14:val="none"/>
        </w:rPr>
        <w:t xml:space="preserve"> των ελληνογαλλικών πολιτιστικών σχέσεων</w:t>
      </w: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el-GR" w:eastAsia="en-GB"/>
          <w14:ligatures w14:val="none"/>
        </w:rPr>
        <w:t>, Αθήνα, Ασίνη, 2022</w:t>
      </w:r>
    </w:p>
    <w:p w14:paraId="7E2BAD8D" w14:textId="77777777" w:rsidR="00833922" w:rsidRPr="00833922" w:rsidRDefault="00833922" w:rsidP="00833922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555555"/>
          <w:kern w:val="0"/>
          <w:sz w:val="21"/>
          <w:szCs w:val="21"/>
          <w:lang w:val="el-GR" w:eastAsia="en-GB"/>
          <w14:ligatures w14:val="none"/>
        </w:rPr>
      </w:pP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>https</w:t>
      </w: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el-GR" w:eastAsia="en-GB"/>
          <w14:ligatures w14:val="none"/>
        </w:rPr>
        <w:t>://</w:t>
      </w:r>
      <w:proofErr w:type="spellStart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>biblionet</w:t>
      </w:r>
      <w:proofErr w:type="spellEnd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el-GR" w:eastAsia="en-GB"/>
          <w14:ligatures w14:val="none"/>
        </w:rPr>
        <w:t>.</w:t>
      </w: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>gr</w:t>
      </w: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el-GR" w:eastAsia="en-GB"/>
          <w14:ligatures w14:val="none"/>
        </w:rPr>
        <w:t>/</w:t>
      </w:r>
      <w:proofErr w:type="spellStart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>titleinfo</w:t>
      </w:r>
      <w:proofErr w:type="spellEnd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el-GR" w:eastAsia="en-GB"/>
          <w14:ligatures w14:val="none"/>
        </w:rPr>
        <w:t>/?</w:t>
      </w:r>
      <w:proofErr w:type="spellStart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>titleid</w:t>
      </w:r>
      <w:proofErr w:type="spellEnd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el-GR" w:eastAsia="en-GB"/>
          <w14:ligatures w14:val="none"/>
        </w:rPr>
        <w:t>=272959</w:t>
      </w:r>
    </w:p>
    <w:p w14:paraId="6CAE012B" w14:textId="77777777" w:rsidR="00833922" w:rsidRPr="00833922" w:rsidRDefault="00833922" w:rsidP="00833922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</w:pP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Nicolas Manitakis et Lucile Arnoux-Farnoux, </w:t>
      </w:r>
      <w:r w:rsidRPr="00833922">
        <w:rPr>
          <w:rFonts w:ascii="Open Sans" w:eastAsia="Times New Roman" w:hAnsi="Open Sans" w:cs="Open Sans"/>
          <w:i/>
          <w:iCs/>
          <w:color w:val="555555"/>
          <w:kern w:val="0"/>
          <w:sz w:val="21"/>
          <w:szCs w:val="21"/>
          <w:lang w:val="fr-FR" w:eastAsia="en-GB"/>
          <w14:ligatures w14:val="none"/>
        </w:rPr>
        <w:t>De l’Ecole Giffard à l’Institut Français de Grèce, 1907-2022</w:t>
      </w: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, Athènes, Editions de l’Ecole Française d’Athènes, 2023.</w:t>
      </w:r>
    </w:p>
    <w:p w14:paraId="6A6FADB4" w14:textId="77777777" w:rsidR="00833922" w:rsidRPr="00C7088A" w:rsidRDefault="00833922" w:rsidP="00833922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</w:pPr>
      <w:hyperlink r:id="rId5" w:history="1">
        <w:r w:rsidRPr="00833922">
          <w:rPr>
            <w:rFonts w:ascii="Open Sans" w:eastAsia="Times New Roman" w:hAnsi="Open Sans" w:cs="Open Sans"/>
            <w:color w:val="964F4F"/>
            <w:kern w:val="0"/>
            <w:sz w:val="21"/>
            <w:szCs w:val="21"/>
            <w:u w:val="single"/>
            <w:lang w:val="fr-FR" w:eastAsia="en-GB"/>
            <w14:ligatures w14:val="none"/>
          </w:rPr>
          <w:t>https://editions.efa.gr/?kroute=publication&amp;id=1025</w:t>
        </w:r>
      </w:hyperlink>
    </w:p>
    <w:p w14:paraId="4CC378A8" w14:textId="1E648554" w:rsidR="007A0E53" w:rsidRPr="00C7088A" w:rsidRDefault="00355218" w:rsidP="00833922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</w:pPr>
      <w:r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 xml:space="preserve">Librement disponible à l’adresse suivante : </w:t>
      </w:r>
      <w:r w:rsidR="007A0E53" w:rsidRPr="00C7088A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https://books.openedition.org/author?page=author&amp;name=manitakis+nicolas&amp;lang=en</w:t>
      </w:r>
    </w:p>
    <w:p w14:paraId="5967BF8F" w14:textId="77777777" w:rsidR="00833922" w:rsidRPr="00C7088A" w:rsidRDefault="00833922" w:rsidP="00833922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</w:pPr>
      <w:r w:rsidRPr="00C7088A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 </w:t>
      </w:r>
    </w:p>
    <w:p w14:paraId="7C2CC3BC" w14:textId="77777777" w:rsidR="00833922" w:rsidRPr="00833922" w:rsidRDefault="00833922" w:rsidP="00833922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</w:pP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Livres et articles :</w:t>
      </w:r>
    </w:p>
    <w:p w14:paraId="5C5E0DFD" w14:textId="77777777" w:rsidR="00833922" w:rsidRPr="00833922" w:rsidRDefault="00833922" w:rsidP="00833922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</w:pP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Beaupré, Nicolas, </w:t>
      </w:r>
      <w:r w:rsidRPr="00833922">
        <w:rPr>
          <w:rFonts w:ascii="Open Sans" w:eastAsia="Times New Roman" w:hAnsi="Open Sans" w:cs="Open Sans"/>
          <w:i/>
          <w:iCs/>
          <w:color w:val="555555"/>
          <w:kern w:val="0"/>
          <w:sz w:val="21"/>
          <w:szCs w:val="21"/>
          <w:lang w:val="fr-FR" w:eastAsia="en-GB"/>
          <w14:ligatures w14:val="none"/>
        </w:rPr>
        <w:t>Histoire de la France. Les Grandes Guerres</w:t>
      </w: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, Paris, Belin, 2012, pp. 551-557 (« Un soft power à la française : la diplomatie culturelle et linguistique »).</w:t>
      </w:r>
    </w:p>
    <w:p w14:paraId="1F4B8525" w14:textId="77777777" w:rsidR="00833922" w:rsidRPr="00833922" w:rsidRDefault="00833922" w:rsidP="00833922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</w:pPr>
      <w:proofErr w:type="spellStart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lastRenderedPageBreak/>
        <w:t>Bruézière</w:t>
      </w:r>
      <w:proofErr w:type="spellEnd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, Maurice, </w:t>
      </w:r>
      <w:r w:rsidRPr="00833922">
        <w:rPr>
          <w:rFonts w:ascii="Open Sans" w:eastAsia="Times New Roman" w:hAnsi="Open Sans" w:cs="Open Sans"/>
          <w:i/>
          <w:iCs/>
          <w:color w:val="555555"/>
          <w:kern w:val="0"/>
          <w:sz w:val="21"/>
          <w:szCs w:val="21"/>
          <w:lang w:val="fr-FR" w:eastAsia="en-GB"/>
          <w14:ligatures w14:val="none"/>
        </w:rPr>
        <w:t xml:space="preserve">L’Alliance </w:t>
      </w:r>
      <w:proofErr w:type="spellStart"/>
      <w:r w:rsidRPr="00833922">
        <w:rPr>
          <w:rFonts w:ascii="Open Sans" w:eastAsia="Times New Roman" w:hAnsi="Open Sans" w:cs="Open Sans"/>
          <w:i/>
          <w:iCs/>
          <w:color w:val="555555"/>
          <w:kern w:val="0"/>
          <w:sz w:val="21"/>
          <w:szCs w:val="21"/>
          <w:lang w:val="fr-FR" w:eastAsia="en-GB"/>
          <w14:ligatures w14:val="none"/>
        </w:rPr>
        <w:t>Francaise</w:t>
      </w:r>
      <w:proofErr w:type="spellEnd"/>
      <w:r w:rsidRPr="00833922">
        <w:rPr>
          <w:rFonts w:ascii="Open Sans" w:eastAsia="Times New Roman" w:hAnsi="Open Sans" w:cs="Open Sans"/>
          <w:i/>
          <w:iCs/>
          <w:color w:val="555555"/>
          <w:kern w:val="0"/>
          <w:sz w:val="21"/>
          <w:szCs w:val="21"/>
          <w:lang w:val="fr-FR" w:eastAsia="en-GB"/>
          <w14:ligatures w14:val="none"/>
        </w:rPr>
        <w:t>. Histoire d’une institution,</w:t>
      </w: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 Paris, Hachette, 1988.</w:t>
      </w:r>
    </w:p>
    <w:p w14:paraId="2F3F94F0" w14:textId="77777777" w:rsidR="00833922" w:rsidRPr="00833922" w:rsidRDefault="00833922" w:rsidP="00833922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</w:pPr>
      <w:proofErr w:type="spellStart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Chaubet</w:t>
      </w:r>
      <w:proofErr w:type="spellEnd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, François,</w:t>
      </w:r>
      <w:proofErr w:type="gramStart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 xml:space="preserve"> «L'Alliance</w:t>
      </w:r>
      <w:proofErr w:type="gramEnd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 xml:space="preserve"> française ou la diplomatie de la langue (1883-1914</w:t>
      </w:r>
      <w:proofErr w:type="gramStart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)»</w:t>
      </w:r>
      <w:proofErr w:type="gramEnd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 </w:t>
      </w:r>
      <w:r w:rsidRPr="00833922">
        <w:rPr>
          <w:rFonts w:ascii="Open Sans" w:eastAsia="Times New Roman" w:hAnsi="Open Sans" w:cs="Open Sans"/>
          <w:i/>
          <w:iCs/>
          <w:color w:val="555555"/>
          <w:kern w:val="0"/>
          <w:sz w:val="21"/>
          <w:szCs w:val="21"/>
          <w:lang w:val="fr-FR" w:eastAsia="en-GB"/>
          <w14:ligatures w14:val="none"/>
        </w:rPr>
        <w:t>Revue Historique</w:t>
      </w: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 xml:space="preserve">, 2004, </w:t>
      </w:r>
      <w:proofErr w:type="spellStart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>Νο</w:t>
      </w:r>
      <w:proofErr w:type="spellEnd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. 306/4, pp. 763-785.</w:t>
      </w:r>
    </w:p>
    <w:p w14:paraId="35419361" w14:textId="77777777" w:rsidR="00833922" w:rsidRPr="00833922" w:rsidRDefault="00833922" w:rsidP="00833922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</w:pP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>Cummings, Milton, Cultural diplomacy and the United States Information Agency: U.S. Public Diplomacy 1989-2001, New York, Palgrave, 2012.</w:t>
      </w:r>
    </w:p>
    <w:p w14:paraId="2FBFC210" w14:textId="77777777" w:rsidR="00833922" w:rsidRPr="00833922" w:rsidRDefault="00833922" w:rsidP="00833922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</w:pP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Deschamps, Yannick, « La réception des basketteurs Soviétiques en France. Une approche politico-culturelle des perceptions et des représentations, 1956-1964 », </w:t>
      </w:r>
      <w:r w:rsidRPr="00833922">
        <w:rPr>
          <w:rFonts w:ascii="Open Sans" w:eastAsia="Times New Roman" w:hAnsi="Open Sans" w:cs="Open Sans"/>
          <w:i/>
          <w:iCs/>
          <w:color w:val="555555"/>
          <w:kern w:val="0"/>
          <w:sz w:val="21"/>
          <w:szCs w:val="21"/>
          <w:lang w:val="fr-FR" w:eastAsia="en-GB"/>
          <w14:ligatures w14:val="none"/>
        </w:rPr>
        <w:t>Les Cahiers Sirice</w:t>
      </w: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, 2016/2, No 16, pp. 101-118.</w:t>
      </w:r>
    </w:p>
    <w:p w14:paraId="6A84A0C6" w14:textId="77777777" w:rsidR="00833922" w:rsidRPr="00833922" w:rsidRDefault="00833922" w:rsidP="00833922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</w:pP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Deschamps, Yannick, </w:t>
      </w:r>
      <w:r w:rsidRPr="00833922">
        <w:rPr>
          <w:rFonts w:ascii="Open Sans" w:eastAsia="Times New Roman" w:hAnsi="Open Sans" w:cs="Open Sans"/>
          <w:i/>
          <w:iCs/>
          <w:color w:val="555555"/>
          <w:kern w:val="0"/>
          <w:sz w:val="21"/>
          <w:szCs w:val="21"/>
          <w:lang w:val="fr-FR" w:eastAsia="en-GB"/>
          <w14:ligatures w14:val="none"/>
        </w:rPr>
        <w:t>La diplomatie sportive entre la France et l'URSS, des années 1920 à l'année 1991. Acteurs, échanges et stratégies</w:t>
      </w: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, thèse en histoire, Université de Strasbourg, École doctorale Sciences humaines et sociales, 2020.</w:t>
      </w:r>
    </w:p>
    <w:p w14:paraId="7D18B846" w14:textId="77777777" w:rsidR="00833922" w:rsidRPr="00833922" w:rsidRDefault="00833922" w:rsidP="00833922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</w:pPr>
      <w:proofErr w:type="spellStart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Dubosclard</w:t>
      </w:r>
      <w:proofErr w:type="spellEnd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, Alain, « L’Alliance Française aux États-Unis, outil de diplomatie ou association d’hommes libres ? » in </w:t>
      </w:r>
      <w:r w:rsidRPr="00833922">
        <w:rPr>
          <w:rFonts w:ascii="Open Sans" w:eastAsia="Times New Roman" w:hAnsi="Open Sans" w:cs="Open Sans"/>
          <w:i/>
          <w:iCs/>
          <w:color w:val="555555"/>
          <w:kern w:val="0"/>
          <w:sz w:val="21"/>
          <w:szCs w:val="21"/>
          <w:lang w:val="fr-FR" w:eastAsia="en-GB"/>
          <w14:ligatures w14:val="none"/>
        </w:rPr>
        <w:t>Entre rayonnement et réciprocité : Contributions à l’histoire de la diplomatie culturelle</w:t>
      </w: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 Paris, Éditions de la Sorbonne, 2002, pp. 117-137.</w:t>
      </w:r>
    </w:p>
    <w:p w14:paraId="3862484C" w14:textId="77777777" w:rsidR="00833922" w:rsidRPr="00833922" w:rsidRDefault="00833922" w:rsidP="00833922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</w:pP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 xml:space="preserve">Efthymiou, </w:t>
      </w:r>
      <w:proofErr w:type="spellStart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Loukia</w:t>
      </w:r>
      <w:proofErr w:type="spellEnd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, </w:t>
      </w:r>
      <w:r w:rsidRPr="00833922">
        <w:rPr>
          <w:rFonts w:ascii="Open Sans" w:eastAsia="Times New Roman" w:hAnsi="Open Sans" w:cs="Open Sans"/>
          <w:i/>
          <w:iCs/>
          <w:color w:val="555555"/>
          <w:kern w:val="0"/>
          <w:sz w:val="21"/>
          <w:szCs w:val="21"/>
          <w:lang w:val="fr-FR" w:eastAsia="en-GB"/>
          <w14:ligatures w14:val="none"/>
        </w:rPr>
        <w:t xml:space="preserve">La formation des </w:t>
      </w:r>
      <w:proofErr w:type="spellStart"/>
      <w:r w:rsidRPr="00833922">
        <w:rPr>
          <w:rFonts w:ascii="Open Sans" w:eastAsia="Times New Roman" w:hAnsi="Open Sans" w:cs="Open Sans"/>
          <w:i/>
          <w:iCs/>
          <w:color w:val="555555"/>
          <w:kern w:val="0"/>
          <w:sz w:val="21"/>
          <w:szCs w:val="21"/>
          <w:lang w:val="fr-FR" w:eastAsia="en-GB"/>
          <w14:ligatures w14:val="none"/>
        </w:rPr>
        <w:t>francisants</w:t>
      </w:r>
      <w:proofErr w:type="spellEnd"/>
      <w:r w:rsidRPr="00833922">
        <w:rPr>
          <w:rFonts w:ascii="Open Sans" w:eastAsia="Times New Roman" w:hAnsi="Open Sans" w:cs="Open Sans"/>
          <w:i/>
          <w:iCs/>
          <w:color w:val="555555"/>
          <w:kern w:val="0"/>
          <w:sz w:val="21"/>
          <w:szCs w:val="21"/>
          <w:lang w:val="fr-FR" w:eastAsia="en-GB"/>
          <w14:ligatures w14:val="none"/>
        </w:rPr>
        <w:t xml:space="preserve"> en Grèce, 1830-1982</w:t>
      </w: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 xml:space="preserve">, Paris, </w:t>
      </w:r>
      <w:proofErr w:type="spellStart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Publibook</w:t>
      </w:r>
      <w:proofErr w:type="spellEnd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, 2015.</w:t>
      </w:r>
    </w:p>
    <w:p w14:paraId="2D7C509F" w14:textId="77777777" w:rsidR="00833922" w:rsidRPr="00833922" w:rsidRDefault="00833922" w:rsidP="00833922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</w:pP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Frank, Robert, « La machine diplomatique culturelle française après 1945 », </w:t>
      </w:r>
      <w:r w:rsidRPr="00833922">
        <w:rPr>
          <w:rFonts w:ascii="Open Sans" w:eastAsia="Times New Roman" w:hAnsi="Open Sans" w:cs="Open Sans"/>
          <w:i/>
          <w:iCs/>
          <w:color w:val="555555"/>
          <w:kern w:val="0"/>
          <w:sz w:val="21"/>
          <w:szCs w:val="21"/>
          <w:lang w:val="fr-FR" w:eastAsia="en-GB"/>
          <w14:ligatures w14:val="none"/>
        </w:rPr>
        <w:t>Relations internationales</w:t>
      </w: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, No. 115, automne 2003 (septembre-octobre), pp. 325-348.</w:t>
      </w:r>
    </w:p>
    <w:p w14:paraId="152DA268" w14:textId="77777777" w:rsidR="00833922" w:rsidRPr="00833922" w:rsidRDefault="00833922" w:rsidP="00833922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</w:pP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 xml:space="preserve">Gillabert, Matthieu, « Diplomatie culturelle et diplomatie </w:t>
      </w:r>
      <w:proofErr w:type="gramStart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publique:</w:t>
      </w:r>
      <w:proofErr w:type="gramEnd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 xml:space="preserve"> des histoires parallèles ? », </w:t>
      </w:r>
      <w:r w:rsidRPr="00833922">
        <w:rPr>
          <w:rFonts w:ascii="Open Sans" w:eastAsia="Times New Roman" w:hAnsi="Open Sans" w:cs="Open Sans"/>
          <w:i/>
          <w:iCs/>
          <w:color w:val="555555"/>
          <w:kern w:val="0"/>
          <w:sz w:val="21"/>
          <w:szCs w:val="21"/>
          <w:lang w:val="fr-FR" w:eastAsia="en-GB"/>
          <w14:ligatures w14:val="none"/>
        </w:rPr>
        <w:t>Relations internationales</w:t>
      </w: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, 2017, No. 169/1, pp. 11-26.</w:t>
      </w:r>
    </w:p>
    <w:p w14:paraId="12BC1D91" w14:textId="77777777" w:rsidR="00833922" w:rsidRPr="00833922" w:rsidRDefault="00833922" w:rsidP="00833922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</w:pP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 xml:space="preserve">Gonçalves, Stéphanie, « Ballet, politique et diplomatie culturelle : l’Opéra de Paris aux </w:t>
      </w:r>
      <w:proofErr w:type="spellStart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Etats-unis</w:t>
      </w:r>
      <w:proofErr w:type="spellEnd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 xml:space="preserve"> en 1948 », </w:t>
      </w:r>
      <w:r w:rsidRPr="00833922">
        <w:rPr>
          <w:rFonts w:ascii="Open Sans" w:eastAsia="Times New Roman" w:hAnsi="Open Sans" w:cs="Open Sans"/>
          <w:i/>
          <w:iCs/>
          <w:color w:val="555555"/>
          <w:kern w:val="0"/>
          <w:sz w:val="21"/>
          <w:szCs w:val="21"/>
          <w:lang w:val="fr-FR" w:eastAsia="en-GB"/>
          <w14:ligatures w14:val="none"/>
        </w:rPr>
        <w:t>Relations internationales</w:t>
      </w: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, 2017/2 n° 170, pp. 35-46.</w:t>
      </w:r>
    </w:p>
    <w:p w14:paraId="55C6F67A" w14:textId="77777777" w:rsidR="00833922" w:rsidRPr="00833922" w:rsidRDefault="00833922" w:rsidP="00833922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</w:pPr>
      <w:proofErr w:type="spellStart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Guénard</w:t>
      </w:r>
      <w:proofErr w:type="spellEnd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, Annie,</w:t>
      </w:r>
      <w:proofErr w:type="gramStart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 xml:space="preserve"> «La</w:t>
      </w:r>
      <w:proofErr w:type="gramEnd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 xml:space="preserve"> politique culturelle française vis-à-vis des Etats balkaniques dans l’entre-deux-guerres », </w:t>
      </w:r>
      <w:r w:rsidRPr="00833922">
        <w:rPr>
          <w:rFonts w:ascii="Open Sans" w:eastAsia="Times New Roman" w:hAnsi="Open Sans" w:cs="Open Sans"/>
          <w:i/>
          <w:iCs/>
          <w:color w:val="555555"/>
          <w:kern w:val="0"/>
          <w:sz w:val="21"/>
          <w:szCs w:val="21"/>
          <w:lang w:val="fr-FR" w:eastAsia="en-GB"/>
          <w14:ligatures w14:val="none"/>
        </w:rPr>
        <w:t xml:space="preserve">Balkan </w:t>
      </w:r>
      <w:proofErr w:type="spellStart"/>
      <w:r w:rsidRPr="00833922">
        <w:rPr>
          <w:rFonts w:ascii="Open Sans" w:eastAsia="Times New Roman" w:hAnsi="Open Sans" w:cs="Open Sans"/>
          <w:i/>
          <w:iCs/>
          <w:color w:val="555555"/>
          <w:kern w:val="0"/>
          <w:sz w:val="21"/>
          <w:szCs w:val="21"/>
          <w:lang w:val="fr-FR" w:eastAsia="en-GB"/>
          <w14:ligatures w14:val="none"/>
        </w:rPr>
        <w:t>Studies</w:t>
      </w:r>
      <w:proofErr w:type="spellEnd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, 1998, No. 29/1, pp. 143-159.</w:t>
      </w:r>
    </w:p>
    <w:p w14:paraId="4CEA8601" w14:textId="77777777" w:rsidR="00833922" w:rsidRPr="00833922" w:rsidRDefault="00833922" w:rsidP="00833922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</w:pP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 xml:space="preserve">Lequesne, Christian, « La diplomatie publique : un objet </w:t>
      </w:r>
      <w:proofErr w:type="gramStart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nouveau?</w:t>
      </w:r>
      <w:proofErr w:type="gramEnd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 » https://hal-sciencespo.archives-ouvertes.fr/hal-03458651</w:t>
      </w:r>
    </w:p>
    <w:p w14:paraId="5C23AC7A" w14:textId="77777777" w:rsidR="00833922" w:rsidRPr="00833922" w:rsidRDefault="00833922" w:rsidP="00833922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</w:pP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Manitakis, Nicolas, « La politique de bourses de l’Etat français en Grèce (1922-1939) » in Maximilien Girard et Claire Béchu (</w:t>
      </w:r>
      <w:proofErr w:type="spellStart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ed</w:t>
      </w:r>
      <w:proofErr w:type="spellEnd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.), </w:t>
      </w:r>
      <w:r w:rsidRPr="00833922">
        <w:rPr>
          <w:rFonts w:ascii="Open Sans" w:eastAsia="Times New Roman" w:hAnsi="Open Sans" w:cs="Open Sans"/>
          <w:i/>
          <w:iCs/>
          <w:color w:val="555555"/>
          <w:kern w:val="0"/>
          <w:sz w:val="21"/>
          <w:szCs w:val="21"/>
          <w:lang w:val="fr-FR" w:eastAsia="en-GB"/>
          <w14:ligatures w14:val="none"/>
        </w:rPr>
        <w:t xml:space="preserve">La France et la Grèce au XXe </w:t>
      </w:r>
      <w:proofErr w:type="gramStart"/>
      <w:r w:rsidRPr="00833922">
        <w:rPr>
          <w:rFonts w:ascii="Open Sans" w:eastAsia="Times New Roman" w:hAnsi="Open Sans" w:cs="Open Sans"/>
          <w:i/>
          <w:iCs/>
          <w:color w:val="555555"/>
          <w:kern w:val="0"/>
          <w:sz w:val="21"/>
          <w:szCs w:val="21"/>
          <w:lang w:val="fr-FR" w:eastAsia="en-GB"/>
          <w14:ligatures w14:val="none"/>
        </w:rPr>
        <w:t>siècle:</w:t>
      </w:r>
      <w:proofErr w:type="gramEnd"/>
      <w:r w:rsidRPr="00833922">
        <w:rPr>
          <w:rFonts w:ascii="Open Sans" w:eastAsia="Times New Roman" w:hAnsi="Open Sans" w:cs="Open Sans"/>
          <w:i/>
          <w:iCs/>
          <w:color w:val="555555"/>
          <w:kern w:val="0"/>
          <w:sz w:val="21"/>
          <w:szCs w:val="21"/>
          <w:lang w:val="fr-FR" w:eastAsia="en-GB"/>
          <w14:ligatures w14:val="none"/>
        </w:rPr>
        <w:t xml:space="preserve"> des archives à l’histoire</w:t>
      </w: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, Athènes, Ecole Française d’Athènes, 2021, pp. 303-312.</w:t>
      </w:r>
    </w:p>
    <w:p w14:paraId="5F9CB589" w14:textId="77777777" w:rsidR="00833922" w:rsidRPr="00833922" w:rsidRDefault="00833922" w:rsidP="00833922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</w:pPr>
      <w:hyperlink r:id="rId6" w:history="1">
        <w:r w:rsidRPr="00833922">
          <w:rPr>
            <w:rFonts w:ascii="Open Sans" w:eastAsia="Times New Roman" w:hAnsi="Open Sans" w:cs="Open Sans"/>
            <w:color w:val="964F4F"/>
            <w:kern w:val="0"/>
            <w:sz w:val="21"/>
            <w:szCs w:val="21"/>
            <w:u w:val="single"/>
            <w:lang w:val="fr-FR" w:eastAsia="en-GB"/>
            <w14:ligatures w14:val="none"/>
          </w:rPr>
          <w:t>https://books.openedition.org/efa/13620</w:t>
        </w:r>
      </w:hyperlink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   https://uoa.academia.edu/NicolasManitakis/Papers</w:t>
      </w:r>
    </w:p>
    <w:p w14:paraId="19ED3438" w14:textId="77777777" w:rsidR="00833922" w:rsidRPr="00833922" w:rsidRDefault="00833922" w:rsidP="00833922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555555"/>
          <w:kern w:val="0"/>
          <w:sz w:val="21"/>
          <w:szCs w:val="21"/>
          <w:lang w:val="el-GR" w:eastAsia="en-GB"/>
          <w14:ligatures w14:val="none"/>
        </w:rPr>
      </w:pPr>
      <w:proofErr w:type="spellStart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el-GR" w:eastAsia="en-GB"/>
          <w14:ligatures w14:val="none"/>
        </w:rPr>
        <w:t>Μανιτάκης</w:t>
      </w:r>
      <w:proofErr w:type="spellEnd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el-GR" w:eastAsia="en-GB"/>
          <w14:ligatures w14:val="none"/>
        </w:rPr>
        <w:t>, Νικόλας, «</w:t>
      </w: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> </w:t>
      </w:r>
      <w:proofErr w:type="spellStart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el-GR" w:eastAsia="en-GB"/>
          <w14:ligatures w14:val="none"/>
        </w:rPr>
        <w:t>Απο</w:t>
      </w:r>
      <w:proofErr w:type="spellEnd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el-GR" w:eastAsia="en-GB"/>
          <w14:ligatures w14:val="none"/>
        </w:rPr>
        <w:t xml:space="preserve"> το Γαλλικό Λύκειο της </w:t>
      </w: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>Mission</w:t>
      </w: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el-GR" w:eastAsia="en-GB"/>
          <w14:ligatures w14:val="none"/>
        </w:rPr>
        <w:t xml:space="preserve"> </w:t>
      </w: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>La</w:t>
      </w: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el-GR" w:eastAsia="en-GB"/>
          <w14:ligatures w14:val="none"/>
        </w:rPr>
        <w:t>ϊ</w:t>
      </w:r>
      <w:proofErr w:type="spellStart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>que</w:t>
      </w:r>
      <w:proofErr w:type="spellEnd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el-GR" w:eastAsia="en-GB"/>
          <w14:ligatures w14:val="none"/>
        </w:rPr>
        <w:t xml:space="preserve"> στο Γαλλικό Ινστιτούτο Θεσσαλονίκης (1920-1970): αναγέννηση και ανασχηματισμός ενός εκπαιδευτικού ιδρύματος</w:t>
      </w: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> </w:t>
      </w: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el-GR" w:eastAsia="en-GB"/>
          <w14:ligatures w14:val="none"/>
        </w:rPr>
        <w:t>»,</w:t>
      </w: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> </w:t>
      </w:r>
      <w:r w:rsidRPr="00833922">
        <w:rPr>
          <w:rFonts w:ascii="Open Sans" w:eastAsia="Times New Roman" w:hAnsi="Open Sans" w:cs="Open Sans"/>
          <w:i/>
          <w:iCs/>
          <w:color w:val="555555"/>
          <w:kern w:val="0"/>
          <w:sz w:val="21"/>
          <w:szCs w:val="21"/>
          <w:lang w:val="el-GR" w:eastAsia="en-GB"/>
          <w14:ligatures w14:val="none"/>
        </w:rPr>
        <w:t>Επιστημονική Επετηρίδα Κέντρου Ιστορίας Θεσσαλονίκης</w:t>
      </w: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el-GR" w:eastAsia="en-GB"/>
          <w14:ligatures w14:val="none"/>
        </w:rPr>
        <w:t xml:space="preserve">, 2021, </w:t>
      </w: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>No</w:t>
      </w: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el-GR" w:eastAsia="en-GB"/>
          <w14:ligatures w14:val="none"/>
        </w:rPr>
        <w:t xml:space="preserve">. 10, </w:t>
      </w: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>pp</w:t>
      </w: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el-GR" w:eastAsia="en-GB"/>
          <w14:ligatures w14:val="none"/>
        </w:rPr>
        <w:t>. 345-369.</w:t>
      </w:r>
    </w:p>
    <w:p w14:paraId="5C9919AA" w14:textId="77777777" w:rsidR="00833922" w:rsidRDefault="00833922" w:rsidP="00833922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</w:pPr>
      <w:proofErr w:type="spellStart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Marès</w:t>
      </w:r>
      <w:proofErr w:type="spellEnd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 xml:space="preserve">, Antoine, « Puissance et présence culturelle de la </w:t>
      </w:r>
      <w:proofErr w:type="gramStart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France:</w:t>
      </w:r>
      <w:proofErr w:type="gramEnd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 xml:space="preserve"> L'exemple du Service des Œuvres françaises à l'Étranger dans les années 30 », </w:t>
      </w:r>
      <w:r w:rsidRPr="00833922">
        <w:rPr>
          <w:rFonts w:ascii="Open Sans" w:eastAsia="Times New Roman" w:hAnsi="Open Sans" w:cs="Open Sans"/>
          <w:i/>
          <w:iCs/>
          <w:color w:val="555555"/>
          <w:kern w:val="0"/>
          <w:sz w:val="21"/>
          <w:szCs w:val="21"/>
          <w:lang w:val="fr-FR" w:eastAsia="en-GB"/>
          <w14:ligatures w14:val="none"/>
        </w:rPr>
        <w:t>Relations internationales</w:t>
      </w: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, No. 33, printemps 1983, pp. 65-80.</w:t>
      </w:r>
    </w:p>
    <w:p w14:paraId="5F8443E9" w14:textId="4954D7C6" w:rsidR="00F93FC7" w:rsidRPr="00355218" w:rsidRDefault="00F93FC7" w:rsidP="008339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en-GB"/>
          <w14:ligatures w14:val="none"/>
        </w:rPr>
      </w:pPr>
      <w:r w:rsidRPr="00355218">
        <w:rPr>
          <w:rFonts w:ascii="Times New Roman" w:hAnsi="Times New Roman" w:cs="Times New Roman"/>
          <w:sz w:val="24"/>
          <w:szCs w:val="24"/>
        </w:rPr>
        <w:t xml:space="preserve">Martin, </w:t>
      </w:r>
      <w:proofErr w:type="gramStart"/>
      <w:r w:rsidRPr="00355218">
        <w:rPr>
          <w:rFonts w:ascii="Times New Roman" w:hAnsi="Times New Roman" w:cs="Times New Roman"/>
          <w:sz w:val="24"/>
          <w:szCs w:val="24"/>
        </w:rPr>
        <w:t>Benjamin,  “</w:t>
      </w:r>
      <w:proofErr w:type="gramEnd"/>
      <w:r w:rsidRPr="00355218">
        <w:rPr>
          <w:rFonts w:ascii="Times New Roman" w:hAnsi="Times New Roman" w:cs="Times New Roman"/>
          <w:sz w:val="24"/>
          <w:szCs w:val="24"/>
        </w:rPr>
        <w:t xml:space="preserve">The Birth of the Cultural Treaty in Europe’s Age of Crisis”, </w:t>
      </w:r>
      <w:r w:rsidRPr="00355218">
        <w:rPr>
          <w:rFonts w:ascii="Times New Roman" w:hAnsi="Times New Roman" w:cs="Times New Roman"/>
          <w:i/>
          <w:iCs/>
          <w:sz w:val="24"/>
          <w:szCs w:val="24"/>
        </w:rPr>
        <w:t>Contemporary European History</w:t>
      </w:r>
      <w:r w:rsidRPr="00355218">
        <w:rPr>
          <w:rFonts w:ascii="Times New Roman" w:hAnsi="Times New Roman" w:cs="Times New Roman"/>
          <w:sz w:val="24"/>
          <w:szCs w:val="24"/>
        </w:rPr>
        <w:t xml:space="preserve">, </w:t>
      </w:r>
      <w:r w:rsidR="00F71065" w:rsidRPr="00355218">
        <w:rPr>
          <w:rFonts w:ascii="Times New Roman" w:hAnsi="Times New Roman" w:cs="Times New Roman"/>
          <w:sz w:val="24"/>
          <w:szCs w:val="24"/>
        </w:rPr>
        <w:t xml:space="preserve">2021, </w:t>
      </w:r>
      <w:r w:rsidRPr="00355218">
        <w:rPr>
          <w:rFonts w:ascii="Times New Roman" w:hAnsi="Times New Roman" w:cs="Times New Roman"/>
          <w:sz w:val="24"/>
          <w:szCs w:val="24"/>
        </w:rPr>
        <w:t xml:space="preserve">vol. </w:t>
      </w:r>
      <w:proofErr w:type="gramStart"/>
      <w:r w:rsidRPr="00355218">
        <w:rPr>
          <w:rFonts w:ascii="Times New Roman" w:hAnsi="Times New Roman" w:cs="Times New Roman"/>
          <w:sz w:val="24"/>
          <w:szCs w:val="24"/>
        </w:rPr>
        <w:t xml:space="preserve">30,  </w:t>
      </w:r>
      <w:r w:rsidR="00F71065" w:rsidRPr="00355218">
        <w:rPr>
          <w:rFonts w:ascii="Times New Roman" w:hAnsi="Times New Roman" w:cs="Times New Roman"/>
          <w:sz w:val="24"/>
          <w:szCs w:val="24"/>
        </w:rPr>
        <w:t>p.</w:t>
      </w:r>
      <w:proofErr w:type="gramEnd"/>
      <w:r w:rsidR="00F71065" w:rsidRPr="00355218">
        <w:rPr>
          <w:rFonts w:ascii="Times New Roman" w:hAnsi="Times New Roman" w:cs="Times New Roman"/>
          <w:sz w:val="24"/>
          <w:szCs w:val="24"/>
        </w:rPr>
        <w:t xml:space="preserve"> 301-317.</w:t>
      </w:r>
    </w:p>
    <w:p w14:paraId="55294F6F" w14:textId="306B5753" w:rsidR="00F93FC7" w:rsidRPr="00833922" w:rsidRDefault="00F93FC7" w:rsidP="00833922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</w:pPr>
      <w:r w:rsidRPr="00F93FC7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lastRenderedPageBreak/>
        <w:t xml:space="preserve">Martin, Benjamin, « The Rise of </w:t>
      </w:r>
      <w:r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 xml:space="preserve">the Cultural </w:t>
      </w:r>
      <w:proofErr w:type="gramStart"/>
      <w:r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>Treaty :</w:t>
      </w:r>
      <w:proofErr w:type="gramEnd"/>
      <w:r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 xml:space="preserve"> Diplomatic Agreements and the International Politics of Culture in the Age of Three Worlds</w:t>
      </w:r>
      <w:r w:rsidRPr="00F93FC7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> »</w:t>
      </w:r>
      <w:r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 xml:space="preserve">, </w:t>
      </w:r>
      <w:r w:rsidRPr="00F93FC7">
        <w:rPr>
          <w:rFonts w:ascii="Open Sans" w:eastAsia="Times New Roman" w:hAnsi="Open Sans" w:cs="Open Sans"/>
          <w:i/>
          <w:iCs/>
          <w:color w:val="555555"/>
          <w:kern w:val="0"/>
          <w:sz w:val="21"/>
          <w:szCs w:val="21"/>
          <w:lang w:eastAsia="en-GB"/>
          <w14:ligatures w14:val="none"/>
        </w:rPr>
        <w:t>The International History Review</w:t>
      </w:r>
      <w:r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>, 2022, vol. 44, issue 6, p. 1327-1346.</w:t>
      </w:r>
    </w:p>
    <w:p w14:paraId="787A684B" w14:textId="77777777" w:rsidR="00833922" w:rsidRPr="00833922" w:rsidRDefault="00833922" w:rsidP="00833922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</w:pPr>
      <w:proofErr w:type="spellStart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Milliex</w:t>
      </w:r>
      <w:proofErr w:type="spellEnd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, Roger, « L'Institut français d'Athènes, fils spirituel de l'École française », </w:t>
      </w:r>
      <w:r w:rsidRPr="00833922">
        <w:rPr>
          <w:rFonts w:ascii="Open Sans" w:eastAsia="Times New Roman" w:hAnsi="Open Sans" w:cs="Open Sans"/>
          <w:i/>
          <w:iCs/>
          <w:color w:val="555555"/>
          <w:kern w:val="0"/>
          <w:sz w:val="21"/>
          <w:szCs w:val="21"/>
          <w:lang w:val="fr-FR" w:eastAsia="en-GB"/>
          <w14:ligatures w14:val="none"/>
        </w:rPr>
        <w:t>Bulletin de correspondance hellénique</w:t>
      </w: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, No. 120/1, 1996. pp. 69-82.</w:t>
      </w:r>
    </w:p>
    <w:p w14:paraId="0B0007C6" w14:textId="77777777" w:rsidR="00833922" w:rsidRPr="00833922" w:rsidRDefault="00833922" w:rsidP="00833922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</w:pP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>Nye, Joseph, «Public Diplomacy and Soft Power», ANNALS, AAPSS, No. 616, March 2008, pp. 94-108</w:t>
      </w:r>
    </w:p>
    <w:p w14:paraId="1B36FA98" w14:textId="77777777" w:rsidR="00833922" w:rsidRPr="00833922" w:rsidRDefault="00833922" w:rsidP="00833922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</w:pP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>Nye, Joseph, </w:t>
      </w:r>
      <w:r w:rsidRPr="00833922">
        <w:rPr>
          <w:rFonts w:ascii="Open Sans" w:eastAsia="Times New Roman" w:hAnsi="Open Sans" w:cs="Open Sans"/>
          <w:i/>
          <w:iCs/>
          <w:color w:val="555555"/>
          <w:kern w:val="0"/>
          <w:sz w:val="21"/>
          <w:szCs w:val="21"/>
          <w:lang w:eastAsia="en-GB"/>
          <w14:ligatures w14:val="none"/>
        </w:rPr>
        <w:t>The means to success in world politics</w:t>
      </w: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 xml:space="preserve">, Public </w:t>
      </w:r>
      <w:proofErr w:type="spellStart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>Affaires</w:t>
      </w:r>
      <w:proofErr w:type="spellEnd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>, 2004.</w:t>
      </w:r>
    </w:p>
    <w:p w14:paraId="27384D85" w14:textId="77777777" w:rsidR="00833922" w:rsidRPr="00833922" w:rsidRDefault="00833922" w:rsidP="00833922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</w:pP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>Santoro, Stefano, «The cultural penetration of Fascist Italy abroad and in eastern Europe», </w:t>
      </w:r>
      <w:r w:rsidRPr="00833922">
        <w:rPr>
          <w:rFonts w:ascii="Open Sans" w:eastAsia="Times New Roman" w:hAnsi="Open Sans" w:cs="Open Sans"/>
          <w:i/>
          <w:iCs/>
          <w:color w:val="555555"/>
          <w:kern w:val="0"/>
          <w:sz w:val="21"/>
          <w:szCs w:val="21"/>
          <w:lang w:eastAsia="en-GB"/>
          <w14:ligatures w14:val="none"/>
        </w:rPr>
        <w:t>Journal of Modern Italian Studies</w:t>
      </w: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eastAsia="en-GB"/>
          <w14:ligatures w14:val="none"/>
        </w:rPr>
        <w:t>, No. 8/1, 2003, pp. 36-66.</w:t>
      </w:r>
    </w:p>
    <w:p w14:paraId="217CBB6E" w14:textId="21CD237D" w:rsidR="00833922" w:rsidRPr="00833922" w:rsidRDefault="00833922" w:rsidP="00833922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</w:pPr>
      <w:proofErr w:type="spellStart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Spaëth</w:t>
      </w:r>
      <w:proofErr w:type="spellEnd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, Valérie,</w:t>
      </w:r>
      <w:proofErr w:type="gramStart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 xml:space="preserve"> «Mondialisation</w:t>
      </w:r>
      <w:proofErr w:type="gramEnd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 xml:space="preserve"> du français dans la seconde partie du XIX e siècle : "l'Alliance Israélite Universelle" et "l'Alliance Française</w:t>
      </w:r>
      <w:proofErr w:type="gramStart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"»</w:t>
      </w:r>
      <w:proofErr w:type="gramEnd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, </w:t>
      </w:r>
      <w:r w:rsidRPr="00833922">
        <w:rPr>
          <w:rFonts w:ascii="Open Sans" w:eastAsia="Times New Roman" w:hAnsi="Open Sans" w:cs="Open Sans"/>
          <w:i/>
          <w:iCs/>
          <w:color w:val="555555"/>
          <w:kern w:val="0"/>
          <w:sz w:val="21"/>
          <w:szCs w:val="21"/>
          <w:lang w:val="fr-FR" w:eastAsia="en-GB"/>
          <w14:ligatures w14:val="none"/>
        </w:rPr>
        <w:t>Langue Française</w:t>
      </w: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, Septembre 2010, No. 167, pp. 49-72.</w:t>
      </w:r>
    </w:p>
    <w:p w14:paraId="492F3D4F" w14:textId="77777777" w:rsidR="00833922" w:rsidRPr="00833922" w:rsidRDefault="00833922" w:rsidP="00833922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</w:pP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Thévenin, André, </w:t>
      </w:r>
      <w:r w:rsidRPr="00833922">
        <w:rPr>
          <w:rFonts w:ascii="Open Sans" w:eastAsia="Times New Roman" w:hAnsi="Open Sans" w:cs="Open Sans"/>
          <w:i/>
          <w:iCs/>
          <w:color w:val="555555"/>
          <w:kern w:val="0"/>
          <w:sz w:val="21"/>
          <w:szCs w:val="21"/>
          <w:lang w:val="fr-FR" w:eastAsia="en-GB"/>
          <w14:ligatures w14:val="none"/>
        </w:rPr>
        <w:t>La Mission Laïque Française à travers son histoire, 1902-2002</w:t>
      </w: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, Paris, Mission Laïque Française, 2002</w:t>
      </w:r>
    </w:p>
    <w:p w14:paraId="742E8DC3" w14:textId="39C9C7A8" w:rsidR="00833922" w:rsidRPr="00833922" w:rsidRDefault="00833922" w:rsidP="00833922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</w:pPr>
      <w:hyperlink r:id="rId7" w:history="1">
        <w:r w:rsidRPr="00833922">
          <w:rPr>
            <w:rFonts w:ascii="Open Sans" w:eastAsia="Times New Roman" w:hAnsi="Open Sans" w:cs="Open Sans"/>
            <w:color w:val="964F4F"/>
            <w:kern w:val="0"/>
            <w:sz w:val="21"/>
            <w:szCs w:val="21"/>
            <w:u w:val="single"/>
            <w:lang w:val="fr-FR" w:eastAsia="en-GB"/>
            <w14:ligatures w14:val="none"/>
          </w:rPr>
          <w:t>https://www.mlfmonde.org/wp-content/uploads/2017/02/La-Mission-la%C3%AFque-fran%C3%A7aise-%C3%A0-travers-son-histoire-1902-2002-Andr%C3%A9-Th%C3%A9venin_bd.pdf</w:t>
        </w:r>
      </w:hyperlink>
    </w:p>
    <w:p w14:paraId="39016754" w14:textId="77777777" w:rsidR="00833922" w:rsidRPr="00833922" w:rsidRDefault="00833922" w:rsidP="00833922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</w:pP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 xml:space="preserve">Tronchet, Guillaume, « Diplomatie universitaire ou diplomatie </w:t>
      </w:r>
      <w:proofErr w:type="gramStart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culturelle?</w:t>
      </w:r>
      <w:proofErr w:type="gramEnd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 xml:space="preserve"> La Cité internationale universitaire de Paris entre deux rives (1920-1940) » in Dzovinar </w:t>
      </w:r>
      <w:proofErr w:type="spellStart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Kévonian</w:t>
      </w:r>
      <w:proofErr w:type="spellEnd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 xml:space="preserve"> et Guillaume Tronchet (</w:t>
      </w:r>
      <w:proofErr w:type="spellStart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ed</w:t>
      </w:r>
      <w:proofErr w:type="spellEnd"/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.), </w:t>
      </w:r>
      <w:r w:rsidRPr="00833922">
        <w:rPr>
          <w:rFonts w:ascii="Open Sans" w:eastAsia="Times New Roman" w:hAnsi="Open Sans" w:cs="Open Sans"/>
          <w:i/>
          <w:iCs/>
          <w:color w:val="555555"/>
          <w:kern w:val="0"/>
          <w:sz w:val="21"/>
          <w:szCs w:val="21"/>
          <w:lang w:val="fr-FR" w:eastAsia="en-GB"/>
          <w14:ligatures w14:val="none"/>
        </w:rPr>
        <w:t>La Babel étudiante. La Cité internationale universitaire de Paris (1920-1950)</w:t>
      </w:r>
      <w:r w:rsidRPr="00833922">
        <w:rPr>
          <w:rFonts w:ascii="Open Sans" w:eastAsia="Times New Roman" w:hAnsi="Open Sans" w:cs="Open Sans"/>
          <w:color w:val="555555"/>
          <w:kern w:val="0"/>
          <w:sz w:val="21"/>
          <w:szCs w:val="21"/>
          <w:lang w:val="fr-FR" w:eastAsia="en-GB"/>
          <w14:ligatures w14:val="none"/>
        </w:rPr>
        <w:t>, Rennes, Presses universitaires de Rennes, 2013, pp.58-88.</w:t>
      </w:r>
    </w:p>
    <w:p w14:paraId="71C6D478" w14:textId="77777777" w:rsidR="005B50D9" w:rsidRPr="00833922" w:rsidRDefault="005B50D9">
      <w:pPr>
        <w:rPr>
          <w:lang w:val="fr-FR"/>
        </w:rPr>
      </w:pPr>
    </w:p>
    <w:sectPr w:rsidR="005B50D9" w:rsidRPr="008339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42513"/>
    <w:multiLevelType w:val="multilevel"/>
    <w:tmpl w:val="E4761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3D764B"/>
    <w:multiLevelType w:val="multilevel"/>
    <w:tmpl w:val="F17CB9DE"/>
    <w:lvl w:ilvl="0">
      <w:start w:val="82"/>
      <w:numFmt w:val="decimal"/>
      <w:lvlText w:val="%1."/>
      <w:lvlJc w:val="left"/>
      <w:pPr>
        <w:tabs>
          <w:tab w:val="num" w:pos="1778"/>
        </w:tabs>
        <w:ind w:left="1778" w:hanging="360"/>
      </w:pPr>
    </w:lvl>
    <w:lvl w:ilvl="1" w:tentative="1">
      <w:start w:val="1"/>
      <w:numFmt w:val="decimal"/>
      <w:lvlText w:val="%2."/>
      <w:lvlJc w:val="left"/>
      <w:pPr>
        <w:tabs>
          <w:tab w:val="num" w:pos="2498"/>
        </w:tabs>
        <w:ind w:left="2498" w:hanging="360"/>
      </w:pPr>
    </w:lvl>
    <w:lvl w:ilvl="2" w:tentative="1">
      <w:start w:val="1"/>
      <w:numFmt w:val="decimal"/>
      <w:lvlText w:val="%3."/>
      <w:lvlJc w:val="left"/>
      <w:pPr>
        <w:tabs>
          <w:tab w:val="num" w:pos="3218"/>
        </w:tabs>
        <w:ind w:left="3218" w:hanging="360"/>
      </w:pPr>
    </w:lvl>
    <w:lvl w:ilvl="3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entative="1">
      <w:start w:val="1"/>
      <w:numFmt w:val="decimal"/>
      <w:lvlText w:val="%5."/>
      <w:lvlJc w:val="left"/>
      <w:pPr>
        <w:tabs>
          <w:tab w:val="num" w:pos="4658"/>
        </w:tabs>
        <w:ind w:left="4658" w:hanging="360"/>
      </w:pPr>
    </w:lvl>
    <w:lvl w:ilvl="5" w:tentative="1">
      <w:start w:val="1"/>
      <w:numFmt w:val="decimal"/>
      <w:lvlText w:val="%6."/>
      <w:lvlJc w:val="left"/>
      <w:pPr>
        <w:tabs>
          <w:tab w:val="num" w:pos="5378"/>
        </w:tabs>
        <w:ind w:left="5378" w:hanging="360"/>
      </w:pPr>
    </w:lvl>
    <w:lvl w:ilvl="6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entative="1">
      <w:start w:val="1"/>
      <w:numFmt w:val="decimal"/>
      <w:lvlText w:val="%8."/>
      <w:lvlJc w:val="left"/>
      <w:pPr>
        <w:tabs>
          <w:tab w:val="num" w:pos="6818"/>
        </w:tabs>
        <w:ind w:left="6818" w:hanging="360"/>
      </w:pPr>
    </w:lvl>
    <w:lvl w:ilvl="8" w:tentative="1">
      <w:start w:val="1"/>
      <w:numFmt w:val="decimal"/>
      <w:lvlText w:val="%9."/>
      <w:lvlJc w:val="left"/>
      <w:pPr>
        <w:tabs>
          <w:tab w:val="num" w:pos="7538"/>
        </w:tabs>
        <w:ind w:left="7538" w:hanging="360"/>
      </w:pPr>
    </w:lvl>
  </w:abstractNum>
  <w:abstractNum w:abstractNumId="2" w15:restartNumberingAfterBreak="0">
    <w:nsid w:val="03A32E5C"/>
    <w:multiLevelType w:val="multilevel"/>
    <w:tmpl w:val="A8F2C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 w15:restartNumberingAfterBreak="0">
    <w:nsid w:val="06535ECB"/>
    <w:multiLevelType w:val="multilevel"/>
    <w:tmpl w:val="AFA6203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B139A8"/>
    <w:multiLevelType w:val="multilevel"/>
    <w:tmpl w:val="938876A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5" w15:restartNumberingAfterBreak="0">
    <w:nsid w:val="14B87D86"/>
    <w:multiLevelType w:val="multilevel"/>
    <w:tmpl w:val="4D308AA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6" w15:restartNumberingAfterBreak="0">
    <w:nsid w:val="1EE205E9"/>
    <w:multiLevelType w:val="multilevel"/>
    <w:tmpl w:val="E75E8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701019"/>
    <w:multiLevelType w:val="multilevel"/>
    <w:tmpl w:val="4D308AA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8" w15:restartNumberingAfterBreak="0">
    <w:nsid w:val="291F3531"/>
    <w:multiLevelType w:val="hybridMultilevel"/>
    <w:tmpl w:val="3404C7FE"/>
    <w:lvl w:ilvl="0" w:tplc="0408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872865"/>
    <w:multiLevelType w:val="multilevel"/>
    <w:tmpl w:val="CF98A38E"/>
    <w:lvl w:ilvl="0">
      <w:start w:val="312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10" w15:restartNumberingAfterBreak="0">
    <w:nsid w:val="2A9D7CF3"/>
    <w:multiLevelType w:val="multilevel"/>
    <w:tmpl w:val="442E0CB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11" w15:restartNumberingAfterBreak="0">
    <w:nsid w:val="2D542DD1"/>
    <w:multiLevelType w:val="multilevel"/>
    <w:tmpl w:val="C21C5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8217F2"/>
    <w:multiLevelType w:val="multilevel"/>
    <w:tmpl w:val="84181B6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3" w15:restartNumberingAfterBreak="0">
    <w:nsid w:val="345A26B9"/>
    <w:multiLevelType w:val="multilevel"/>
    <w:tmpl w:val="70EC7A9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634167"/>
    <w:multiLevelType w:val="multilevel"/>
    <w:tmpl w:val="9C1C62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5" w15:restartNumberingAfterBreak="0">
    <w:nsid w:val="380E38E4"/>
    <w:multiLevelType w:val="multilevel"/>
    <w:tmpl w:val="8DE2B98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E481DB2"/>
    <w:multiLevelType w:val="multilevel"/>
    <w:tmpl w:val="E36C5A0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E4944B5"/>
    <w:multiLevelType w:val="multilevel"/>
    <w:tmpl w:val="1466FC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8" w15:restartNumberingAfterBreak="0">
    <w:nsid w:val="415763A6"/>
    <w:multiLevelType w:val="multilevel"/>
    <w:tmpl w:val="4C32971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7973593"/>
    <w:multiLevelType w:val="multilevel"/>
    <w:tmpl w:val="ACB061E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20" w15:restartNumberingAfterBreak="0">
    <w:nsid w:val="47AE23DF"/>
    <w:multiLevelType w:val="multilevel"/>
    <w:tmpl w:val="C48A7A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1" w15:restartNumberingAfterBreak="0">
    <w:nsid w:val="4D340F51"/>
    <w:multiLevelType w:val="multilevel"/>
    <w:tmpl w:val="E08862F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1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F646A5F"/>
    <w:multiLevelType w:val="multilevel"/>
    <w:tmpl w:val="39F852C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24E3D6B"/>
    <w:multiLevelType w:val="multilevel"/>
    <w:tmpl w:val="696246F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24" w15:restartNumberingAfterBreak="0">
    <w:nsid w:val="53325D88"/>
    <w:multiLevelType w:val="multilevel"/>
    <w:tmpl w:val="442E0CB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25" w15:restartNumberingAfterBreak="0">
    <w:nsid w:val="62FF153C"/>
    <w:multiLevelType w:val="multilevel"/>
    <w:tmpl w:val="A8065B1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3DD62CD"/>
    <w:multiLevelType w:val="multilevel"/>
    <w:tmpl w:val="696246F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27" w15:restartNumberingAfterBreak="0">
    <w:nsid w:val="68707028"/>
    <w:multiLevelType w:val="multilevel"/>
    <w:tmpl w:val="131095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Open Sans" w:eastAsia="Times New Roman" w:hAnsi="Open Sans" w:cs="Open Sans"/>
      </w:r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8" w15:restartNumberingAfterBreak="0">
    <w:nsid w:val="6A3E11BF"/>
    <w:multiLevelType w:val="multilevel"/>
    <w:tmpl w:val="21065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A9A6FD6"/>
    <w:multiLevelType w:val="multilevel"/>
    <w:tmpl w:val="5410465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D8F49BD"/>
    <w:multiLevelType w:val="multilevel"/>
    <w:tmpl w:val="ACB061E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31" w15:restartNumberingAfterBreak="0">
    <w:nsid w:val="6D924F81"/>
    <w:multiLevelType w:val="multilevel"/>
    <w:tmpl w:val="A8F2C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2" w15:restartNumberingAfterBreak="0">
    <w:nsid w:val="77705901"/>
    <w:multiLevelType w:val="multilevel"/>
    <w:tmpl w:val="ACAA854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8413A61"/>
    <w:multiLevelType w:val="multilevel"/>
    <w:tmpl w:val="C064467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C6C0FD2"/>
    <w:multiLevelType w:val="multilevel"/>
    <w:tmpl w:val="696246F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35" w15:restartNumberingAfterBreak="0">
    <w:nsid w:val="7D156850"/>
    <w:multiLevelType w:val="multilevel"/>
    <w:tmpl w:val="4D308A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6" w15:restartNumberingAfterBreak="0">
    <w:nsid w:val="7D724D71"/>
    <w:multiLevelType w:val="multilevel"/>
    <w:tmpl w:val="6E0086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12821805">
    <w:abstractNumId w:val="6"/>
  </w:num>
  <w:num w:numId="2" w16cid:durableId="227544050">
    <w:abstractNumId w:val="27"/>
  </w:num>
  <w:num w:numId="3" w16cid:durableId="437605017">
    <w:abstractNumId w:val="36"/>
  </w:num>
  <w:num w:numId="4" w16cid:durableId="1800419828">
    <w:abstractNumId w:val="34"/>
  </w:num>
  <w:num w:numId="5" w16cid:durableId="1175262359">
    <w:abstractNumId w:val="33"/>
  </w:num>
  <w:num w:numId="6" w16cid:durableId="1272084852">
    <w:abstractNumId w:val="5"/>
  </w:num>
  <w:num w:numId="7" w16cid:durableId="1297838879">
    <w:abstractNumId w:val="12"/>
  </w:num>
  <w:num w:numId="8" w16cid:durableId="849293536">
    <w:abstractNumId w:val="13"/>
  </w:num>
  <w:num w:numId="9" w16cid:durableId="150102534">
    <w:abstractNumId w:val="14"/>
  </w:num>
  <w:num w:numId="10" w16cid:durableId="606698515">
    <w:abstractNumId w:val="16"/>
  </w:num>
  <w:num w:numId="11" w16cid:durableId="1795979420">
    <w:abstractNumId w:val="20"/>
  </w:num>
  <w:num w:numId="12" w16cid:durableId="654652133">
    <w:abstractNumId w:val="21"/>
  </w:num>
  <w:num w:numId="13" w16cid:durableId="2055537269">
    <w:abstractNumId w:val="10"/>
  </w:num>
  <w:num w:numId="14" w16cid:durableId="1402675975">
    <w:abstractNumId w:val="25"/>
  </w:num>
  <w:num w:numId="15" w16cid:durableId="98719083">
    <w:abstractNumId w:val="1"/>
  </w:num>
  <w:num w:numId="16" w16cid:durableId="1724015703">
    <w:abstractNumId w:val="15"/>
  </w:num>
  <w:num w:numId="17" w16cid:durableId="150877796">
    <w:abstractNumId w:val="11"/>
  </w:num>
  <w:num w:numId="18" w16cid:durableId="569928360">
    <w:abstractNumId w:val="28"/>
  </w:num>
  <w:num w:numId="19" w16cid:durableId="499661345">
    <w:abstractNumId w:val="3"/>
  </w:num>
  <w:num w:numId="20" w16cid:durableId="1518427842">
    <w:abstractNumId w:val="19"/>
  </w:num>
  <w:num w:numId="21" w16cid:durableId="876504311">
    <w:abstractNumId w:val="32"/>
  </w:num>
  <w:num w:numId="22" w16cid:durableId="769276790">
    <w:abstractNumId w:val="4"/>
  </w:num>
  <w:num w:numId="23" w16cid:durableId="1496677405">
    <w:abstractNumId w:val="29"/>
  </w:num>
  <w:num w:numId="24" w16cid:durableId="281035614">
    <w:abstractNumId w:val="9"/>
  </w:num>
  <w:num w:numId="25" w16cid:durableId="2083135715">
    <w:abstractNumId w:val="18"/>
  </w:num>
  <w:num w:numId="26" w16cid:durableId="555628112">
    <w:abstractNumId w:val="31"/>
  </w:num>
  <w:num w:numId="27" w16cid:durableId="452947319">
    <w:abstractNumId w:val="22"/>
  </w:num>
  <w:num w:numId="28" w16cid:durableId="1630473599">
    <w:abstractNumId w:val="17"/>
  </w:num>
  <w:num w:numId="29" w16cid:durableId="1302077500">
    <w:abstractNumId w:val="26"/>
  </w:num>
  <w:num w:numId="30" w16cid:durableId="89929804">
    <w:abstractNumId w:val="23"/>
  </w:num>
  <w:num w:numId="31" w16cid:durableId="2098626523">
    <w:abstractNumId w:val="24"/>
  </w:num>
  <w:num w:numId="32" w16cid:durableId="818350351">
    <w:abstractNumId w:val="7"/>
  </w:num>
  <w:num w:numId="33" w16cid:durableId="1844739323">
    <w:abstractNumId w:val="30"/>
  </w:num>
  <w:num w:numId="34" w16cid:durableId="930620214">
    <w:abstractNumId w:val="2"/>
  </w:num>
  <w:num w:numId="35" w16cid:durableId="536623936">
    <w:abstractNumId w:val="0"/>
  </w:num>
  <w:num w:numId="36" w16cid:durableId="194386740">
    <w:abstractNumId w:val="35"/>
  </w:num>
  <w:num w:numId="37" w16cid:durableId="96485087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922"/>
    <w:rsid w:val="000D389F"/>
    <w:rsid w:val="001B1339"/>
    <w:rsid w:val="001D2483"/>
    <w:rsid w:val="00212FB7"/>
    <w:rsid w:val="00244804"/>
    <w:rsid w:val="00286BCB"/>
    <w:rsid w:val="002D3348"/>
    <w:rsid w:val="00355218"/>
    <w:rsid w:val="00362C8C"/>
    <w:rsid w:val="00364220"/>
    <w:rsid w:val="003D2DA4"/>
    <w:rsid w:val="0044001A"/>
    <w:rsid w:val="0047796C"/>
    <w:rsid w:val="00553BBB"/>
    <w:rsid w:val="005A6997"/>
    <w:rsid w:val="005B50D9"/>
    <w:rsid w:val="0079477B"/>
    <w:rsid w:val="007A0E53"/>
    <w:rsid w:val="007D4103"/>
    <w:rsid w:val="00833922"/>
    <w:rsid w:val="008F7C8F"/>
    <w:rsid w:val="00A204D3"/>
    <w:rsid w:val="00AD2D93"/>
    <w:rsid w:val="00AF30FE"/>
    <w:rsid w:val="00B370E3"/>
    <w:rsid w:val="00C404DF"/>
    <w:rsid w:val="00C7088A"/>
    <w:rsid w:val="00D44A8F"/>
    <w:rsid w:val="00F71065"/>
    <w:rsid w:val="00F93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C39A3B"/>
  <w15:chartTrackingRefBased/>
  <w15:docId w15:val="{210A63E0-093B-4019-85DC-E1F1E675D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7C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765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mlfmonde.org/wp-content/uploads/2017/02/La-Mission-la%C3%AFque-fran%C3%A7aise-%C3%A0-travers-son-histoire-1902-2002-Andr%C3%A9-Th%C3%A9venin_bd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ooks.openedition.org/efa/13620" TargetMode="External"/><Relationship Id="rId5" Type="http://schemas.openxmlformats.org/officeDocument/2006/relationships/hyperlink" Target="https://editions.efa.gr/?kroute=publication&amp;id=1025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1377</Words>
  <Characters>7850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Nicolas Manitakis</dc:creator>
  <cp:keywords/>
  <dc:description/>
  <cp:lastModifiedBy>Nicolas Manitakis</cp:lastModifiedBy>
  <cp:revision>7</cp:revision>
  <cp:lastPrinted>2023-12-28T10:03:00Z</cp:lastPrinted>
  <dcterms:created xsi:type="dcterms:W3CDTF">2026-09-23T10:30:00Z</dcterms:created>
  <dcterms:modified xsi:type="dcterms:W3CDTF">2026-09-23T10:53:00Z</dcterms:modified>
</cp:coreProperties>
</file>