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391B79">
        <w:rPr>
          <w:rFonts w:ascii="Times New Roman" w:hAnsi="Times New Roman" w:cs="Times New Roman"/>
          <w:b/>
          <w:sz w:val="32"/>
          <w:szCs w:val="32"/>
          <w:lang w:val="fr-FR"/>
        </w:rPr>
        <w:t>Valeurs et archétypes dans les pièces de théâtre du classicisme français (641014)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391B79">
        <w:rPr>
          <w:rFonts w:ascii="Times New Roman" w:hAnsi="Times New Roman" w:cs="Times New Roman"/>
          <w:b/>
          <w:sz w:val="32"/>
          <w:szCs w:val="32"/>
          <w:lang w:val="fr-FR"/>
        </w:rPr>
        <w:t xml:space="preserve">Enseignante: </w:t>
      </w:r>
      <w:r w:rsidRPr="00391B79">
        <w:rPr>
          <w:rFonts w:ascii="Times New Roman" w:hAnsi="Times New Roman" w:cs="Times New Roman"/>
          <w:sz w:val="32"/>
          <w:szCs w:val="32"/>
          <w:lang w:val="fr-FR"/>
        </w:rPr>
        <w:t>Ioanna Papaspyridou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391B79">
        <w:rPr>
          <w:rFonts w:ascii="Times New Roman" w:hAnsi="Times New Roman" w:cs="Times New Roman"/>
          <w:b/>
          <w:sz w:val="32"/>
          <w:szCs w:val="32"/>
          <w:lang w:val="fr-FR"/>
        </w:rPr>
        <w:t xml:space="preserve">Année universitaire: </w:t>
      </w:r>
      <w:r w:rsidRPr="00391B79">
        <w:rPr>
          <w:rFonts w:ascii="Times New Roman" w:hAnsi="Times New Roman" w:cs="Times New Roman"/>
          <w:sz w:val="32"/>
          <w:szCs w:val="32"/>
          <w:lang w:val="fr-FR"/>
        </w:rPr>
        <w:t>2024-2025 (second semestre)</w:t>
      </w:r>
      <w:r w:rsidRPr="00391B79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391B79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</w:t>
      </w:r>
      <w:r w:rsidR="00391B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</w:t>
      </w: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>Jean Racine, Phèdre (1677)</w:t>
      </w:r>
      <w:r w:rsidRPr="00391B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ACTE I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Scène 1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>Personnages : HIPPOLYTE, THÉRAMÈNE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</w:t>
      </w: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HIPPOLYTE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Le dessein en est pris : je pars, cher Théramène,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Et quitte le séjour de l’aimable Trézène.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Dans le doute mortel dont je suis agité,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Je commence à rougir de mon oisiveté.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Depuis plus de six mois éloigné de mon père,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J’ignore le destin d’une tête si chère ;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J’ignore jusqu’aux lieux qui le peuvent cacher. </w:t>
      </w:r>
    </w:p>
    <w:p w:rsidR="001D0510" w:rsidRPr="00391B79" w:rsidRDefault="001D0510" w:rsidP="00391B7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</w:t>
      </w:r>
      <w:r w:rsidRPr="00391B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THÉRAMÈNE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Et dans quels lieux, seigneur, l’allez-vous donc chercher ?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Déjà pour satisfaire à votre juste crainte,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J’ai couru les deux mers que sépare Corinthe ;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J’ai demandé Thésée aux peuples de ces bords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Où l’on voit l’Achéron se perdre chez les morts ;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J’ai visité l’Élide, et, laissant le Ténare,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Passé jusqu’à la mer qui vit tomber Icare.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Sur quel espoir nouveau, dans quels heureux climats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Croyez-vous découvrir la trace de ses pas ?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Qui sait même, qui sait si le roi votre père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Veut que de son absence on sache le mystère ? </w:t>
      </w:r>
    </w:p>
    <w:p w:rsidR="001D0510" w:rsidRPr="00391B79" w:rsidRDefault="001D0510" w:rsidP="00391B7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Et si, lorsqu’avec vous nous tremblons pour ses jours,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Tranquille, et nous cachant de nouvelles amours, </w:t>
      </w:r>
    </w:p>
    <w:p w:rsidR="00CB0504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Ce héros n’attend point qu’une amante abusée...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LEXIQUE DU THEATRE CLASSIQUE FRANÇAIS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Une pièce – un acte – une scène</w:t>
      </w:r>
    </w:p>
    <w:p w:rsidR="001D0510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GENRE: tragédie - comédie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STRUCTURE: exposition-nœud-péripéties-dénouement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FORME: pièce en vers</w:t>
      </w:r>
      <w:r w:rsidR="00E900A9"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(alexandrin – rimes plates)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La scène d’exposition : lieu-temps-personnages-intrigue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LES DIDASCALIES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LE TYPE DE DISCOURS: monologue, dialogue (réplique, tirade)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QUELQUES NOTIONS DE LA TRAGEDIE ANTIQUE: 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La fatalité (le destin) – l’hybris – la catharsis 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>Les ressorts: la pitié – la crainte</w:t>
      </w: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900A9" w:rsidRPr="00391B79" w:rsidRDefault="00391B7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</w:t>
      </w:r>
      <w:r w:rsidR="00E900A9"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DEFINTION DE LA TRAGEDIE </w:t>
      </w:r>
    </w:p>
    <w:p w:rsidR="00E900A9" w:rsidRPr="00391B79" w:rsidRDefault="00E900A9" w:rsidP="00033426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«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ἔστιν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οὖν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τραγῳδία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μίμησις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πράξεως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σπουδαίας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καὶ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τελείας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μέγεθος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ἐχούσης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,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ἡδυσμένῳ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λόγῳ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χωρὶς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ἑκάστῳ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τῶν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εἰδῶν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ἐν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τοῖς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μορίοις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,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δρώντων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καὶ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οὐ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δι᾽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ἀπαγγελίας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,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δι᾽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ἐλέου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καὶ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φόβου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περαίνουσα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τὴν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τῶν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τοιούτων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παθημάτων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κάθαρσιν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.»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1575BD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(</w:t>
      </w:r>
      <w:r w:rsidR="001575BD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Αριστοτέλης</w:t>
      </w:r>
      <w:r w:rsidR="001575BD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, </w:t>
      </w:r>
      <w:r w:rsidR="001575BD" w:rsidRPr="00391B79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Περί</w:t>
      </w:r>
      <w:r w:rsidR="001575BD" w:rsidRPr="00391B79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1575BD" w:rsidRPr="00391B79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Ποιητικής</w:t>
      </w:r>
      <w:r w:rsidR="001575BD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)</w:t>
      </w:r>
    </w:p>
    <w:p w:rsidR="001575BD" w:rsidRPr="00391B79" w:rsidRDefault="001575BD" w:rsidP="000334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« La tragédie est </w:t>
      </w:r>
      <w:r w:rsidR="00391B79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l’imitation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d’une action sérieuse et complète, d’une certaine étendue, présentée dans un langage agrémenté par le rythme, le mètre et la </w:t>
      </w:r>
      <w:r w:rsidR="00391B79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mélodie de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telle sorte que chacune des parties qui la compose subs</w:t>
      </w:r>
      <w:bookmarkStart w:id="0" w:name="_GoBack"/>
      <w:bookmarkEnd w:id="0"/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iste </w:t>
      </w:r>
      <w:r w:rsidR="00391B79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séparément, se</w:t>
      </w:r>
      <w:r w:rsidR="002E3B92"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développant 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par le moyen d’acteurs et non par récit, et qui, par la pitié et la crainte, mène à son terme la </w:t>
      </w:r>
      <w:r w:rsidRPr="00391B79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fr-FR"/>
        </w:rPr>
        <w:t>catharsis</w:t>
      </w:r>
      <w:r w:rsidRPr="00391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(la purgation/la purification) de passions de la même nature. »</w:t>
      </w:r>
    </w:p>
    <w:p w:rsidR="00E900A9" w:rsidRPr="00391B79" w:rsidRDefault="00E900A9" w:rsidP="0003342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900A9" w:rsidRPr="00391B79" w:rsidRDefault="00E900A9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1B7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0510" w:rsidRPr="00391B79" w:rsidRDefault="001D0510" w:rsidP="00391B7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D0510" w:rsidRPr="00391B7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E0" w:rsidRDefault="00A54BE0" w:rsidP="00391B79">
      <w:pPr>
        <w:spacing w:after="0" w:line="240" w:lineRule="auto"/>
      </w:pPr>
      <w:r>
        <w:separator/>
      </w:r>
    </w:p>
  </w:endnote>
  <w:endnote w:type="continuationSeparator" w:id="0">
    <w:p w:rsidR="00A54BE0" w:rsidRDefault="00A54BE0" w:rsidP="0039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E0" w:rsidRDefault="00A54BE0" w:rsidP="00391B79">
      <w:pPr>
        <w:spacing w:after="0" w:line="240" w:lineRule="auto"/>
      </w:pPr>
      <w:r>
        <w:separator/>
      </w:r>
    </w:p>
  </w:footnote>
  <w:footnote w:type="continuationSeparator" w:id="0">
    <w:p w:rsidR="00A54BE0" w:rsidRDefault="00A54BE0" w:rsidP="0039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4641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1B79" w:rsidRDefault="00391B7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4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1B79" w:rsidRDefault="00391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10"/>
    <w:rsid w:val="00033426"/>
    <w:rsid w:val="001575BD"/>
    <w:rsid w:val="001D0510"/>
    <w:rsid w:val="002E3B92"/>
    <w:rsid w:val="00391B79"/>
    <w:rsid w:val="00A54BE0"/>
    <w:rsid w:val="00CB0504"/>
    <w:rsid w:val="00E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203D"/>
  <w15:chartTrackingRefBased/>
  <w15:docId w15:val="{FF5F1203-C1EE-44A9-B172-AAF9501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79"/>
  </w:style>
  <w:style w:type="paragraph" w:styleId="Footer">
    <w:name w:val="footer"/>
    <w:basedOn w:val="Normal"/>
    <w:link w:val="FooterChar"/>
    <w:uiPriority w:val="99"/>
    <w:unhideWhenUsed/>
    <w:rsid w:val="00391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79"/>
  </w:style>
  <w:style w:type="paragraph" w:styleId="BalloonText">
    <w:name w:val="Balloon Text"/>
    <w:basedOn w:val="Normal"/>
    <w:link w:val="BalloonTextChar"/>
    <w:uiPriority w:val="99"/>
    <w:semiHidden/>
    <w:unhideWhenUsed/>
    <w:rsid w:val="0039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Papaspyridou</dc:creator>
  <cp:keywords/>
  <dc:description/>
  <cp:lastModifiedBy>Ioanna Papaspyridou</cp:lastModifiedBy>
  <cp:revision>2</cp:revision>
  <cp:lastPrinted>2025-02-25T09:30:00Z</cp:lastPrinted>
  <dcterms:created xsi:type="dcterms:W3CDTF">2025-02-25T09:32:00Z</dcterms:created>
  <dcterms:modified xsi:type="dcterms:W3CDTF">2025-02-25T09:32:00Z</dcterms:modified>
</cp:coreProperties>
</file>