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BD5E" w14:textId="3F3CF085" w:rsidR="00D7163D" w:rsidRDefault="005C212A" w:rsidP="00D853B2">
      <w:pPr>
        <w:spacing w:after="0" w:line="240" w:lineRule="auto"/>
        <w:jc w:val="both"/>
        <w:rPr>
          <w:rFonts w:ascii="Garamond" w:hAnsi="Garamond"/>
          <w:b/>
          <w:bCs/>
          <w:sz w:val="24"/>
          <w:szCs w:val="24"/>
        </w:rPr>
      </w:pPr>
      <w:r>
        <w:rPr>
          <w:rFonts w:ascii="Garamond" w:hAnsi="Garamond"/>
          <w:b/>
          <w:bCs/>
          <w:noProof/>
          <w:sz w:val="24"/>
          <w:szCs w:val="24"/>
          <w:lang w:val="el-GR" w:eastAsia="el-GR"/>
        </w:rPr>
        <w:drawing>
          <wp:anchor distT="0" distB="0" distL="114300" distR="114300" simplePos="0" relativeHeight="251658240" behindDoc="0" locked="0" layoutInCell="1" allowOverlap="1" wp14:anchorId="4FF81B74" wp14:editId="1FE3F589">
            <wp:simplePos x="0" y="0"/>
            <wp:positionH relativeFrom="margin">
              <wp:align>right</wp:align>
            </wp:positionH>
            <wp:positionV relativeFrom="paragraph">
              <wp:posOffset>7620</wp:posOffset>
            </wp:positionV>
            <wp:extent cx="2120900" cy="2014855"/>
            <wp:effectExtent l="0" t="0" r="0" b="4445"/>
            <wp:wrapThrough wrapText="bothSides">
              <wp:wrapPolygon edited="0">
                <wp:start x="0" y="0"/>
                <wp:lineTo x="0" y="21443"/>
                <wp:lineTo x="21341" y="21443"/>
                <wp:lineTo x="213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20900" cy="2014855"/>
                    </a:xfrm>
                    <a:prstGeom prst="rect">
                      <a:avLst/>
                    </a:prstGeom>
                  </pic:spPr>
                </pic:pic>
              </a:graphicData>
            </a:graphic>
            <wp14:sizeRelH relativeFrom="margin">
              <wp14:pctWidth>0</wp14:pctWidth>
            </wp14:sizeRelH>
            <wp14:sizeRelV relativeFrom="margin">
              <wp14:pctHeight>0</wp14:pctHeight>
            </wp14:sizeRelV>
          </wp:anchor>
        </w:drawing>
      </w:r>
      <w:r w:rsidR="00C3691C" w:rsidRPr="008452C1">
        <w:rPr>
          <w:rFonts w:ascii="Garamond" w:hAnsi="Garamond"/>
          <w:b/>
          <w:bCs/>
          <w:sz w:val="24"/>
          <w:szCs w:val="24"/>
        </w:rPr>
        <w:t>MEDIEVAL LITERATURE</w:t>
      </w:r>
    </w:p>
    <w:p w14:paraId="24882F59" w14:textId="3A0814EC" w:rsidR="005C212A" w:rsidRPr="008452C1" w:rsidRDefault="005C212A" w:rsidP="00D853B2">
      <w:pPr>
        <w:spacing w:after="0" w:line="240" w:lineRule="auto"/>
        <w:jc w:val="both"/>
        <w:rPr>
          <w:rFonts w:ascii="Garamond" w:hAnsi="Garamond"/>
          <w:b/>
          <w:bCs/>
          <w:sz w:val="24"/>
          <w:szCs w:val="24"/>
        </w:rPr>
      </w:pPr>
    </w:p>
    <w:p w14:paraId="7413E6AF" w14:textId="229CEFCE" w:rsidR="00C3691C" w:rsidRPr="008452C1" w:rsidRDefault="00C3691C" w:rsidP="00D853B2">
      <w:pPr>
        <w:spacing w:after="0" w:line="240" w:lineRule="auto"/>
        <w:jc w:val="both"/>
        <w:rPr>
          <w:rFonts w:ascii="Garamond" w:hAnsi="Garamond"/>
          <w:b/>
          <w:bCs/>
          <w:sz w:val="24"/>
          <w:szCs w:val="24"/>
        </w:rPr>
      </w:pPr>
      <w:r w:rsidRPr="008452C1">
        <w:rPr>
          <w:rFonts w:ascii="Garamond" w:hAnsi="Garamond"/>
          <w:b/>
          <w:bCs/>
          <w:sz w:val="24"/>
          <w:szCs w:val="24"/>
        </w:rPr>
        <w:t>7</w:t>
      </w:r>
      <w:r w:rsidRPr="008452C1">
        <w:rPr>
          <w:rFonts w:ascii="Garamond" w:hAnsi="Garamond"/>
          <w:b/>
          <w:bCs/>
          <w:sz w:val="24"/>
          <w:szCs w:val="24"/>
          <w:vertAlign w:val="superscript"/>
        </w:rPr>
        <w:t>th</w:t>
      </w:r>
      <w:r w:rsidRPr="008452C1">
        <w:rPr>
          <w:rFonts w:ascii="Garamond" w:hAnsi="Garamond"/>
          <w:b/>
          <w:bCs/>
          <w:sz w:val="24"/>
          <w:szCs w:val="24"/>
        </w:rPr>
        <w:t xml:space="preserve"> semester elective</w:t>
      </w:r>
    </w:p>
    <w:p w14:paraId="43A8D9E0" w14:textId="0AE99BE1" w:rsidR="00C3691C" w:rsidRPr="008452C1" w:rsidRDefault="00C3691C" w:rsidP="00D853B2">
      <w:pPr>
        <w:spacing w:after="0" w:line="240" w:lineRule="auto"/>
        <w:jc w:val="both"/>
        <w:rPr>
          <w:rFonts w:ascii="Garamond" w:hAnsi="Garamond"/>
          <w:b/>
          <w:bCs/>
          <w:sz w:val="24"/>
          <w:szCs w:val="24"/>
        </w:rPr>
      </w:pPr>
      <w:r w:rsidRPr="008452C1">
        <w:rPr>
          <w:rFonts w:ascii="Garamond" w:hAnsi="Garamond"/>
          <w:b/>
          <w:bCs/>
          <w:sz w:val="24"/>
          <w:szCs w:val="24"/>
        </w:rPr>
        <w:t>Dr. Christina Dokou</w:t>
      </w:r>
    </w:p>
    <w:p w14:paraId="36B17483" w14:textId="0789E764" w:rsidR="00C3691C" w:rsidRDefault="00C3691C" w:rsidP="00D853B2">
      <w:pPr>
        <w:spacing w:after="0" w:line="240" w:lineRule="auto"/>
        <w:jc w:val="both"/>
        <w:rPr>
          <w:rFonts w:ascii="Garamond" w:hAnsi="Garamond"/>
          <w:b/>
          <w:bCs/>
          <w:sz w:val="24"/>
          <w:szCs w:val="24"/>
        </w:rPr>
      </w:pPr>
      <w:r w:rsidRPr="008452C1">
        <w:rPr>
          <w:rFonts w:ascii="Garamond" w:hAnsi="Garamond"/>
          <w:b/>
          <w:bCs/>
          <w:sz w:val="24"/>
          <w:szCs w:val="24"/>
        </w:rPr>
        <w:t>Academic year: 202</w:t>
      </w:r>
      <w:r w:rsidR="00997B07">
        <w:rPr>
          <w:rFonts w:ascii="Garamond" w:hAnsi="Garamond"/>
          <w:b/>
          <w:bCs/>
          <w:sz w:val="24"/>
          <w:szCs w:val="24"/>
        </w:rPr>
        <w:t>5-26</w:t>
      </w:r>
    </w:p>
    <w:p w14:paraId="174DC5D8" w14:textId="487C80BB" w:rsidR="004D4739" w:rsidRPr="003D0D04" w:rsidRDefault="00997B07" w:rsidP="00D853B2">
      <w:pPr>
        <w:spacing w:after="0" w:line="240" w:lineRule="auto"/>
        <w:jc w:val="both"/>
        <w:rPr>
          <w:rFonts w:ascii="Garamond" w:hAnsi="Garamond"/>
          <w:b/>
          <w:bCs/>
          <w:sz w:val="24"/>
          <w:szCs w:val="24"/>
        </w:rPr>
      </w:pPr>
      <w:r>
        <w:rPr>
          <w:rFonts w:ascii="Garamond" w:hAnsi="Garamond"/>
          <w:b/>
          <w:bCs/>
          <w:sz w:val="24"/>
          <w:szCs w:val="24"/>
        </w:rPr>
        <w:t>Thur</w:t>
      </w:r>
      <w:r w:rsidR="003D0D04">
        <w:rPr>
          <w:rFonts w:ascii="Garamond" w:hAnsi="Garamond"/>
          <w:b/>
          <w:bCs/>
          <w:sz w:val="24"/>
          <w:szCs w:val="24"/>
        </w:rPr>
        <w:t>s</w:t>
      </w:r>
      <w:r w:rsidR="00465B5E">
        <w:rPr>
          <w:rFonts w:ascii="Garamond" w:hAnsi="Garamond"/>
          <w:b/>
          <w:bCs/>
          <w:sz w:val="24"/>
          <w:szCs w:val="24"/>
        </w:rPr>
        <w:t>days</w:t>
      </w:r>
      <w:r w:rsidR="004D4739">
        <w:rPr>
          <w:rFonts w:ascii="Garamond" w:hAnsi="Garamond"/>
          <w:b/>
          <w:bCs/>
          <w:sz w:val="24"/>
          <w:szCs w:val="24"/>
        </w:rPr>
        <w:t xml:space="preserve">, </w:t>
      </w:r>
      <w:r w:rsidR="004D4739" w:rsidRPr="003D0D04">
        <w:rPr>
          <w:rFonts w:ascii="Garamond" w:hAnsi="Garamond"/>
          <w:b/>
          <w:bCs/>
          <w:sz w:val="24"/>
          <w:szCs w:val="24"/>
        </w:rPr>
        <w:t>12</w:t>
      </w:r>
      <w:r w:rsidR="00465B5E" w:rsidRPr="003D0D04">
        <w:rPr>
          <w:rFonts w:ascii="Garamond" w:hAnsi="Garamond"/>
          <w:b/>
          <w:bCs/>
          <w:sz w:val="24"/>
          <w:szCs w:val="24"/>
        </w:rPr>
        <w:t>:00</w:t>
      </w:r>
      <w:r>
        <w:rPr>
          <w:rFonts w:ascii="Garamond" w:hAnsi="Garamond"/>
          <w:b/>
          <w:bCs/>
          <w:sz w:val="24"/>
          <w:szCs w:val="24"/>
        </w:rPr>
        <w:t>-15:00</w:t>
      </w:r>
      <w:r w:rsidR="004D4739" w:rsidRPr="003D0D04">
        <w:rPr>
          <w:rFonts w:ascii="Garamond" w:hAnsi="Garamond"/>
          <w:b/>
          <w:bCs/>
          <w:sz w:val="24"/>
          <w:szCs w:val="24"/>
        </w:rPr>
        <w:t xml:space="preserve">, </w:t>
      </w:r>
      <w:r w:rsidR="00465B5E" w:rsidRPr="003D0D04">
        <w:rPr>
          <w:rFonts w:ascii="Garamond" w:hAnsi="Garamond"/>
          <w:b/>
          <w:bCs/>
          <w:sz w:val="24"/>
          <w:szCs w:val="24"/>
        </w:rPr>
        <w:t>Room 82</w:t>
      </w:r>
      <w:r w:rsidR="003D0D04" w:rsidRPr="003D0D04">
        <w:rPr>
          <w:rFonts w:ascii="Garamond" w:hAnsi="Garamond"/>
          <w:b/>
          <w:bCs/>
          <w:sz w:val="24"/>
          <w:szCs w:val="24"/>
        </w:rPr>
        <w:t>2</w:t>
      </w:r>
    </w:p>
    <w:p w14:paraId="6428D610" w14:textId="2827CFEA" w:rsidR="00955AF8" w:rsidRPr="003D0D04" w:rsidRDefault="00955AF8" w:rsidP="00D853B2">
      <w:pPr>
        <w:spacing w:after="0" w:line="240" w:lineRule="auto"/>
        <w:jc w:val="both"/>
        <w:rPr>
          <w:rFonts w:ascii="Garamond" w:hAnsi="Garamond"/>
          <w:b/>
          <w:bCs/>
          <w:sz w:val="24"/>
          <w:szCs w:val="24"/>
        </w:rPr>
      </w:pPr>
      <w:r w:rsidRPr="003D0D04">
        <w:rPr>
          <w:rFonts w:ascii="Garamond" w:hAnsi="Garamond"/>
          <w:b/>
          <w:bCs/>
          <w:sz w:val="24"/>
          <w:szCs w:val="24"/>
        </w:rPr>
        <w:t xml:space="preserve">E-class: </w:t>
      </w:r>
      <w:hyperlink r:id="rId8" w:history="1">
        <w:proofErr w:type="spellStart"/>
        <w:r w:rsidR="008452C1" w:rsidRPr="003D0D04">
          <w:rPr>
            <w:rStyle w:val="Hyperlink"/>
            <w:rFonts w:ascii="Garamond" w:hAnsi="Garamond"/>
            <w:sz w:val="24"/>
            <w:szCs w:val="24"/>
          </w:rPr>
          <w:t>eClass</w:t>
        </w:r>
        <w:proofErr w:type="spellEnd"/>
        <w:r w:rsidR="008452C1" w:rsidRPr="003D0D04">
          <w:rPr>
            <w:rStyle w:val="Hyperlink"/>
            <w:rFonts w:ascii="Garamond" w:hAnsi="Garamond"/>
            <w:sz w:val="24"/>
            <w:szCs w:val="24"/>
          </w:rPr>
          <w:t xml:space="preserve"> ΕΚΠΑ | Medieval Literature (uoa.gr)</w:t>
        </w:r>
      </w:hyperlink>
    </w:p>
    <w:p w14:paraId="1F278DF7" w14:textId="25638975" w:rsidR="00C3691C" w:rsidRPr="003D0D04" w:rsidRDefault="0053058B" w:rsidP="00D853B2">
      <w:pPr>
        <w:spacing w:after="0" w:line="240" w:lineRule="auto"/>
        <w:jc w:val="both"/>
        <w:rPr>
          <w:rFonts w:ascii="Garamond" w:hAnsi="Garamond"/>
          <w:b/>
          <w:bCs/>
          <w:sz w:val="24"/>
          <w:szCs w:val="24"/>
        </w:rPr>
      </w:pPr>
      <w:r w:rsidRPr="003D0D04">
        <w:rPr>
          <w:rFonts w:ascii="Garamond" w:hAnsi="Garamond"/>
          <w:b/>
          <w:bCs/>
          <w:sz w:val="24"/>
          <w:szCs w:val="24"/>
        </w:rPr>
        <w:t xml:space="preserve">Office hours: </w:t>
      </w:r>
      <w:r w:rsidR="00997B07">
        <w:rPr>
          <w:rFonts w:ascii="Garamond" w:hAnsi="Garamond"/>
          <w:b/>
          <w:bCs/>
          <w:sz w:val="24"/>
          <w:szCs w:val="24"/>
        </w:rPr>
        <w:t>Thur</w:t>
      </w:r>
      <w:r w:rsidR="003D0D04">
        <w:rPr>
          <w:rFonts w:ascii="Garamond" w:hAnsi="Garamond"/>
          <w:b/>
          <w:bCs/>
          <w:sz w:val="24"/>
          <w:szCs w:val="24"/>
        </w:rPr>
        <w:t xml:space="preserve">sdays </w:t>
      </w:r>
      <w:r w:rsidR="00465B5E" w:rsidRPr="003D0D04">
        <w:rPr>
          <w:rFonts w:ascii="Garamond" w:hAnsi="Garamond"/>
          <w:b/>
          <w:bCs/>
          <w:sz w:val="24"/>
          <w:szCs w:val="24"/>
        </w:rPr>
        <w:t>1</w:t>
      </w:r>
      <w:r w:rsidR="00997B07">
        <w:rPr>
          <w:rFonts w:ascii="Garamond" w:hAnsi="Garamond"/>
          <w:b/>
          <w:bCs/>
          <w:sz w:val="24"/>
          <w:szCs w:val="24"/>
        </w:rPr>
        <w:t>5</w:t>
      </w:r>
      <w:r w:rsidR="00465B5E" w:rsidRPr="003D0D04">
        <w:rPr>
          <w:rFonts w:ascii="Garamond" w:hAnsi="Garamond"/>
          <w:b/>
          <w:bCs/>
          <w:sz w:val="24"/>
          <w:szCs w:val="24"/>
        </w:rPr>
        <w:t>:</w:t>
      </w:r>
      <w:r w:rsidR="003D0D04">
        <w:rPr>
          <w:rFonts w:ascii="Garamond" w:hAnsi="Garamond"/>
          <w:b/>
          <w:bCs/>
          <w:sz w:val="24"/>
          <w:szCs w:val="24"/>
        </w:rPr>
        <w:t>15</w:t>
      </w:r>
      <w:r w:rsidR="00465B5E" w:rsidRPr="003D0D04">
        <w:rPr>
          <w:rFonts w:ascii="Garamond" w:hAnsi="Garamond"/>
          <w:b/>
          <w:bCs/>
          <w:sz w:val="24"/>
          <w:szCs w:val="24"/>
        </w:rPr>
        <w:t>-1</w:t>
      </w:r>
      <w:r w:rsidR="00997B07">
        <w:rPr>
          <w:rFonts w:ascii="Garamond" w:hAnsi="Garamond"/>
          <w:b/>
          <w:bCs/>
          <w:sz w:val="24"/>
          <w:szCs w:val="24"/>
        </w:rPr>
        <w:t>6</w:t>
      </w:r>
      <w:r w:rsidR="00465B5E" w:rsidRPr="003D0D04">
        <w:rPr>
          <w:rFonts w:ascii="Garamond" w:hAnsi="Garamond"/>
          <w:b/>
          <w:bCs/>
          <w:sz w:val="24"/>
          <w:szCs w:val="24"/>
        </w:rPr>
        <w:t>:</w:t>
      </w:r>
      <w:r w:rsidR="003D0D04">
        <w:rPr>
          <w:rFonts w:ascii="Garamond" w:hAnsi="Garamond"/>
          <w:b/>
          <w:bCs/>
          <w:sz w:val="24"/>
          <w:szCs w:val="24"/>
        </w:rPr>
        <w:t>15</w:t>
      </w:r>
      <w:r w:rsidR="00C90F9D" w:rsidRPr="003D0D04">
        <w:rPr>
          <w:rFonts w:ascii="Garamond" w:hAnsi="Garamond"/>
          <w:b/>
          <w:bCs/>
          <w:sz w:val="24"/>
          <w:szCs w:val="24"/>
        </w:rPr>
        <w:t xml:space="preserve"> </w:t>
      </w:r>
      <w:r w:rsidR="00997B07">
        <w:rPr>
          <w:rFonts w:ascii="Garamond" w:hAnsi="Garamond"/>
          <w:b/>
          <w:bCs/>
          <w:sz w:val="24"/>
          <w:szCs w:val="24"/>
        </w:rPr>
        <w:t xml:space="preserve">and </w:t>
      </w:r>
      <w:r w:rsidR="00997B07" w:rsidRPr="003D0D04">
        <w:rPr>
          <w:rFonts w:ascii="Garamond" w:hAnsi="Garamond"/>
          <w:b/>
          <w:bCs/>
          <w:sz w:val="24"/>
          <w:szCs w:val="24"/>
        </w:rPr>
        <w:t>Fridays</w:t>
      </w:r>
      <w:r w:rsidR="00997B07">
        <w:rPr>
          <w:rFonts w:ascii="Garamond" w:hAnsi="Garamond"/>
          <w:b/>
          <w:bCs/>
          <w:sz w:val="24"/>
          <w:szCs w:val="24"/>
        </w:rPr>
        <w:t xml:space="preserve"> 12:15-13:15</w:t>
      </w:r>
      <w:r w:rsidR="00997B07" w:rsidRPr="003D0D04">
        <w:rPr>
          <w:rFonts w:ascii="Garamond" w:hAnsi="Garamond"/>
          <w:b/>
          <w:bCs/>
          <w:sz w:val="24"/>
          <w:szCs w:val="24"/>
        </w:rPr>
        <w:t xml:space="preserve">, </w:t>
      </w:r>
      <w:r w:rsidRPr="003D0D04">
        <w:rPr>
          <w:rFonts w:ascii="Garamond" w:hAnsi="Garamond"/>
          <w:b/>
          <w:bCs/>
          <w:sz w:val="24"/>
          <w:szCs w:val="24"/>
        </w:rPr>
        <w:t>Office 703</w:t>
      </w:r>
    </w:p>
    <w:p w14:paraId="4FF5129C" w14:textId="77777777" w:rsidR="0053058B" w:rsidRPr="0053058B" w:rsidRDefault="0053058B" w:rsidP="00D853B2">
      <w:pPr>
        <w:spacing w:after="0" w:line="240" w:lineRule="auto"/>
        <w:jc w:val="both"/>
        <w:rPr>
          <w:rFonts w:ascii="Garamond" w:hAnsi="Garamond"/>
          <w:sz w:val="24"/>
          <w:szCs w:val="24"/>
        </w:rPr>
      </w:pPr>
    </w:p>
    <w:p w14:paraId="7349FD3C" w14:textId="10E6BAEA" w:rsidR="00C3691C" w:rsidRPr="008452C1" w:rsidRDefault="00E05DD3" w:rsidP="00D853B2">
      <w:pPr>
        <w:spacing w:after="0" w:line="240" w:lineRule="auto"/>
        <w:jc w:val="both"/>
        <w:rPr>
          <w:rFonts w:ascii="Garamond" w:hAnsi="Garamond"/>
          <w:b/>
          <w:bCs/>
          <w:sz w:val="24"/>
          <w:szCs w:val="24"/>
        </w:rPr>
      </w:pPr>
      <w:r w:rsidRPr="008452C1">
        <w:rPr>
          <w:rFonts w:ascii="Garamond" w:hAnsi="Garamond"/>
          <w:b/>
          <w:bCs/>
          <w:sz w:val="24"/>
          <w:szCs w:val="24"/>
        </w:rPr>
        <w:t>Course description:</w:t>
      </w:r>
    </w:p>
    <w:p w14:paraId="437228EC" w14:textId="5629C505" w:rsidR="004D39F7" w:rsidRPr="008452C1" w:rsidRDefault="00725201" w:rsidP="00D853B2">
      <w:pPr>
        <w:spacing w:after="0" w:line="240" w:lineRule="auto"/>
        <w:jc w:val="both"/>
        <w:rPr>
          <w:rFonts w:ascii="Garamond" w:hAnsi="Garamond"/>
          <w:sz w:val="24"/>
          <w:szCs w:val="24"/>
        </w:rPr>
      </w:pPr>
      <w:r w:rsidRPr="008452C1">
        <w:rPr>
          <w:rFonts w:ascii="Garamond" w:hAnsi="Garamond"/>
          <w:sz w:val="24"/>
          <w:szCs w:val="24"/>
        </w:rPr>
        <w:t>Welcome to the Dark Ages—quite a colorful time</w:t>
      </w:r>
      <w:r w:rsidR="00776E11">
        <w:rPr>
          <w:rFonts w:ascii="Garamond" w:hAnsi="Garamond"/>
          <w:sz w:val="24"/>
          <w:szCs w:val="24"/>
        </w:rPr>
        <w:t>,</w:t>
      </w:r>
      <w:r w:rsidRPr="008452C1">
        <w:rPr>
          <w:rFonts w:ascii="Garamond" w:hAnsi="Garamond"/>
          <w:sz w:val="24"/>
          <w:szCs w:val="24"/>
        </w:rPr>
        <w:t xml:space="preserve"> actually, which we will attempt </w:t>
      </w:r>
      <w:r w:rsidR="00590235" w:rsidRPr="008452C1">
        <w:rPr>
          <w:rFonts w:ascii="Garamond" w:hAnsi="Garamond"/>
          <w:sz w:val="24"/>
          <w:szCs w:val="24"/>
        </w:rPr>
        <w:t>to</w:t>
      </w:r>
      <w:r w:rsidRPr="008452C1">
        <w:rPr>
          <w:rFonts w:ascii="Garamond" w:hAnsi="Garamond"/>
          <w:sz w:val="24"/>
          <w:szCs w:val="24"/>
        </w:rPr>
        <w:t xml:space="preserve"> </w:t>
      </w:r>
      <w:r w:rsidR="00590235" w:rsidRPr="008452C1">
        <w:rPr>
          <w:rFonts w:ascii="Garamond" w:hAnsi="Garamond"/>
          <w:sz w:val="24"/>
          <w:szCs w:val="24"/>
        </w:rPr>
        <w:t>shed light to</w:t>
      </w:r>
      <w:r w:rsidR="00FD026A" w:rsidRPr="008452C1">
        <w:rPr>
          <w:rFonts w:ascii="Garamond" w:hAnsi="Garamond"/>
          <w:sz w:val="24"/>
          <w:szCs w:val="24"/>
        </w:rPr>
        <w:t xml:space="preserve"> in this introductory seminar</w:t>
      </w:r>
      <w:r w:rsidR="00590235" w:rsidRPr="008452C1">
        <w:rPr>
          <w:rFonts w:ascii="Garamond" w:hAnsi="Garamond"/>
          <w:sz w:val="24"/>
          <w:szCs w:val="24"/>
        </w:rPr>
        <w:t xml:space="preserve">! The aim of this course is to </w:t>
      </w:r>
      <w:r w:rsidRPr="008452C1">
        <w:rPr>
          <w:rFonts w:ascii="Garamond" w:hAnsi="Garamond"/>
          <w:sz w:val="24"/>
          <w:szCs w:val="24"/>
        </w:rPr>
        <w:t xml:space="preserve">approach </w:t>
      </w:r>
      <w:r w:rsidR="00590235" w:rsidRPr="008452C1">
        <w:rPr>
          <w:rFonts w:ascii="Garamond" w:hAnsi="Garamond"/>
          <w:sz w:val="24"/>
          <w:szCs w:val="24"/>
        </w:rPr>
        <w:t xml:space="preserve">the European </w:t>
      </w:r>
      <w:r w:rsidR="00FD026A" w:rsidRPr="008452C1">
        <w:rPr>
          <w:rFonts w:ascii="Garamond" w:hAnsi="Garamond"/>
          <w:sz w:val="24"/>
          <w:szCs w:val="24"/>
        </w:rPr>
        <w:t xml:space="preserve">Middle Ages </w:t>
      </w:r>
      <w:r w:rsidRPr="008452C1">
        <w:rPr>
          <w:rFonts w:ascii="Garamond" w:hAnsi="Garamond"/>
          <w:sz w:val="24"/>
          <w:szCs w:val="24"/>
        </w:rPr>
        <w:t xml:space="preserve">through a number of key </w:t>
      </w:r>
      <w:r w:rsidR="00FD026A" w:rsidRPr="008452C1">
        <w:rPr>
          <w:rFonts w:ascii="Garamond" w:hAnsi="Garamond"/>
          <w:sz w:val="24"/>
          <w:szCs w:val="24"/>
        </w:rPr>
        <w:t xml:space="preserve">English </w:t>
      </w:r>
      <w:r w:rsidRPr="008452C1">
        <w:rPr>
          <w:rFonts w:ascii="Garamond" w:hAnsi="Garamond"/>
          <w:sz w:val="24"/>
          <w:szCs w:val="24"/>
        </w:rPr>
        <w:t>texts of th</w:t>
      </w:r>
      <w:r w:rsidR="00590235" w:rsidRPr="008452C1">
        <w:rPr>
          <w:rFonts w:ascii="Garamond" w:hAnsi="Garamond"/>
          <w:sz w:val="24"/>
          <w:szCs w:val="24"/>
        </w:rPr>
        <w:t>e early, middle, and late</w:t>
      </w:r>
      <w:r w:rsidRPr="008452C1">
        <w:rPr>
          <w:rFonts w:ascii="Garamond" w:hAnsi="Garamond"/>
          <w:sz w:val="24"/>
          <w:szCs w:val="24"/>
        </w:rPr>
        <w:t xml:space="preserve"> period</w:t>
      </w:r>
      <w:r w:rsidR="00590235" w:rsidRPr="008452C1">
        <w:rPr>
          <w:rFonts w:ascii="Garamond" w:hAnsi="Garamond"/>
          <w:sz w:val="24"/>
          <w:szCs w:val="24"/>
        </w:rPr>
        <w:t xml:space="preserve">, in modern English translation. </w:t>
      </w:r>
      <w:r w:rsidR="00FD026A" w:rsidRPr="008452C1">
        <w:rPr>
          <w:rFonts w:ascii="Garamond" w:hAnsi="Garamond"/>
          <w:sz w:val="24"/>
          <w:szCs w:val="24"/>
        </w:rPr>
        <w:t xml:space="preserve">We will focus on both the formal aesthetic particularities of medieval literature, as well as its thematic idiosyncrasies, so foreign to us </w:t>
      </w:r>
      <w:r w:rsidR="00D07202" w:rsidRPr="008452C1">
        <w:rPr>
          <w:rFonts w:ascii="Garamond" w:hAnsi="Garamond"/>
          <w:sz w:val="24"/>
          <w:szCs w:val="24"/>
        </w:rPr>
        <w:t>albeit</w:t>
      </w:r>
      <w:r w:rsidR="00FD026A" w:rsidRPr="008452C1">
        <w:rPr>
          <w:rFonts w:ascii="Garamond" w:hAnsi="Garamond"/>
          <w:sz w:val="24"/>
          <w:szCs w:val="24"/>
        </w:rPr>
        <w:t xml:space="preserve"> so influential to the literary and cultural ages that followed since</w:t>
      </w:r>
      <w:r w:rsidR="00D07202" w:rsidRPr="008452C1">
        <w:rPr>
          <w:rFonts w:ascii="Garamond" w:hAnsi="Garamond"/>
          <w:sz w:val="24"/>
          <w:szCs w:val="24"/>
        </w:rPr>
        <w:t>: the interplay between a strict religious worldview and a carnivalesque secularism; the construction of</w:t>
      </w:r>
      <w:r w:rsidR="00DC7943" w:rsidRPr="008452C1">
        <w:rPr>
          <w:rFonts w:ascii="Garamond" w:hAnsi="Garamond"/>
          <w:sz w:val="24"/>
          <w:szCs w:val="24"/>
        </w:rPr>
        <w:t xml:space="preserve"> the socio-philosophical codes of</w:t>
      </w:r>
      <w:r w:rsidR="00D07202" w:rsidRPr="008452C1">
        <w:rPr>
          <w:rFonts w:ascii="Garamond" w:hAnsi="Garamond"/>
          <w:sz w:val="24"/>
          <w:szCs w:val="24"/>
        </w:rPr>
        <w:t xml:space="preserve"> fatalism and chivalry; the complex yet misunderstood role of women; and </w:t>
      </w:r>
      <w:r w:rsidR="00DC7943" w:rsidRPr="008452C1">
        <w:rPr>
          <w:rFonts w:ascii="Garamond" w:hAnsi="Garamond"/>
          <w:sz w:val="24"/>
          <w:szCs w:val="24"/>
        </w:rPr>
        <w:t>the formation of cultural idols. Through this brief but important selection of must-know texts, we will hopefully dispel common misconceptions about the Middle Ages</w:t>
      </w:r>
      <w:r w:rsidR="00F3260D" w:rsidRPr="008452C1">
        <w:rPr>
          <w:rFonts w:ascii="Garamond" w:hAnsi="Garamond"/>
          <w:sz w:val="24"/>
          <w:szCs w:val="24"/>
        </w:rPr>
        <w:t xml:space="preserve"> while learning the truth behind them. Readings will be long, and often hard to identify with contextually; but the world they reveal is a fascinating one, and certainly worth knowing!</w:t>
      </w:r>
      <w:r w:rsidR="00776E11">
        <w:rPr>
          <w:rFonts w:ascii="Garamond" w:hAnsi="Garamond"/>
          <w:sz w:val="24"/>
          <w:szCs w:val="24"/>
        </w:rPr>
        <w:t xml:space="preserve"> </w:t>
      </w:r>
      <w:bookmarkStart w:id="0" w:name="_Hlk113792641"/>
      <w:r w:rsidR="00776E11">
        <w:rPr>
          <w:rFonts w:ascii="Garamond" w:hAnsi="Garamond"/>
          <w:sz w:val="24"/>
          <w:szCs w:val="24"/>
        </w:rPr>
        <w:t>At the end of the semester, students will be asked to evaluate this course via anonymous electronic questionnaires.</w:t>
      </w:r>
      <w:bookmarkEnd w:id="0"/>
    </w:p>
    <w:p w14:paraId="17FD0742" w14:textId="2C549202" w:rsidR="004D39F7" w:rsidRPr="008452C1" w:rsidRDefault="004D39F7" w:rsidP="00D853B2">
      <w:pPr>
        <w:spacing w:after="0" w:line="240" w:lineRule="auto"/>
        <w:ind w:firstLine="720"/>
        <w:jc w:val="both"/>
        <w:rPr>
          <w:rFonts w:ascii="Garamond" w:hAnsi="Garamond"/>
          <w:sz w:val="24"/>
          <w:szCs w:val="24"/>
        </w:rPr>
      </w:pPr>
      <w:r w:rsidRPr="008452C1">
        <w:rPr>
          <w:rFonts w:ascii="Garamond" w:hAnsi="Garamond" w:cs="Times New Roman"/>
          <w:sz w:val="24"/>
          <w:szCs w:val="24"/>
          <w:lang w:val="en-GB"/>
        </w:rPr>
        <w:t>Although the instructor will provide introductory and analytical lectures for each item, your strong participation is indispensable for the implementation and assimilation of this course. Should any problems arise during the semester, please see the instructor as early as possible.</w:t>
      </w:r>
    </w:p>
    <w:p w14:paraId="134BA3B9" w14:textId="77777777" w:rsidR="004D39F7" w:rsidRPr="008452C1" w:rsidRDefault="004D39F7" w:rsidP="00D853B2">
      <w:pPr>
        <w:pStyle w:val="PlainText"/>
        <w:jc w:val="both"/>
        <w:rPr>
          <w:rFonts w:ascii="Garamond" w:hAnsi="Garamond" w:cs="Times New Roman"/>
          <w:sz w:val="24"/>
          <w:szCs w:val="24"/>
          <w:lang w:val="en-GB"/>
        </w:rPr>
      </w:pPr>
    </w:p>
    <w:p w14:paraId="57D4B1D8" w14:textId="77777777" w:rsidR="004D39F7" w:rsidRPr="008452C1" w:rsidRDefault="004D39F7" w:rsidP="00D853B2">
      <w:pPr>
        <w:pStyle w:val="PlainText"/>
        <w:jc w:val="both"/>
        <w:rPr>
          <w:rFonts w:ascii="Garamond" w:hAnsi="Garamond" w:cs="Times New Roman"/>
          <w:sz w:val="24"/>
          <w:szCs w:val="24"/>
          <w:lang w:val="en-GB"/>
        </w:rPr>
      </w:pPr>
      <w:r w:rsidRPr="008452C1">
        <w:rPr>
          <w:rFonts w:ascii="Garamond" w:hAnsi="Garamond" w:cs="Times New Roman"/>
          <w:b/>
          <w:sz w:val="24"/>
          <w:szCs w:val="24"/>
          <w:lang w:val="en-GB"/>
        </w:rPr>
        <w:t>Coursework includes:</w:t>
      </w:r>
    </w:p>
    <w:p w14:paraId="15B789CE" w14:textId="77777777" w:rsidR="004D39F7" w:rsidRPr="008452C1" w:rsidRDefault="004D39F7" w:rsidP="00D853B2">
      <w:pPr>
        <w:pStyle w:val="PlainText"/>
        <w:numPr>
          <w:ilvl w:val="0"/>
          <w:numId w:val="1"/>
        </w:numPr>
        <w:ind w:left="0"/>
        <w:jc w:val="both"/>
        <w:rPr>
          <w:rFonts w:ascii="Garamond" w:hAnsi="Garamond" w:cs="Times New Roman"/>
          <w:sz w:val="24"/>
          <w:szCs w:val="24"/>
          <w:lang w:val="en-GB"/>
        </w:rPr>
      </w:pPr>
      <w:r w:rsidRPr="008452C1">
        <w:rPr>
          <w:rFonts w:ascii="Garamond" w:hAnsi="Garamond" w:cs="Times New Roman"/>
          <w:sz w:val="24"/>
          <w:szCs w:val="24"/>
          <w:lang w:val="en-GB"/>
        </w:rPr>
        <w:t xml:space="preserve">Weekly </w:t>
      </w:r>
      <w:r w:rsidRPr="008452C1">
        <w:rPr>
          <w:rFonts w:ascii="Garamond" w:hAnsi="Garamond" w:cs="Times New Roman"/>
          <w:b/>
          <w:sz w:val="24"/>
          <w:szCs w:val="24"/>
          <w:lang w:val="en-GB"/>
        </w:rPr>
        <w:t>readings</w:t>
      </w:r>
      <w:r w:rsidRPr="008452C1">
        <w:rPr>
          <w:rFonts w:ascii="Garamond" w:hAnsi="Garamond" w:cs="Times New Roman"/>
          <w:sz w:val="24"/>
          <w:szCs w:val="24"/>
          <w:lang w:val="en-GB"/>
        </w:rPr>
        <w:t xml:space="preserve"> and </w:t>
      </w:r>
      <w:r w:rsidRPr="008452C1">
        <w:rPr>
          <w:rFonts w:ascii="Garamond" w:hAnsi="Garamond" w:cs="Times New Roman"/>
          <w:b/>
          <w:sz w:val="24"/>
          <w:szCs w:val="24"/>
          <w:lang w:val="en-GB"/>
        </w:rPr>
        <w:t>participation</w:t>
      </w:r>
    </w:p>
    <w:p w14:paraId="3D2E719D" w14:textId="7A2DAD9E" w:rsidR="004D39F7" w:rsidRPr="008452C1" w:rsidRDefault="00EF375F" w:rsidP="00D853B2">
      <w:pPr>
        <w:pStyle w:val="PlainText"/>
        <w:numPr>
          <w:ilvl w:val="0"/>
          <w:numId w:val="1"/>
        </w:numPr>
        <w:ind w:left="0"/>
        <w:jc w:val="both"/>
        <w:rPr>
          <w:rFonts w:ascii="Garamond" w:hAnsi="Garamond" w:cs="Times New Roman"/>
          <w:sz w:val="24"/>
          <w:szCs w:val="24"/>
          <w:lang w:val="en-GB"/>
        </w:rPr>
      </w:pPr>
      <w:r w:rsidRPr="008452C1">
        <w:rPr>
          <w:rFonts w:ascii="Garamond" w:hAnsi="Garamond" w:cs="Times New Roman"/>
          <w:b/>
          <w:bCs/>
          <w:sz w:val="24"/>
          <w:szCs w:val="24"/>
          <w:lang w:val="en-US"/>
        </w:rPr>
        <w:t>Three</w:t>
      </w:r>
      <w:r w:rsidR="004D39F7" w:rsidRPr="008452C1">
        <w:rPr>
          <w:rFonts w:ascii="Garamond" w:hAnsi="Garamond" w:cs="Times New Roman"/>
          <w:b/>
          <w:bCs/>
          <w:sz w:val="24"/>
          <w:szCs w:val="24"/>
          <w:lang w:val="en-US"/>
        </w:rPr>
        <w:t xml:space="preserve"> (</w:t>
      </w:r>
      <w:r w:rsidRPr="008452C1">
        <w:rPr>
          <w:rFonts w:ascii="Garamond" w:hAnsi="Garamond" w:cs="Times New Roman"/>
          <w:b/>
          <w:bCs/>
          <w:sz w:val="24"/>
          <w:szCs w:val="24"/>
          <w:lang w:val="en-US"/>
        </w:rPr>
        <w:t>3</w:t>
      </w:r>
      <w:r w:rsidR="004D39F7" w:rsidRPr="008452C1">
        <w:rPr>
          <w:rFonts w:ascii="Garamond" w:hAnsi="Garamond" w:cs="Times New Roman"/>
          <w:b/>
          <w:bCs/>
          <w:sz w:val="24"/>
          <w:szCs w:val="24"/>
          <w:lang w:val="en-US"/>
        </w:rPr>
        <w:t>) class journals</w:t>
      </w:r>
      <w:r w:rsidR="004D39F7" w:rsidRPr="008452C1">
        <w:rPr>
          <w:rFonts w:ascii="Garamond" w:hAnsi="Garamond" w:cs="Times New Roman"/>
          <w:sz w:val="24"/>
          <w:szCs w:val="24"/>
          <w:lang w:val="en-US"/>
        </w:rPr>
        <w:t xml:space="preserve"> on the dates designated on the schedule below. Each journal should be a 1-page minimum reaction papers, written right after your readings and reflecting your own </w:t>
      </w:r>
      <w:r w:rsidR="004D39F7" w:rsidRPr="008452C1">
        <w:rPr>
          <w:rFonts w:ascii="Garamond" w:hAnsi="Garamond" w:cs="Times New Roman"/>
          <w:b/>
          <w:bCs/>
          <w:sz w:val="24"/>
          <w:szCs w:val="24"/>
          <w:lang w:val="en-US"/>
        </w:rPr>
        <w:t>personal</w:t>
      </w:r>
      <w:r w:rsidR="004D39F7" w:rsidRPr="008452C1">
        <w:rPr>
          <w:rFonts w:ascii="Garamond" w:hAnsi="Garamond" w:cs="Times New Roman"/>
          <w:sz w:val="24"/>
          <w:szCs w:val="24"/>
          <w:lang w:val="en-US"/>
        </w:rPr>
        <w:t xml:space="preserve"> thoughts on, or analyses of, </w:t>
      </w:r>
      <w:r w:rsidR="004D39F7" w:rsidRPr="008452C1">
        <w:rPr>
          <w:rFonts w:ascii="Garamond" w:hAnsi="Garamond" w:cs="Times New Roman"/>
          <w:b/>
          <w:bCs/>
          <w:sz w:val="24"/>
          <w:szCs w:val="24"/>
          <w:lang w:val="en-US"/>
        </w:rPr>
        <w:t>one</w:t>
      </w:r>
      <w:r w:rsidR="004D39F7" w:rsidRPr="008452C1">
        <w:rPr>
          <w:rFonts w:ascii="Garamond" w:hAnsi="Garamond" w:cs="Times New Roman"/>
          <w:sz w:val="24"/>
          <w:szCs w:val="24"/>
          <w:lang w:val="en-US"/>
        </w:rPr>
        <w:t xml:space="preserve"> of the texts assigned for the given date. </w:t>
      </w:r>
      <w:r w:rsidR="00997B07">
        <w:rPr>
          <w:rFonts w:ascii="Garamond" w:hAnsi="Garamond" w:cs="Times New Roman"/>
          <w:sz w:val="24"/>
          <w:szCs w:val="24"/>
          <w:lang w:val="en-US"/>
        </w:rPr>
        <w:t xml:space="preserve">Mere summaries will not count as submissions. </w:t>
      </w:r>
      <w:r w:rsidR="004D39F7" w:rsidRPr="008452C1">
        <w:rPr>
          <w:rFonts w:ascii="Garamond" w:hAnsi="Garamond" w:cs="Times New Roman"/>
          <w:sz w:val="24"/>
          <w:szCs w:val="24"/>
          <w:lang w:val="en-US"/>
        </w:rPr>
        <w:t xml:space="preserve">Journals must be </w:t>
      </w:r>
      <w:r w:rsidR="004D39F7" w:rsidRPr="008452C1">
        <w:rPr>
          <w:rFonts w:ascii="Garamond" w:hAnsi="Garamond" w:cs="Times New Roman"/>
          <w:b/>
          <w:bCs/>
          <w:sz w:val="24"/>
          <w:szCs w:val="24"/>
          <w:lang w:val="en-US"/>
        </w:rPr>
        <w:t>typed, with 1.5 space and 12-pt. font regular letters</w:t>
      </w:r>
      <w:r w:rsidR="004D39F7" w:rsidRPr="008452C1">
        <w:rPr>
          <w:rFonts w:ascii="Garamond" w:hAnsi="Garamond" w:cs="Times New Roman"/>
          <w:sz w:val="24"/>
          <w:szCs w:val="24"/>
          <w:lang w:val="en-US"/>
        </w:rPr>
        <w:t>. Please, no cover pages or plastic sheaths (spare the environment!). You are responsible for missed class material and journals: in case of absence on a journal date, either submit your paper early, or electronically. A hard copy of your journal should also be present at the start of the class on their due date, as students may be asked to read aloud their entries for the benefit of their peers. Journals selected by the instructor (whole or parts) may also be posted on the website for peer-sharing, with the author’s permission. Plagiarism will not be tolerated. Journals are collectively worth two (2) final grade point</w:t>
      </w:r>
      <w:r w:rsidRPr="008452C1">
        <w:rPr>
          <w:rFonts w:ascii="Garamond" w:hAnsi="Garamond" w:cs="Times New Roman"/>
          <w:sz w:val="24"/>
          <w:szCs w:val="24"/>
          <w:lang w:val="en-US"/>
        </w:rPr>
        <w:t>s (best two out of three grades)</w:t>
      </w:r>
      <w:r w:rsidR="004D39F7" w:rsidRPr="008452C1">
        <w:rPr>
          <w:rFonts w:ascii="Garamond" w:hAnsi="Garamond" w:cs="Times New Roman"/>
          <w:sz w:val="24"/>
          <w:szCs w:val="24"/>
          <w:lang w:val="en-US"/>
        </w:rPr>
        <w:t>.</w:t>
      </w:r>
    </w:p>
    <w:p w14:paraId="7CE85A4E" w14:textId="2918CFE3" w:rsidR="004D39F7" w:rsidRPr="008452C1" w:rsidRDefault="004D39F7" w:rsidP="00D853B2">
      <w:pPr>
        <w:pStyle w:val="PlainText"/>
        <w:numPr>
          <w:ilvl w:val="0"/>
          <w:numId w:val="1"/>
        </w:numPr>
        <w:ind w:left="0"/>
        <w:jc w:val="both"/>
        <w:rPr>
          <w:rFonts w:ascii="Garamond" w:hAnsi="Garamond" w:cs="Times New Roman"/>
          <w:sz w:val="24"/>
          <w:szCs w:val="24"/>
          <w:lang w:val="en-GB"/>
        </w:rPr>
      </w:pPr>
      <w:r w:rsidRPr="008452C1">
        <w:rPr>
          <w:rFonts w:ascii="Garamond" w:hAnsi="Garamond" w:cs="Times New Roman"/>
          <w:sz w:val="24"/>
          <w:szCs w:val="24"/>
          <w:lang w:val="en-GB"/>
        </w:rPr>
        <w:t xml:space="preserve">A </w:t>
      </w:r>
      <w:r w:rsidRPr="008452C1">
        <w:rPr>
          <w:rFonts w:ascii="Garamond" w:hAnsi="Garamond" w:cs="Times New Roman"/>
          <w:b/>
          <w:sz w:val="24"/>
          <w:szCs w:val="24"/>
          <w:lang w:val="en-GB"/>
        </w:rPr>
        <w:t>final written exam</w:t>
      </w:r>
      <w:r w:rsidRPr="008452C1">
        <w:rPr>
          <w:rFonts w:ascii="Garamond" w:hAnsi="Garamond" w:cs="Times New Roman"/>
          <w:sz w:val="24"/>
          <w:szCs w:val="24"/>
          <w:lang w:val="en-GB"/>
        </w:rPr>
        <w:t xml:space="preserve">, worth </w:t>
      </w:r>
      <w:r w:rsidR="00C05549" w:rsidRPr="008452C1">
        <w:rPr>
          <w:rFonts w:ascii="Garamond" w:hAnsi="Garamond" w:cs="Times New Roman"/>
          <w:sz w:val="24"/>
          <w:szCs w:val="24"/>
          <w:lang w:val="en-GB"/>
        </w:rPr>
        <w:t>8</w:t>
      </w:r>
      <w:r w:rsidRPr="008452C1">
        <w:rPr>
          <w:rFonts w:ascii="Garamond" w:hAnsi="Garamond" w:cs="Times New Roman"/>
          <w:sz w:val="24"/>
          <w:szCs w:val="24"/>
          <w:lang w:val="en-GB"/>
        </w:rPr>
        <w:t xml:space="preserve"> points.</w:t>
      </w:r>
    </w:p>
    <w:p w14:paraId="78DD6755" w14:textId="5F6304A7" w:rsidR="004D39F7" w:rsidRPr="008452C1" w:rsidRDefault="004D39F7" w:rsidP="00D853B2">
      <w:pPr>
        <w:pStyle w:val="PlainText"/>
        <w:numPr>
          <w:ilvl w:val="0"/>
          <w:numId w:val="1"/>
        </w:numPr>
        <w:ind w:left="0"/>
        <w:jc w:val="both"/>
        <w:rPr>
          <w:rFonts w:ascii="Garamond" w:hAnsi="Garamond" w:cs="Times New Roman"/>
          <w:sz w:val="24"/>
          <w:szCs w:val="24"/>
          <w:lang w:val="en-GB"/>
        </w:rPr>
      </w:pPr>
      <w:r w:rsidRPr="008452C1">
        <w:rPr>
          <w:rFonts w:ascii="Garamond" w:hAnsi="Garamond" w:cs="Times New Roman"/>
          <w:sz w:val="24"/>
          <w:szCs w:val="24"/>
          <w:lang w:val="en-GB"/>
        </w:rPr>
        <w:t xml:space="preserve">There is also the </w:t>
      </w:r>
      <w:r w:rsidRPr="008452C1">
        <w:rPr>
          <w:rFonts w:ascii="Garamond" w:hAnsi="Garamond" w:cs="Times New Roman"/>
          <w:b/>
          <w:sz w:val="24"/>
          <w:szCs w:val="24"/>
          <w:lang w:val="en-GB"/>
        </w:rPr>
        <w:t>option</w:t>
      </w:r>
      <w:r w:rsidRPr="008452C1">
        <w:rPr>
          <w:rFonts w:ascii="Garamond" w:hAnsi="Garamond" w:cs="Times New Roman"/>
          <w:sz w:val="24"/>
          <w:szCs w:val="24"/>
          <w:lang w:val="en-GB"/>
        </w:rPr>
        <w:t xml:space="preserve"> of a </w:t>
      </w:r>
      <w:r w:rsidRPr="008452C1">
        <w:rPr>
          <w:rFonts w:ascii="Garamond" w:hAnsi="Garamond" w:cs="Times New Roman"/>
          <w:b/>
          <w:sz w:val="24"/>
          <w:szCs w:val="24"/>
          <w:lang w:val="en-GB"/>
        </w:rPr>
        <w:t>final research paper</w:t>
      </w:r>
      <w:r w:rsidRPr="008452C1">
        <w:rPr>
          <w:rFonts w:ascii="Garamond" w:hAnsi="Garamond" w:cs="Times New Roman"/>
          <w:sz w:val="24"/>
          <w:szCs w:val="24"/>
          <w:lang w:val="en-GB"/>
        </w:rPr>
        <w:t xml:space="preserve">, worth 2 points, 1.800-2.000 words, with at least 10 items of bibliography (including your main text), due on the day of the final exam in ELECTRONIC form (1.5 space, 12-pt. font, latest MLA citation style—available at </w:t>
      </w:r>
      <w:hyperlink r:id="rId9" w:history="1">
        <w:r w:rsidRPr="008452C1">
          <w:rPr>
            <w:rStyle w:val="Hyperlink"/>
            <w:rFonts w:ascii="Garamond" w:hAnsi="Garamond"/>
            <w:sz w:val="24"/>
            <w:szCs w:val="24"/>
            <w:lang w:val="en-GB"/>
          </w:rPr>
          <w:t>https://owl.english.purdue.edu/owl/resource/747/01/</w:t>
        </w:r>
      </w:hyperlink>
      <w:r w:rsidRPr="008452C1">
        <w:rPr>
          <w:rFonts w:ascii="Garamond" w:hAnsi="Garamond" w:cs="Times New Roman"/>
          <w:sz w:val="24"/>
          <w:szCs w:val="24"/>
          <w:lang w:val="en-GB"/>
        </w:rPr>
        <w:t>)</w:t>
      </w:r>
      <w:r w:rsidR="00EF375F" w:rsidRPr="008452C1">
        <w:rPr>
          <w:rFonts w:ascii="Garamond" w:hAnsi="Garamond" w:cs="Times New Roman"/>
          <w:sz w:val="24"/>
          <w:szCs w:val="24"/>
          <w:lang w:val="en-GB"/>
        </w:rPr>
        <w:t>, in either a Word or an OpenOffice file</w:t>
      </w:r>
      <w:r w:rsidRPr="008452C1">
        <w:rPr>
          <w:rFonts w:ascii="Garamond" w:hAnsi="Garamond" w:cs="Times New Roman"/>
          <w:sz w:val="24"/>
          <w:szCs w:val="24"/>
          <w:lang w:val="en-GB"/>
        </w:rPr>
        <w:t xml:space="preserve">. The scanned first page of each paper source must be submitted for the final draft </w:t>
      </w:r>
      <w:r w:rsidR="00EF375F" w:rsidRPr="008452C1">
        <w:rPr>
          <w:rFonts w:ascii="Garamond" w:hAnsi="Garamond" w:cs="Times New Roman"/>
          <w:sz w:val="24"/>
          <w:szCs w:val="24"/>
          <w:lang w:val="en-GB"/>
        </w:rPr>
        <w:t xml:space="preserve">(in a unified PDF file) </w:t>
      </w:r>
      <w:r w:rsidRPr="008452C1">
        <w:rPr>
          <w:rFonts w:ascii="Garamond" w:hAnsi="Garamond" w:cs="Times New Roman"/>
          <w:sz w:val="24"/>
          <w:szCs w:val="24"/>
          <w:lang w:val="en-GB"/>
        </w:rPr>
        <w:t xml:space="preserve">to be considered valid. The paper will </w:t>
      </w:r>
      <w:r w:rsidR="00C05549" w:rsidRPr="008452C1">
        <w:rPr>
          <w:rFonts w:ascii="Garamond" w:hAnsi="Garamond" w:cs="Times New Roman"/>
          <w:sz w:val="24"/>
          <w:szCs w:val="24"/>
          <w:lang w:val="en-GB"/>
        </w:rPr>
        <w:t xml:space="preserve">either </w:t>
      </w:r>
      <w:proofErr w:type="spellStart"/>
      <w:r w:rsidR="00C05549" w:rsidRPr="008452C1">
        <w:rPr>
          <w:rFonts w:ascii="Garamond" w:hAnsi="Garamond" w:cs="Times New Roman"/>
          <w:sz w:val="24"/>
          <w:szCs w:val="24"/>
          <w:lang w:val="en-GB"/>
        </w:rPr>
        <w:t>analyze</w:t>
      </w:r>
      <w:proofErr w:type="spellEnd"/>
      <w:r w:rsidR="00C05549" w:rsidRPr="008452C1">
        <w:rPr>
          <w:rFonts w:ascii="Garamond" w:hAnsi="Garamond" w:cs="Times New Roman"/>
          <w:sz w:val="24"/>
          <w:szCs w:val="24"/>
          <w:lang w:val="en-GB"/>
        </w:rPr>
        <w:t xml:space="preserve"> an aspect of a medieval </w:t>
      </w:r>
      <w:r w:rsidR="00C05549" w:rsidRPr="008452C1">
        <w:rPr>
          <w:rFonts w:ascii="Garamond" w:hAnsi="Garamond" w:cs="Times New Roman"/>
          <w:sz w:val="24"/>
          <w:szCs w:val="24"/>
          <w:lang w:val="en-GB"/>
        </w:rPr>
        <w:lastRenderedPageBreak/>
        <w:t xml:space="preserve">text </w:t>
      </w:r>
      <w:r w:rsidR="00C05549" w:rsidRPr="00997B07">
        <w:rPr>
          <w:rFonts w:ascii="Garamond" w:hAnsi="Garamond" w:cs="Times New Roman"/>
          <w:b/>
          <w:bCs/>
          <w:sz w:val="24"/>
          <w:szCs w:val="24"/>
          <w:lang w:val="en-GB"/>
        </w:rPr>
        <w:t>not included</w:t>
      </w:r>
      <w:r w:rsidR="00C05549" w:rsidRPr="008452C1">
        <w:rPr>
          <w:rFonts w:ascii="Garamond" w:hAnsi="Garamond" w:cs="Times New Roman"/>
          <w:sz w:val="24"/>
          <w:szCs w:val="24"/>
          <w:lang w:val="en-GB"/>
        </w:rPr>
        <w:t xml:space="preserve"> in the syllabus (in the case of large texts included in the syllabus, this can mean omitted parts of those texts)</w:t>
      </w:r>
      <w:r w:rsidR="0024442A">
        <w:rPr>
          <w:rFonts w:ascii="Garamond" w:hAnsi="Garamond" w:cs="Times New Roman"/>
          <w:sz w:val="24"/>
          <w:szCs w:val="24"/>
          <w:lang w:val="en-GB"/>
        </w:rPr>
        <w:t xml:space="preserve"> from a modern theoretical point of view</w:t>
      </w:r>
      <w:r w:rsidR="00C05549" w:rsidRPr="008452C1">
        <w:rPr>
          <w:rFonts w:ascii="Garamond" w:hAnsi="Garamond" w:cs="Times New Roman"/>
          <w:sz w:val="24"/>
          <w:szCs w:val="24"/>
          <w:lang w:val="en-GB"/>
        </w:rPr>
        <w:t>, or can compare/contrast an original text with a later qualitative literary adaptation.</w:t>
      </w:r>
      <w:r w:rsidR="00C65FA7" w:rsidRPr="008452C1">
        <w:rPr>
          <w:rFonts w:ascii="Garamond" w:hAnsi="Garamond" w:cs="Times New Roman"/>
          <w:sz w:val="24"/>
          <w:szCs w:val="24"/>
          <w:lang w:val="en-GB"/>
        </w:rPr>
        <w:t xml:space="preserve"> Theses must be submitted beforehand for </w:t>
      </w:r>
      <w:r w:rsidR="008452C1" w:rsidRPr="008452C1">
        <w:rPr>
          <w:rFonts w:ascii="Garamond" w:hAnsi="Garamond" w:cs="Times New Roman"/>
          <w:sz w:val="24"/>
          <w:szCs w:val="24"/>
          <w:lang w:val="en-GB"/>
        </w:rPr>
        <w:t xml:space="preserve">instructor </w:t>
      </w:r>
      <w:r w:rsidR="00C65FA7" w:rsidRPr="008452C1">
        <w:rPr>
          <w:rFonts w:ascii="Garamond" w:hAnsi="Garamond" w:cs="Times New Roman"/>
          <w:sz w:val="24"/>
          <w:szCs w:val="24"/>
          <w:lang w:val="en-GB"/>
        </w:rPr>
        <w:t>approval.</w:t>
      </w:r>
      <w:r w:rsidR="00C05549" w:rsidRPr="008452C1">
        <w:rPr>
          <w:rFonts w:ascii="Garamond" w:hAnsi="Garamond" w:cs="Times New Roman"/>
          <w:sz w:val="24"/>
          <w:szCs w:val="24"/>
          <w:lang w:val="en-GB"/>
        </w:rPr>
        <w:t xml:space="preserve"> </w:t>
      </w:r>
      <w:r w:rsidRPr="008452C1">
        <w:rPr>
          <w:rFonts w:ascii="Garamond" w:hAnsi="Garamond" w:cs="Times New Roman"/>
          <w:sz w:val="24"/>
          <w:szCs w:val="24"/>
          <w:lang w:val="en-GB"/>
        </w:rPr>
        <w:t>All parts of the paper must be submitted on time and in valid form for the final project to be considered. ANY plagiarism discovered will result in an automatic and terminal fail for the project.</w:t>
      </w:r>
    </w:p>
    <w:p w14:paraId="099FFA00" w14:textId="77777777" w:rsidR="00EF375F" w:rsidRPr="008452C1" w:rsidRDefault="00EF375F" w:rsidP="00D853B2">
      <w:pPr>
        <w:pStyle w:val="PlainText"/>
        <w:jc w:val="both"/>
        <w:rPr>
          <w:rFonts w:ascii="Garamond" w:hAnsi="Garamond" w:cs="Times New Roman"/>
          <w:sz w:val="24"/>
          <w:szCs w:val="24"/>
          <w:lang w:val="en-GB"/>
        </w:rPr>
      </w:pPr>
    </w:p>
    <w:p w14:paraId="67F8D18A" w14:textId="35F48113" w:rsidR="00955AF8" w:rsidRPr="008452C1" w:rsidRDefault="00955AF8" w:rsidP="00D853B2">
      <w:pPr>
        <w:spacing w:after="0" w:line="240" w:lineRule="auto"/>
        <w:jc w:val="both"/>
        <w:rPr>
          <w:rFonts w:ascii="Garamond" w:hAnsi="Garamond"/>
          <w:sz w:val="24"/>
          <w:szCs w:val="24"/>
        </w:rPr>
      </w:pPr>
      <w:r w:rsidRPr="008452C1">
        <w:rPr>
          <w:rFonts w:ascii="Garamond" w:hAnsi="Garamond"/>
          <w:b/>
          <w:bCs/>
          <w:sz w:val="24"/>
          <w:szCs w:val="24"/>
        </w:rPr>
        <w:t>Texts</w:t>
      </w:r>
      <w:r w:rsidRPr="008452C1">
        <w:rPr>
          <w:rFonts w:ascii="Garamond" w:hAnsi="Garamond"/>
          <w:sz w:val="24"/>
          <w:szCs w:val="24"/>
        </w:rPr>
        <w:t>:</w:t>
      </w:r>
    </w:p>
    <w:p w14:paraId="21214346" w14:textId="60FDFB07" w:rsidR="00E05DD3" w:rsidRPr="008452C1" w:rsidRDefault="00C05549" w:rsidP="00D853B2">
      <w:pPr>
        <w:spacing w:after="0" w:line="240" w:lineRule="auto"/>
        <w:jc w:val="both"/>
        <w:rPr>
          <w:rFonts w:ascii="Garamond" w:hAnsi="Garamond"/>
          <w:sz w:val="24"/>
          <w:szCs w:val="24"/>
        </w:rPr>
      </w:pPr>
      <w:r w:rsidRPr="008452C1">
        <w:rPr>
          <w:rFonts w:ascii="Garamond" w:hAnsi="Garamond"/>
          <w:sz w:val="24"/>
          <w:szCs w:val="24"/>
        </w:rPr>
        <w:t xml:space="preserve">All primary texts </w:t>
      </w:r>
      <w:r w:rsidR="00EF375F" w:rsidRPr="008452C1">
        <w:rPr>
          <w:rFonts w:ascii="Garamond" w:hAnsi="Garamond"/>
          <w:sz w:val="24"/>
          <w:szCs w:val="24"/>
        </w:rPr>
        <w:t xml:space="preserve">and selected secondary texts </w:t>
      </w:r>
      <w:r w:rsidR="008452C1">
        <w:rPr>
          <w:rFonts w:ascii="Garamond" w:hAnsi="Garamond"/>
          <w:sz w:val="24"/>
          <w:szCs w:val="24"/>
        </w:rPr>
        <w:t xml:space="preserve">for helpful optional reading </w:t>
      </w:r>
      <w:r w:rsidR="00EF375F" w:rsidRPr="008452C1">
        <w:rPr>
          <w:rFonts w:ascii="Garamond" w:hAnsi="Garamond"/>
          <w:sz w:val="24"/>
          <w:szCs w:val="24"/>
        </w:rPr>
        <w:t>are available on e-class.</w:t>
      </w:r>
      <w:r w:rsidR="00C65FA7" w:rsidRPr="008452C1">
        <w:rPr>
          <w:rFonts w:ascii="Garamond" w:hAnsi="Garamond"/>
          <w:sz w:val="24"/>
          <w:szCs w:val="24"/>
        </w:rPr>
        <w:t xml:space="preserve"> You are expected to have read the designated texts before coming to class each </w:t>
      </w:r>
      <w:proofErr w:type="spellStart"/>
      <w:proofErr w:type="gramStart"/>
      <w:r w:rsidR="00C65FA7" w:rsidRPr="008452C1">
        <w:rPr>
          <w:rFonts w:ascii="Garamond" w:hAnsi="Garamond"/>
          <w:sz w:val="24"/>
          <w:szCs w:val="24"/>
        </w:rPr>
        <w:t>week.</w:t>
      </w:r>
      <w:r w:rsidR="00A90D7E">
        <w:rPr>
          <w:rFonts w:ascii="Garamond" w:hAnsi="Garamond"/>
          <w:sz w:val="24"/>
          <w:szCs w:val="24"/>
        </w:rPr>
        <w:t>ţ</w:t>
      </w:r>
      <w:proofErr w:type="spellEnd"/>
      <w:proofErr w:type="gramEnd"/>
    </w:p>
    <w:p w14:paraId="7556C8BE" w14:textId="77777777" w:rsidR="00EF375F" w:rsidRPr="008452C1" w:rsidRDefault="00EF375F" w:rsidP="00D853B2">
      <w:pPr>
        <w:spacing w:after="0" w:line="240" w:lineRule="auto"/>
        <w:jc w:val="both"/>
        <w:rPr>
          <w:rFonts w:ascii="Garamond" w:hAnsi="Garamond"/>
          <w:sz w:val="24"/>
          <w:szCs w:val="24"/>
        </w:rPr>
      </w:pPr>
    </w:p>
    <w:p w14:paraId="75335FB7" w14:textId="641E9AEF" w:rsidR="00E05DD3" w:rsidRPr="008452C1" w:rsidRDefault="00E05DD3" w:rsidP="00D853B2">
      <w:pPr>
        <w:spacing w:after="0" w:line="240" w:lineRule="auto"/>
        <w:jc w:val="both"/>
        <w:rPr>
          <w:rFonts w:ascii="Garamond" w:hAnsi="Garamond"/>
          <w:b/>
          <w:bCs/>
          <w:sz w:val="24"/>
          <w:szCs w:val="24"/>
        </w:rPr>
      </w:pPr>
      <w:r w:rsidRPr="008452C1">
        <w:rPr>
          <w:rFonts w:ascii="Garamond" w:hAnsi="Garamond"/>
          <w:b/>
          <w:bCs/>
          <w:sz w:val="24"/>
          <w:szCs w:val="24"/>
        </w:rPr>
        <w:t>Class schedule:</w:t>
      </w:r>
      <w:r w:rsidR="00E20558">
        <w:rPr>
          <w:rFonts w:ascii="Garamond" w:hAnsi="Garamond"/>
          <w:b/>
          <w:bCs/>
          <w:sz w:val="24"/>
          <w:szCs w:val="24"/>
        </w:rPr>
        <w:t xml:space="preserve"> </w:t>
      </w:r>
    </w:p>
    <w:tbl>
      <w:tblPr>
        <w:tblStyle w:val="TableGrid"/>
        <w:tblW w:w="10490" w:type="dxa"/>
        <w:tblInd w:w="-176" w:type="dxa"/>
        <w:tblLook w:val="04A0" w:firstRow="1" w:lastRow="0" w:firstColumn="1" w:lastColumn="0" w:noHBand="0" w:noVBand="1"/>
      </w:tblPr>
      <w:tblGrid>
        <w:gridCol w:w="1413"/>
        <w:gridCol w:w="1984"/>
        <w:gridCol w:w="7093"/>
      </w:tblGrid>
      <w:tr w:rsidR="00E05DD3" w:rsidRPr="003568E0" w14:paraId="7EE04A92" w14:textId="77777777" w:rsidTr="00D853B2">
        <w:tc>
          <w:tcPr>
            <w:tcW w:w="1413" w:type="dxa"/>
          </w:tcPr>
          <w:p w14:paraId="1676A1CB" w14:textId="1C04DCF6" w:rsidR="00E05DD3" w:rsidRPr="003568E0" w:rsidRDefault="00E05DD3" w:rsidP="00D853B2">
            <w:pPr>
              <w:jc w:val="both"/>
              <w:rPr>
                <w:rFonts w:ascii="Garamond" w:hAnsi="Garamond"/>
                <w:b/>
                <w:bCs/>
              </w:rPr>
            </w:pPr>
            <w:r w:rsidRPr="003568E0">
              <w:rPr>
                <w:rFonts w:ascii="Garamond" w:hAnsi="Garamond"/>
                <w:b/>
                <w:bCs/>
              </w:rPr>
              <w:t>Date</w:t>
            </w:r>
          </w:p>
        </w:tc>
        <w:tc>
          <w:tcPr>
            <w:tcW w:w="1984" w:type="dxa"/>
          </w:tcPr>
          <w:p w14:paraId="6029ACB4" w14:textId="4947F8A3" w:rsidR="00E05DD3" w:rsidRPr="003568E0" w:rsidRDefault="00E05DD3" w:rsidP="00D853B2">
            <w:pPr>
              <w:jc w:val="both"/>
              <w:rPr>
                <w:rFonts w:ascii="Garamond" w:hAnsi="Garamond"/>
                <w:b/>
                <w:bCs/>
              </w:rPr>
            </w:pPr>
            <w:r w:rsidRPr="003568E0">
              <w:rPr>
                <w:rFonts w:ascii="Garamond" w:hAnsi="Garamond"/>
                <w:b/>
                <w:bCs/>
              </w:rPr>
              <w:t>Session Theme</w:t>
            </w:r>
          </w:p>
        </w:tc>
        <w:tc>
          <w:tcPr>
            <w:tcW w:w="7093" w:type="dxa"/>
          </w:tcPr>
          <w:p w14:paraId="39D36BEE" w14:textId="3387C5EC" w:rsidR="00E05DD3" w:rsidRPr="003568E0" w:rsidRDefault="00E05DD3" w:rsidP="00D853B2">
            <w:pPr>
              <w:jc w:val="both"/>
              <w:rPr>
                <w:rFonts w:ascii="Garamond" w:hAnsi="Garamond"/>
                <w:b/>
                <w:bCs/>
              </w:rPr>
            </w:pPr>
            <w:r w:rsidRPr="003568E0">
              <w:rPr>
                <w:rFonts w:ascii="Garamond" w:hAnsi="Garamond"/>
                <w:b/>
                <w:bCs/>
              </w:rPr>
              <w:t>Texts</w:t>
            </w:r>
          </w:p>
        </w:tc>
      </w:tr>
      <w:tr w:rsidR="00E05DD3" w:rsidRPr="003568E0" w14:paraId="3A469BAA" w14:textId="77777777" w:rsidTr="00D853B2">
        <w:tc>
          <w:tcPr>
            <w:tcW w:w="1413" w:type="dxa"/>
          </w:tcPr>
          <w:p w14:paraId="7D99BD52" w14:textId="06A5F685" w:rsidR="00E05DD3" w:rsidRPr="0012356A" w:rsidRDefault="003D0D04" w:rsidP="00D853B2">
            <w:pPr>
              <w:jc w:val="both"/>
              <w:rPr>
                <w:rFonts w:ascii="Garamond" w:hAnsi="Garamond"/>
              </w:rPr>
            </w:pPr>
            <w:r>
              <w:rPr>
                <w:rFonts w:ascii="Garamond" w:hAnsi="Garamond"/>
              </w:rPr>
              <w:t>2</w:t>
            </w:r>
            <w:r w:rsidR="0012356A" w:rsidRPr="003D0D04">
              <w:rPr>
                <w:rFonts w:ascii="Garamond" w:hAnsi="Garamond"/>
              </w:rPr>
              <w:t>/10</w:t>
            </w:r>
          </w:p>
        </w:tc>
        <w:tc>
          <w:tcPr>
            <w:tcW w:w="1984" w:type="dxa"/>
          </w:tcPr>
          <w:p w14:paraId="0E00DD6A" w14:textId="107FE7A1" w:rsidR="00E05DD3" w:rsidRPr="003568E0" w:rsidRDefault="00E05DD3" w:rsidP="00D853B2">
            <w:pPr>
              <w:jc w:val="both"/>
              <w:rPr>
                <w:rFonts w:ascii="Garamond" w:hAnsi="Garamond"/>
              </w:rPr>
            </w:pPr>
            <w:r w:rsidRPr="003568E0">
              <w:rPr>
                <w:rFonts w:ascii="Garamond" w:hAnsi="Garamond"/>
              </w:rPr>
              <w:t>Introduction</w:t>
            </w:r>
            <w:r w:rsidR="00AA6204" w:rsidRPr="003568E0">
              <w:rPr>
                <w:rFonts w:ascii="Garamond" w:hAnsi="Garamond"/>
              </w:rPr>
              <w:t>: The Middle Ages</w:t>
            </w:r>
          </w:p>
        </w:tc>
        <w:tc>
          <w:tcPr>
            <w:tcW w:w="7093" w:type="dxa"/>
          </w:tcPr>
          <w:p w14:paraId="523AF144" w14:textId="7279E70A" w:rsidR="00E05DD3" w:rsidRPr="003568E0" w:rsidRDefault="00AA6204" w:rsidP="00D853B2">
            <w:pPr>
              <w:jc w:val="both"/>
              <w:rPr>
                <w:rFonts w:ascii="Garamond" w:hAnsi="Garamond"/>
              </w:rPr>
            </w:pPr>
            <w:r w:rsidRPr="003568E0">
              <w:rPr>
                <w:rFonts w:ascii="Garamond" w:hAnsi="Garamond"/>
              </w:rPr>
              <w:t>To be provided in class</w:t>
            </w:r>
          </w:p>
        </w:tc>
      </w:tr>
      <w:tr w:rsidR="00E05DD3" w:rsidRPr="003568E0" w14:paraId="465D3979" w14:textId="77777777" w:rsidTr="00D853B2">
        <w:tc>
          <w:tcPr>
            <w:tcW w:w="1413" w:type="dxa"/>
          </w:tcPr>
          <w:p w14:paraId="41CE9A0E" w14:textId="281521B2" w:rsidR="00E05DD3" w:rsidRPr="003568E0" w:rsidRDefault="003D0D04" w:rsidP="00D853B2">
            <w:pPr>
              <w:jc w:val="both"/>
              <w:rPr>
                <w:rFonts w:ascii="Garamond" w:hAnsi="Garamond"/>
              </w:rPr>
            </w:pPr>
            <w:r>
              <w:rPr>
                <w:rFonts w:ascii="Garamond" w:hAnsi="Garamond"/>
              </w:rPr>
              <w:t>9</w:t>
            </w:r>
            <w:r w:rsidR="0012356A">
              <w:rPr>
                <w:rFonts w:ascii="Garamond" w:hAnsi="Garamond"/>
              </w:rPr>
              <w:t>/10</w:t>
            </w:r>
          </w:p>
        </w:tc>
        <w:tc>
          <w:tcPr>
            <w:tcW w:w="1984" w:type="dxa"/>
          </w:tcPr>
          <w:p w14:paraId="2DF8E800" w14:textId="1171BA03" w:rsidR="00E05DD3" w:rsidRPr="003568E0" w:rsidRDefault="00877E8A" w:rsidP="00D853B2">
            <w:pPr>
              <w:jc w:val="both"/>
              <w:rPr>
                <w:rFonts w:ascii="Garamond" w:hAnsi="Garamond"/>
              </w:rPr>
            </w:pPr>
            <w:r w:rsidRPr="003568E0">
              <w:rPr>
                <w:rFonts w:ascii="Garamond" w:hAnsi="Garamond"/>
              </w:rPr>
              <w:t>Old English/ Anglo-Saxon poetry</w:t>
            </w:r>
          </w:p>
        </w:tc>
        <w:tc>
          <w:tcPr>
            <w:tcW w:w="7093" w:type="dxa"/>
          </w:tcPr>
          <w:p w14:paraId="3E9491DF" w14:textId="770723FD" w:rsidR="00AA6204" w:rsidRPr="003568E0" w:rsidRDefault="00877E8A" w:rsidP="00D853B2">
            <w:pPr>
              <w:jc w:val="both"/>
              <w:rPr>
                <w:rFonts w:ascii="Garamond" w:hAnsi="Garamond"/>
              </w:rPr>
            </w:pPr>
            <w:r w:rsidRPr="003568E0">
              <w:rPr>
                <w:rFonts w:ascii="Garamond" w:hAnsi="Garamond"/>
              </w:rPr>
              <w:t>“The Wanderer” (Hostetter</w:t>
            </w:r>
            <w:r w:rsidR="00370E83" w:rsidRPr="003568E0">
              <w:rPr>
                <w:rFonts w:ascii="Garamond" w:hAnsi="Garamond"/>
              </w:rPr>
              <w:t xml:space="preserve"> transl.</w:t>
            </w:r>
            <w:r w:rsidRPr="003568E0">
              <w:rPr>
                <w:rFonts w:ascii="Garamond" w:hAnsi="Garamond"/>
              </w:rPr>
              <w:t>)</w:t>
            </w:r>
          </w:p>
          <w:p w14:paraId="40E90478" w14:textId="26BEB1B8" w:rsidR="00E05DD3" w:rsidRPr="003568E0" w:rsidRDefault="00AA6204" w:rsidP="00D853B2">
            <w:pPr>
              <w:jc w:val="both"/>
              <w:rPr>
                <w:rFonts w:ascii="Garamond" w:hAnsi="Garamond"/>
              </w:rPr>
            </w:pPr>
            <w:r w:rsidRPr="003568E0">
              <w:rPr>
                <w:rFonts w:ascii="Garamond" w:hAnsi="Garamond"/>
              </w:rPr>
              <w:t xml:space="preserve">OPTIONAL TEXT: </w:t>
            </w:r>
            <w:r w:rsidR="00877E8A" w:rsidRPr="003568E0">
              <w:rPr>
                <w:rFonts w:ascii="Garamond" w:hAnsi="Garamond"/>
              </w:rPr>
              <w:t>Exeter MS info on “The Wanderer”</w:t>
            </w:r>
          </w:p>
        </w:tc>
      </w:tr>
      <w:tr w:rsidR="00962C68" w:rsidRPr="003568E0" w14:paraId="6495C539" w14:textId="77777777" w:rsidTr="00D853B2">
        <w:tc>
          <w:tcPr>
            <w:tcW w:w="1413" w:type="dxa"/>
          </w:tcPr>
          <w:p w14:paraId="0172B48C" w14:textId="38F2E891" w:rsidR="00962C68" w:rsidRPr="003568E0" w:rsidRDefault="003D0D04" w:rsidP="00D853B2">
            <w:pPr>
              <w:jc w:val="both"/>
              <w:rPr>
                <w:rFonts w:ascii="Garamond" w:hAnsi="Garamond"/>
              </w:rPr>
            </w:pPr>
            <w:r>
              <w:rPr>
                <w:rFonts w:ascii="Garamond" w:hAnsi="Garamond"/>
              </w:rPr>
              <w:t>16</w:t>
            </w:r>
            <w:r w:rsidR="0012356A">
              <w:rPr>
                <w:rFonts w:ascii="Garamond" w:hAnsi="Garamond"/>
              </w:rPr>
              <w:t>/10</w:t>
            </w:r>
          </w:p>
        </w:tc>
        <w:tc>
          <w:tcPr>
            <w:tcW w:w="1984" w:type="dxa"/>
          </w:tcPr>
          <w:p w14:paraId="28850D51" w14:textId="1E78266F" w:rsidR="00962C68" w:rsidRPr="003568E0" w:rsidRDefault="00962C68" w:rsidP="00D853B2">
            <w:pPr>
              <w:jc w:val="both"/>
              <w:rPr>
                <w:rFonts w:ascii="Garamond" w:hAnsi="Garamond"/>
              </w:rPr>
            </w:pPr>
            <w:r w:rsidRPr="003568E0">
              <w:rPr>
                <w:rFonts w:ascii="Garamond" w:hAnsi="Garamond"/>
              </w:rPr>
              <w:t>The English (?) epic</w:t>
            </w:r>
          </w:p>
        </w:tc>
        <w:tc>
          <w:tcPr>
            <w:tcW w:w="7093" w:type="dxa"/>
          </w:tcPr>
          <w:p w14:paraId="4500FC0F" w14:textId="453C241B" w:rsidR="00962C68" w:rsidRPr="003568E0" w:rsidRDefault="00962C68" w:rsidP="00D853B2">
            <w:pPr>
              <w:jc w:val="both"/>
              <w:rPr>
                <w:rFonts w:ascii="Garamond" w:hAnsi="Garamond"/>
              </w:rPr>
            </w:pPr>
            <w:r w:rsidRPr="003568E0">
              <w:rPr>
                <w:rFonts w:ascii="Garamond" w:hAnsi="Garamond"/>
                <w:i/>
                <w:iCs/>
              </w:rPr>
              <w:t>Beowulf</w:t>
            </w:r>
            <w:r w:rsidR="00965E53" w:rsidRPr="003568E0">
              <w:rPr>
                <w:rFonts w:ascii="Garamond" w:hAnsi="Garamond"/>
              </w:rPr>
              <w:t xml:space="preserve"> (</w:t>
            </w:r>
            <w:r w:rsidRPr="003568E0">
              <w:rPr>
                <w:rFonts w:ascii="Garamond" w:hAnsi="Garamond"/>
              </w:rPr>
              <w:t xml:space="preserve">Chickering </w:t>
            </w:r>
            <w:r w:rsidR="00965E53" w:rsidRPr="003568E0">
              <w:rPr>
                <w:rFonts w:ascii="Garamond" w:hAnsi="Garamond"/>
              </w:rPr>
              <w:t xml:space="preserve">transl.): </w:t>
            </w:r>
            <w:r w:rsidRPr="003568E0">
              <w:rPr>
                <w:rFonts w:ascii="Garamond" w:hAnsi="Garamond"/>
              </w:rPr>
              <w:t>Introduction and ll. 1-10</w:t>
            </w:r>
            <w:r w:rsidR="00483A47">
              <w:rPr>
                <w:rFonts w:ascii="Garamond" w:hAnsi="Garamond"/>
              </w:rPr>
              <w:t>62</w:t>
            </w:r>
          </w:p>
          <w:p w14:paraId="135CA795" w14:textId="4A8B2493" w:rsidR="008452C1" w:rsidRPr="003568E0" w:rsidRDefault="008452C1" w:rsidP="00D853B2">
            <w:pPr>
              <w:jc w:val="both"/>
              <w:rPr>
                <w:rFonts w:ascii="Garamond" w:hAnsi="Garamond"/>
              </w:rPr>
            </w:pPr>
            <w:r w:rsidRPr="003568E0">
              <w:rPr>
                <w:rFonts w:ascii="Garamond" w:hAnsi="Garamond"/>
              </w:rPr>
              <w:t>OPT. TEXT: Tolkien, “</w:t>
            </w:r>
            <w:r w:rsidR="003568E0" w:rsidRPr="003568E0">
              <w:rPr>
                <w:rFonts w:ascii="Garamond" w:hAnsi="Garamond"/>
              </w:rPr>
              <w:t xml:space="preserve">Beowulf: </w:t>
            </w:r>
            <w:r w:rsidRPr="003568E0">
              <w:rPr>
                <w:rFonts w:ascii="Garamond" w:hAnsi="Garamond"/>
              </w:rPr>
              <w:t>The Monsters and the Critics”</w:t>
            </w:r>
          </w:p>
        </w:tc>
      </w:tr>
      <w:tr w:rsidR="00962C68" w:rsidRPr="003568E0" w14:paraId="488BC062" w14:textId="77777777" w:rsidTr="00D853B2">
        <w:tc>
          <w:tcPr>
            <w:tcW w:w="1413" w:type="dxa"/>
          </w:tcPr>
          <w:p w14:paraId="60BC05D7" w14:textId="6064781C" w:rsidR="00962C68" w:rsidRPr="00465B5E" w:rsidRDefault="00884A34" w:rsidP="00D853B2">
            <w:pPr>
              <w:jc w:val="both"/>
              <w:rPr>
                <w:rFonts w:ascii="Garamond" w:hAnsi="Garamond"/>
                <w:lang w:val="es-ES"/>
              </w:rPr>
            </w:pPr>
            <w:r>
              <w:rPr>
                <w:rFonts w:ascii="Garamond" w:hAnsi="Garamond"/>
                <w:lang w:val="es-ES"/>
              </w:rPr>
              <w:t>2</w:t>
            </w:r>
            <w:r w:rsidR="00F71832">
              <w:rPr>
                <w:rFonts w:ascii="Garamond" w:hAnsi="Garamond"/>
                <w:lang w:val="es-ES"/>
              </w:rPr>
              <w:t>3</w:t>
            </w:r>
            <w:r w:rsidR="00A8636D">
              <w:rPr>
                <w:rFonts w:ascii="Garamond" w:hAnsi="Garamond"/>
                <w:lang w:val="es-ES"/>
              </w:rPr>
              <w:t>/10</w:t>
            </w:r>
          </w:p>
        </w:tc>
        <w:tc>
          <w:tcPr>
            <w:tcW w:w="1984" w:type="dxa"/>
          </w:tcPr>
          <w:p w14:paraId="28390171" w14:textId="4BE0699B" w:rsidR="00962C68" w:rsidRPr="003568E0" w:rsidRDefault="00962C68" w:rsidP="00D853B2">
            <w:pPr>
              <w:jc w:val="both"/>
              <w:rPr>
                <w:rFonts w:ascii="Garamond" w:hAnsi="Garamond"/>
              </w:rPr>
            </w:pPr>
            <w:r w:rsidRPr="003568E0">
              <w:rPr>
                <w:rFonts w:ascii="Garamond" w:hAnsi="Garamond"/>
              </w:rPr>
              <w:t>The role of women</w:t>
            </w:r>
          </w:p>
        </w:tc>
        <w:tc>
          <w:tcPr>
            <w:tcW w:w="7093" w:type="dxa"/>
          </w:tcPr>
          <w:p w14:paraId="2DF91AF4" w14:textId="18CBD567" w:rsidR="00962C68" w:rsidRPr="003568E0" w:rsidRDefault="00962C68" w:rsidP="00D853B2">
            <w:pPr>
              <w:jc w:val="both"/>
              <w:rPr>
                <w:rFonts w:ascii="Garamond" w:hAnsi="Garamond"/>
              </w:rPr>
            </w:pPr>
            <w:r w:rsidRPr="003568E0">
              <w:rPr>
                <w:rFonts w:ascii="Garamond" w:hAnsi="Garamond"/>
                <w:i/>
                <w:iCs/>
              </w:rPr>
              <w:t>Beowulf</w:t>
            </w:r>
            <w:r w:rsidRPr="003568E0">
              <w:rPr>
                <w:rFonts w:ascii="Garamond" w:hAnsi="Garamond"/>
              </w:rPr>
              <w:t>, ll. 10</w:t>
            </w:r>
            <w:r w:rsidR="00483A47">
              <w:rPr>
                <w:rFonts w:ascii="Garamond" w:hAnsi="Garamond"/>
              </w:rPr>
              <w:t>63</w:t>
            </w:r>
            <w:r w:rsidRPr="003568E0">
              <w:rPr>
                <w:rFonts w:ascii="Garamond" w:hAnsi="Garamond"/>
              </w:rPr>
              <w:t>-2195</w:t>
            </w:r>
            <w:r w:rsidR="00D4283D">
              <w:rPr>
                <w:rFonts w:ascii="Garamond" w:hAnsi="Garamond"/>
              </w:rPr>
              <w:t>; FIRST JOURNAL</w:t>
            </w:r>
          </w:p>
        </w:tc>
      </w:tr>
      <w:tr w:rsidR="00962C68" w:rsidRPr="003568E0" w14:paraId="3F7D50D1" w14:textId="77777777" w:rsidTr="00D853B2">
        <w:tc>
          <w:tcPr>
            <w:tcW w:w="1413" w:type="dxa"/>
          </w:tcPr>
          <w:p w14:paraId="34603CDB" w14:textId="7ED9CB1D" w:rsidR="00962C68" w:rsidRPr="003568E0" w:rsidRDefault="00F71832" w:rsidP="00D853B2">
            <w:pPr>
              <w:jc w:val="both"/>
              <w:rPr>
                <w:rFonts w:ascii="Garamond" w:hAnsi="Garamond"/>
              </w:rPr>
            </w:pPr>
            <w:r>
              <w:rPr>
                <w:rFonts w:ascii="Garamond" w:hAnsi="Garamond"/>
              </w:rPr>
              <w:t>30/10</w:t>
            </w:r>
          </w:p>
        </w:tc>
        <w:tc>
          <w:tcPr>
            <w:tcW w:w="1984" w:type="dxa"/>
          </w:tcPr>
          <w:p w14:paraId="6B0B5B72" w14:textId="6C613282" w:rsidR="00962C68" w:rsidRPr="003568E0" w:rsidRDefault="00962C68" w:rsidP="00D853B2">
            <w:pPr>
              <w:jc w:val="both"/>
              <w:rPr>
                <w:rFonts w:ascii="Garamond" w:hAnsi="Garamond"/>
              </w:rPr>
            </w:pPr>
            <w:r w:rsidRPr="003568E0">
              <w:rPr>
                <w:rFonts w:ascii="Garamond" w:hAnsi="Garamond"/>
              </w:rPr>
              <w:t>The Twilight of the Idols</w:t>
            </w:r>
          </w:p>
        </w:tc>
        <w:tc>
          <w:tcPr>
            <w:tcW w:w="7093" w:type="dxa"/>
          </w:tcPr>
          <w:p w14:paraId="2DC025F7" w14:textId="62650953" w:rsidR="00962C68" w:rsidRPr="003568E0" w:rsidRDefault="00962C68" w:rsidP="00D853B2">
            <w:pPr>
              <w:jc w:val="both"/>
              <w:rPr>
                <w:rFonts w:ascii="Garamond" w:hAnsi="Garamond"/>
              </w:rPr>
            </w:pPr>
            <w:r w:rsidRPr="003568E0">
              <w:rPr>
                <w:rFonts w:ascii="Garamond" w:hAnsi="Garamond"/>
                <w:i/>
                <w:iCs/>
              </w:rPr>
              <w:t>Beowulf</w:t>
            </w:r>
            <w:r w:rsidRPr="003568E0">
              <w:rPr>
                <w:rFonts w:ascii="Garamond" w:hAnsi="Garamond"/>
              </w:rPr>
              <w:t>, ll. 2196-end</w:t>
            </w:r>
            <w:r w:rsidR="00D4283D">
              <w:rPr>
                <w:rFonts w:ascii="Garamond" w:hAnsi="Garamond"/>
              </w:rPr>
              <w:t>.</w:t>
            </w:r>
          </w:p>
        </w:tc>
      </w:tr>
      <w:tr w:rsidR="00962C68" w:rsidRPr="003568E0" w14:paraId="72576EF6" w14:textId="77777777" w:rsidTr="00D853B2">
        <w:tc>
          <w:tcPr>
            <w:tcW w:w="1413" w:type="dxa"/>
          </w:tcPr>
          <w:p w14:paraId="459244D5" w14:textId="440A5503" w:rsidR="00A8636D" w:rsidRPr="003568E0" w:rsidRDefault="00F71832" w:rsidP="00D853B2">
            <w:pPr>
              <w:jc w:val="both"/>
              <w:rPr>
                <w:rFonts w:ascii="Garamond" w:hAnsi="Garamond"/>
              </w:rPr>
            </w:pPr>
            <w:r>
              <w:rPr>
                <w:rFonts w:ascii="Garamond" w:hAnsi="Garamond"/>
              </w:rPr>
              <w:t>6</w:t>
            </w:r>
            <w:r w:rsidR="00A8636D">
              <w:rPr>
                <w:rFonts w:ascii="Garamond" w:hAnsi="Garamond"/>
              </w:rPr>
              <w:t>/11</w:t>
            </w:r>
          </w:p>
        </w:tc>
        <w:tc>
          <w:tcPr>
            <w:tcW w:w="1984" w:type="dxa"/>
          </w:tcPr>
          <w:p w14:paraId="1767703B" w14:textId="7C3E0C3C" w:rsidR="00962C68" w:rsidRPr="003568E0" w:rsidRDefault="00962C68" w:rsidP="00D853B2">
            <w:pPr>
              <w:jc w:val="both"/>
              <w:rPr>
                <w:rFonts w:ascii="Garamond" w:hAnsi="Garamond"/>
              </w:rPr>
            </w:pPr>
            <w:r w:rsidRPr="003568E0">
              <w:rPr>
                <w:rFonts w:ascii="Garamond" w:hAnsi="Garamond"/>
              </w:rPr>
              <w:t>Middle English: Religion and life</w:t>
            </w:r>
          </w:p>
        </w:tc>
        <w:tc>
          <w:tcPr>
            <w:tcW w:w="7093" w:type="dxa"/>
          </w:tcPr>
          <w:p w14:paraId="73686563" w14:textId="2723E157" w:rsidR="00962C68" w:rsidRPr="003568E0" w:rsidRDefault="00962C68" w:rsidP="00D853B2">
            <w:pPr>
              <w:jc w:val="both"/>
              <w:rPr>
                <w:rFonts w:ascii="Garamond" w:hAnsi="Garamond"/>
              </w:rPr>
            </w:pPr>
            <w:r w:rsidRPr="003568E0">
              <w:rPr>
                <w:rFonts w:ascii="Garamond" w:hAnsi="Garamond"/>
              </w:rPr>
              <w:t xml:space="preserve">“The Pearl” Corbett “Introduction” from </w:t>
            </w:r>
            <w:proofErr w:type="spellStart"/>
            <w:r w:rsidRPr="003568E0">
              <w:rPr>
                <w:rFonts w:ascii="Garamond" w:hAnsi="Garamond"/>
              </w:rPr>
              <w:t>Ridland</w:t>
            </w:r>
            <w:proofErr w:type="spellEnd"/>
            <w:r w:rsidRPr="003568E0">
              <w:rPr>
                <w:rFonts w:ascii="Garamond" w:hAnsi="Garamond"/>
              </w:rPr>
              <w:t xml:space="preserve"> transl.; Watson transl. stanzas</w:t>
            </w:r>
            <w:r w:rsidR="007D37E6" w:rsidRPr="003568E0">
              <w:rPr>
                <w:rFonts w:ascii="Garamond" w:hAnsi="Garamond"/>
              </w:rPr>
              <w:t xml:space="preserve"> </w:t>
            </w:r>
            <w:r w:rsidR="00A90D7E">
              <w:rPr>
                <w:rFonts w:ascii="Garamond" w:hAnsi="Garamond"/>
              </w:rPr>
              <w:t>1</w:t>
            </w:r>
            <w:r w:rsidR="0093727C" w:rsidRPr="003568E0">
              <w:rPr>
                <w:rFonts w:ascii="Garamond" w:hAnsi="Garamond"/>
              </w:rPr>
              <w:t>-</w:t>
            </w:r>
            <w:r w:rsidR="009E570E">
              <w:rPr>
                <w:rFonts w:ascii="Garamond" w:hAnsi="Garamond"/>
              </w:rPr>
              <w:t>6</w:t>
            </w:r>
            <w:r w:rsidR="0093727C" w:rsidRPr="003568E0">
              <w:rPr>
                <w:rFonts w:ascii="Garamond" w:hAnsi="Garamond"/>
              </w:rPr>
              <w:t xml:space="preserve">, </w:t>
            </w:r>
            <w:r w:rsidR="00A90D7E">
              <w:rPr>
                <w:rFonts w:ascii="Garamond" w:hAnsi="Garamond"/>
              </w:rPr>
              <w:t>9</w:t>
            </w:r>
            <w:r w:rsidR="0093727C" w:rsidRPr="003568E0">
              <w:rPr>
                <w:rFonts w:ascii="Garamond" w:hAnsi="Garamond"/>
              </w:rPr>
              <w:t>-</w:t>
            </w:r>
            <w:r w:rsidR="00A90D7E">
              <w:rPr>
                <w:rFonts w:ascii="Garamond" w:hAnsi="Garamond"/>
              </w:rPr>
              <w:t>12</w:t>
            </w:r>
            <w:r w:rsidR="0093727C" w:rsidRPr="003568E0">
              <w:rPr>
                <w:rFonts w:ascii="Garamond" w:hAnsi="Garamond"/>
              </w:rPr>
              <w:t xml:space="preserve">, </w:t>
            </w:r>
            <w:r w:rsidR="00A90D7E">
              <w:rPr>
                <w:rFonts w:ascii="Garamond" w:hAnsi="Garamond"/>
              </w:rPr>
              <w:t>14</w:t>
            </w:r>
            <w:r w:rsidR="0093727C" w:rsidRPr="003568E0">
              <w:rPr>
                <w:rFonts w:ascii="Garamond" w:hAnsi="Garamond"/>
              </w:rPr>
              <w:t>-</w:t>
            </w:r>
            <w:r w:rsidR="00A90D7E">
              <w:rPr>
                <w:rFonts w:ascii="Garamond" w:hAnsi="Garamond"/>
              </w:rPr>
              <w:t>16</w:t>
            </w:r>
            <w:r w:rsidR="0093727C" w:rsidRPr="003568E0">
              <w:rPr>
                <w:rFonts w:ascii="Garamond" w:hAnsi="Garamond"/>
              </w:rPr>
              <w:t xml:space="preserve">, </w:t>
            </w:r>
            <w:r w:rsidR="00A90D7E">
              <w:rPr>
                <w:rFonts w:ascii="Garamond" w:hAnsi="Garamond"/>
              </w:rPr>
              <w:t>19</w:t>
            </w:r>
            <w:r w:rsidR="0093727C" w:rsidRPr="003568E0">
              <w:rPr>
                <w:rFonts w:ascii="Garamond" w:hAnsi="Garamond"/>
              </w:rPr>
              <w:t>-</w:t>
            </w:r>
            <w:r w:rsidR="00A90D7E">
              <w:rPr>
                <w:rFonts w:ascii="Garamond" w:hAnsi="Garamond"/>
              </w:rPr>
              <w:t>25</w:t>
            </w:r>
            <w:r w:rsidR="0093727C" w:rsidRPr="003568E0">
              <w:rPr>
                <w:rFonts w:ascii="Garamond" w:hAnsi="Garamond"/>
              </w:rPr>
              <w:t xml:space="preserve">, </w:t>
            </w:r>
            <w:r w:rsidR="00A90D7E">
              <w:rPr>
                <w:rFonts w:ascii="Garamond" w:hAnsi="Garamond"/>
              </w:rPr>
              <w:t>28-35</w:t>
            </w:r>
            <w:r w:rsidR="0093727C" w:rsidRPr="003568E0">
              <w:rPr>
                <w:rFonts w:ascii="Garamond" w:hAnsi="Garamond"/>
              </w:rPr>
              <w:t xml:space="preserve">, </w:t>
            </w:r>
            <w:r w:rsidR="00A90D7E">
              <w:rPr>
                <w:rFonts w:ascii="Garamond" w:hAnsi="Garamond"/>
              </w:rPr>
              <w:t>40</w:t>
            </w:r>
            <w:r w:rsidR="00275166" w:rsidRPr="003568E0">
              <w:rPr>
                <w:rFonts w:ascii="Garamond" w:hAnsi="Garamond"/>
              </w:rPr>
              <w:t xml:space="preserve">, </w:t>
            </w:r>
            <w:r w:rsidR="00A90D7E">
              <w:rPr>
                <w:rFonts w:ascii="Garamond" w:hAnsi="Garamond"/>
              </w:rPr>
              <w:t>51</w:t>
            </w:r>
            <w:r w:rsidR="00275166" w:rsidRPr="003568E0">
              <w:rPr>
                <w:rFonts w:ascii="Garamond" w:hAnsi="Garamond"/>
              </w:rPr>
              <w:t xml:space="preserve">, </w:t>
            </w:r>
            <w:r w:rsidR="00A90D7E">
              <w:rPr>
                <w:rFonts w:ascii="Garamond" w:hAnsi="Garamond"/>
              </w:rPr>
              <w:t>66</w:t>
            </w:r>
            <w:r w:rsidR="00275166" w:rsidRPr="003568E0">
              <w:rPr>
                <w:rFonts w:ascii="Garamond" w:hAnsi="Garamond"/>
              </w:rPr>
              <w:t xml:space="preserve">, </w:t>
            </w:r>
            <w:r w:rsidR="00A90D7E">
              <w:rPr>
                <w:rFonts w:ascii="Garamond" w:hAnsi="Garamond"/>
              </w:rPr>
              <w:t>76</w:t>
            </w:r>
            <w:r w:rsidR="00275166" w:rsidRPr="003568E0">
              <w:rPr>
                <w:rFonts w:ascii="Garamond" w:hAnsi="Garamond"/>
              </w:rPr>
              <w:t>-</w:t>
            </w:r>
            <w:r w:rsidR="00A90D7E">
              <w:rPr>
                <w:rFonts w:ascii="Garamond" w:hAnsi="Garamond"/>
              </w:rPr>
              <w:t>81</w:t>
            </w:r>
            <w:r w:rsidR="00275166" w:rsidRPr="003568E0">
              <w:rPr>
                <w:rFonts w:ascii="Garamond" w:hAnsi="Garamond"/>
              </w:rPr>
              <w:t xml:space="preserve">, </w:t>
            </w:r>
            <w:r w:rsidR="00A90D7E">
              <w:rPr>
                <w:rFonts w:ascii="Garamond" w:hAnsi="Garamond"/>
              </w:rPr>
              <w:t>83</w:t>
            </w:r>
            <w:r w:rsidR="00275166" w:rsidRPr="003568E0">
              <w:rPr>
                <w:rFonts w:ascii="Garamond" w:hAnsi="Garamond"/>
              </w:rPr>
              <w:t>-</w:t>
            </w:r>
            <w:r w:rsidR="00A90D7E">
              <w:rPr>
                <w:rFonts w:ascii="Garamond" w:hAnsi="Garamond"/>
              </w:rPr>
              <w:t>87</w:t>
            </w:r>
            <w:r w:rsidR="00275166" w:rsidRPr="003568E0">
              <w:rPr>
                <w:rFonts w:ascii="Garamond" w:hAnsi="Garamond"/>
              </w:rPr>
              <w:t xml:space="preserve">, </w:t>
            </w:r>
            <w:r w:rsidR="00A90D7E">
              <w:rPr>
                <w:rFonts w:ascii="Garamond" w:hAnsi="Garamond"/>
              </w:rPr>
              <w:t>97</w:t>
            </w:r>
            <w:r w:rsidR="00275166" w:rsidRPr="003568E0">
              <w:rPr>
                <w:rFonts w:ascii="Garamond" w:hAnsi="Garamond"/>
              </w:rPr>
              <w:t>-</w:t>
            </w:r>
            <w:r w:rsidR="00965E53" w:rsidRPr="003568E0">
              <w:rPr>
                <w:rFonts w:ascii="Garamond" w:hAnsi="Garamond"/>
              </w:rPr>
              <w:t>end</w:t>
            </w:r>
            <w:r w:rsidR="00465B5E">
              <w:rPr>
                <w:rFonts w:ascii="Garamond" w:hAnsi="Garamond"/>
              </w:rPr>
              <w:t>;</w:t>
            </w:r>
            <w:r w:rsidR="00465B5E" w:rsidRPr="003568E0">
              <w:rPr>
                <w:rFonts w:ascii="Garamond" w:hAnsi="Garamond"/>
              </w:rPr>
              <w:t xml:space="preserve"> RES</w:t>
            </w:r>
            <w:r w:rsidR="00C20779">
              <w:rPr>
                <w:rFonts w:ascii="Garamond" w:hAnsi="Garamond"/>
              </w:rPr>
              <w:t>.</w:t>
            </w:r>
            <w:r w:rsidR="00465B5E" w:rsidRPr="003568E0">
              <w:rPr>
                <w:rFonts w:ascii="Garamond" w:hAnsi="Garamond"/>
              </w:rPr>
              <w:t xml:space="preserve"> PAPER THESIS DUE</w:t>
            </w:r>
          </w:p>
          <w:p w14:paraId="76493A88" w14:textId="433F69E8" w:rsidR="00962C68" w:rsidRPr="003568E0" w:rsidRDefault="00962C68" w:rsidP="00D853B2">
            <w:pPr>
              <w:jc w:val="both"/>
              <w:rPr>
                <w:rFonts w:ascii="Garamond" w:hAnsi="Garamond"/>
              </w:rPr>
            </w:pPr>
            <w:r w:rsidRPr="003568E0">
              <w:rPr>
                <w:rFonts w:ascii="Garamond" w:hAnsi="Garamond"/>
              </w:rPr>
              <w:t>OPT</w:t>
            </w:r>
            <w:r w:rsidR="00EC4769">
              <w:rPr>
                <w:rFonts w:ascii="Garamond" w:hAnsi="Garamond"/>
              </w:rPr>
              <w:t>.</w:t>
            </w:r>
            <w:r w:rsidRPr="003568E0">
              <w:rPr>
                <w:rFonts w:ascii="Garamond" w:hAnsi="Garamond"/>
              </w:rPr>
              <w:t xml:space="preserve"> TEXT: </w:t>
            </w:r>
            <w:r w:rsidR="003568E0">
              <w:rPr>
                <w:rFonts w:ascii="Garamond" w:hAnsi="Garamond"/>
              </w:rPr>
              <w:t xml:space="preserve">Dokou </w:t>
            </w:r>
            <w:r w:rsidRPr="003568E0">
              <w:rPr>
                <w:rFonts w:ascii="Garamond" w:hAnsi="Garamond"/>
              </w:rPr>
              <w:t xml:space="preserve">and </w:t>
            </w:r>
            <w:proofErr w:type="spellStart"/>
            <w:r w:rsidRPr="003568E0">
              <w:rPr>
                <w:rFonts w:ascii="Garamond" w:hAnsi="Garamond"/>
              </w:rPr>
              <w:t>Sakelliou</w:t>
            </w:r>
            <w:proofErr w:type="spellEnd"/>
            <w:r w:rsidRPr="003568E0">
              <w:rPr>
                <w:rFonts w:ascii="Garamond" w:hAnsi="Garamond"/>
              </w:rPr>
              <w:t xml:space="preserve"> </w:t>
            </w:r>
            <w:r w:rsidR="00F76B45">
              <w:rPr>
                <w:rFonts w:ascii="Garamond" w:hAnsi="Garamond"/>
              </w:rPr>
              <w:t xml:space="preserve">translation and </w:t>
            </w:r>
            <w:r w:rsidRPr="003568E0">
              <w:rPr>
                <w:rFonts w:ascii="Garamond" w:hAnsi="Garamond"/>
              </w:rPr>
              <w:t xml:space="preserve">article </w:t>
            </w:r>
          </w:p>
        </w:tc>
      </w:tr>
      <w:tr w:rsidR="00962C68" w:rsidRPr="003568E0" w14:paraId="615C0645" w14:textId="77777777" w:rsidTr="00D853B2">
        <w:trPr>
          <w:trHeight w:val="116"/>
        </w:trPr>
        <w:tc>
          <w:tcPr>
            <w:tcW w:w="1413" w:type="dxa"/>
          </w:tcPr>
          <w:p w14:paraId="1F48C170" w14:textId="35BE6B1C" w:rsidR="00962C68" w:rsidRPr="003568E0" w:rsidRDefault="00F71832" w:rsidP="00D853B2">
            <w:pPr>
              <w:jc w:val="both"/>
              <w:rPr>
                <w:rFonts w:ascii="Garamond" w:hAnsi="Garamond"/>
              </w:rPr>
            </w:pPr>
            <w:r>
              <w:rPr>
                <w:rFonts w:ascii="Garamond" w:hAnsi="Garamond"/>
              </w:rPr>
              <w:t>13</w:t>
            </w:r>
            <w:r w:rsidR="0012356A">
              <w:rPr>
                <w:rFonts w:ascii="Garamond" w:hAnsi="Garamond"/>
              </w:rPr>
              <w:t>/11</w:t>
            </w:r>
          </w:p>
        </w:tc>
        <w:tc>
          <w:tcPr>
            <w:tcW w:w="1984" w:type="dxa"/>
          </w:tcPr>
          <w:p w14:paraId="4531B915" w14:textId="731917C8" w:rsidR="00962C68" w:rsidRPr="003568E0" w:rsidRDefault="00962C68" w:rsidP="00D853B2">
            <w:pPr>
              <w:jc w:val="both"/>
              <w:rPr>
                <w:rFonts w:ascii="Garamond" w:hAnsi="Garamond"/>
              </w:rPr>
            </w:pPr>
            <w:r w:rsidRPr="003568E0">
              <w:rPr>
                <w:rFonts w:ascii="Garamond" w:hAnsi="Garamond"/>
              </w:rPr>
              <w:t>Chivalry</w:t>
            </w:r>
            <w:r w:rsidR="00F85EEF" w:rsidRPr="003568E0">
              <w:rPr>
                <w:rFonts w:ascii="Garamond" w:hAnsi="Garamond"/>
              </w:rPr>
              <w:t xml:space="preserve"> and the knight’s quest</w:t>
            </w:r>
          </w:p>
        </w:tc>
        <w:tc>
          <w:tcPr>
            <w:tcW w:w="7093" w:type="dxa"/>
          </w:tcPr>
          <w:p w14:paraId="5C52B889" w14:textId="10D5CACF" w:rsidR="00EC4769" w:rsidRDefault="00962C68" w:rsidP="00D853B2">
            <w:pPr>
              <w:jc w:val="both"/>
              <w:rPr>
                <w:rFonts w:ascii="Garamond" w:hAnsi="Garamond"/>
              </w:rPr>
            </w:pPr>
            <w:r w:rsidRPr="003568E0">
              <w:rPr>
                <w:rFonts w:ascii="Garamond" w:hAnsi="Garamond"/>
                <w:i/>
                <w:iCs/>
              </w:rPr>
              <w:t>Sir Gawain and the Green Knight</w:t>
            </w:r>
            <w:r w:rsidR="00965E53" w:rsidRPr="003568E0">
              <w:rPr>
                <w:rFonts w:ascii="Garamond" w:hAnsi="Garamond"/>
              </w:rPr>
              <w:t xml:space="preserve">: </w:t>
            </w:r>
            <w:r w:rsidR="00C67A61">
              <w:rPr>
                <w:rFonts w:ascii="Garamond" w:hAnsi="Garamond"/>
              </w:rPr>
              <w:t>Ston</w:t>
            </w:r>
            <w:r w:rsidR="00263187">
              <w:rPr>
                <w:rFonts w:ascii="Garamond" w:hAnsi="Garamond"/>
              </w:rPr>
              <w:t>e</w:t>
            </w:r>
            <w:r w:rsidR="00965E53" w:rsidRPr="003568E0">
              <w:rPr>
                <w:rFonts w:ascii="Garamond" w:hAnsi="Garamond"/>
              </w:rPr>
              <w:t xml:space="preserve"> transl.</w:t>
            </w:r>
            <w:r w:rsidRPr="003568E0">
              <w:rPr>
                <w:rFonts w:ascii="Garamond" w:hAnsi="Garamond"/>
              </w:rPr>
              <w:t xml:space="preserve"> pp. 286-314 (ll. 1125)</w:t>
            </w:r>
          </w:p>
          <w:p w14:paraId="1F963AD7" w14:textId="36107BB3" w:rsidR="00EC4769" w:rsidRPr="003568E0" w:rsidRDefault="00EC4769" w:rsidP="00D853B2">
            <w:pPr>
              <w:jc w:val="both"/>
              <w:rPr>
                <w:rFonts w:ascii="Garamond" w:hAnsi="Garamond"/>
              </w:rPr>
            </w:pPr>
            <w:r>
              <w:rPr>
                <w:rFonts w:ascii="Garamond" w:hAnsi="Garamond"/>
              </w:rPr>
              <w:t>OPT. TEXT: “Sir Gawain—Medieval Romance” site info</w:t>
            </w:r>
          </w:p>
        </w:tc>
      </w:tr>
      <w:tr w:rsidR="00962C68" w:rsidRPr="003568E0" w14:paraId="7E1516D9" w14:textId="77777777" w:rsidTr="00D853B2">
        <w:tc>
          <w:tcPr>
            <w:tcW w:w="1413" w:type="dxa"/>
          </w:tcPr>
          <w:p w14:paraId="7DDDCFD4" w14:textId="78F0A08D" w:rsidR="00962C68" w:rsidRPr="003568E0" w:rsidRDefault="00F71832" w:rsidP="00D853B2">
            <w:pPr>
              <w:jc w:val="both"/>
              <w:rPr>
                <w:rFonts w:ascii="Garamond" w:hAnsi="Garamond"/>
              </w:rPr>
            </w:pPr>
            <w:r>
              <w:rPr>
                <w:rFonts w:ascii="Garamond" w:hAnsi="Garamond"/>
              </w:rPr>
              <w:t>20/11</w:t>
            </w:r>
          </w:p>
        </w:tc>
        <w:tc>
          <w:tcPr>
            <w:tcW w:w="1984" w:type="dxa"/>
          </w:tcPr>
          <w:p w14:paraId="417AEA82" w14:textId="211A6EA5" w:rsidR="00962C68" w:rsidRPr="003568E0" w:rsidRDefault="00F85EEF" w:rsidP="00D853B2">
            <w:pPr>
              <w:jc w:val="both"/>
              <w:rPr>
                <w:rFonts w:ascii="Garamond" w:hAnsi="Garamond"/>
              </w:rPr>
            </w:pPr>
            <w:r w:rsidRPr="003568E0">
              <w:rPr>
                <w:rFonts w:ascii="Garamond" w:hAnsi="Garamond"/>
              </w:rPr>
              <w:t>Old and new worlds</w:t>
            </w:r>
          </w:p>
        </w:tc>
        <w:tc>
          <w:tcPr>
            <w:tcW w:w="7093" w:type="dxa"/>
          </w:tcPr>
          <w:p w14:paraId="238345AF" w14:textId="783D7638" w:rsidR="00962C68" w:rsidRPr="003568E0" w:rsidRDefault="00962C68" w:rsidP="00D853B2">
            <w:pPr>
              <w:jc w:val="both"/>
              <w:rPr>
                <w:rFonts w:ascii="Garamond" w:hAnsi="Garamond"/>
              </w:rPr>
            </w:pPr>
            <w:r w:rsidRPr="003568E0">
              <w:rPr>
                <w:rFonts w:ascii="Garamond" w:hAnsi="Garamond"/>
                <w:i/>
                <w:iCs/>
              </w:rPr>
              <w:t>Sir Gawain and the Green Knight</w:t>
            </w:r>
            <w:r w:rsidRPr="003568E0">
              <w:rPr>
                <w:rFonts w:ascii="Garamond" w:hAnsi="Garamond"/>
              </w:rPr>
              <w:t>: pp. 314-end</w:t>
            </w:r>
            <w:r w:rsidR="00C65FA7" w:rsidRPr="003568E0">
              <w:rPr>
                <w:rFonts w:ascii="Garamond" w:hAnsi="Garamond"/>
              </w:rPr>
              <w:t>; SECOND JOURNAL</w:t>
            </w:r>
            <w:r w:rsidR="00C67A61">
              <w:rPr>
                <w:rFonts w:ascii="Garamond" w:hAnsi="Garamond"/>
              </w:rPr>
              <w:t xml:space="preserve">; NOTE! read missing </w:t>
            </w:r>
            <w:r w:rsidR="00263187">
              <w:rPr>
                <w:rFonts w:ascii="Garamond" w:hAnsi="Garamond"/>
              </w:rPr>
              <w:t>stanzas</w:t>
            </w:r>
            <w:r w:rsidR="00C67A61">
              <w:rPr>
                <w:rFonts w:ascii="Garamond" w:hAnsi="Garamond"/>
              </w:rPr>
              <w:t xml:space="preserve"> from the Tolkien or the Boroff translations.</w:t>
            </w:r>
          </w:p>
        </w:tc>
      </w:tr>
      <w:tr w:rsidR="00D853B2" w:rsidRPr="003568E0" w14:paraId="4C2DBF9C" w14:textId="77777777" w:rsidTr="00D853B2">
        <w:tc>
          <w:tcPr>
            <w:tcW w:w="1413" w:type="dxa"/>
          </w:tcPr>
          <w:p w14:paraId="0034F744" w14:textId="630B2F57" w:rsidR="00D853B2" w:rsidRDefault="00F71832" w:rsidP="00D853B2">
            <w:pPr>
              <w:jc w:val="both"/>
              <w:rPr>
                <w:rFonts w:ascii="Garamond" w:hAnsi="Garamond"/>
              </w:rPr>
            </w:pPr>
            <w:r>
              <w:rPr>
                <w:rFonts w:ascii="Garamond" w:hAnsi="Garamond"/>
              </w:rPr>
              <w:t>27/11</w:t>
            </w:r>
          </w:p>
        </w:tc>
        <w:tc>
          <w:tcPr>
            <w:tcW w:w="1984" w:type="dxa"/>
          </w:tcPr>
          <w:p w14:paraId="0AFE91FF" w14:textId="052B5BFA" w:rsidR="00D853B2" w:rsidRPr="003568E0" w:rsidRDefault="00D853B2" w:rsidP="00D853B2">
            <w:pPr>
              <w:jc w:val="both"/>
              <w:rPr>
                <w:rFonts w:ascii="Garamond" w:hAnsi="Garamond"/>
              </w:rPr>
            </w:pPr>
            <w:r w:rsidRPr="003568E0">
              <w:rPr>
                <w:rFonts w:ascii="Garamond" w:hAnsi="Garamond"/>
              </w:rPr>
              <w:t>The Arthurian Legend: from epic to romance</w:t>
            </w:r>
          </w:p>
        </w:tc>
        <w:tc>
          <w:tcPr>
            <w:tcW w:w="7093" w:type="dxa"/>
          </w:tcPr>
          <w:p w14:paraId="63339025" w14:textId="4D12C7B0" w:rsidR="00D853B2" w:rsidRPr="003568E0" w:rsidRDefault="00D853B2" w:rsidP="00D853B2">
            <w:pPr>
              <w:jc w:val="both"/>
              <w:rPr>
                <w:rFonts w:ascii="Garamond" w:hAnsi="Garamond"/>
                <w:i/>
                <w:iCs/>
              </w:rPr>
            </w:pPr>
            <w:r w:rsidRPr="00465B5E">
              <w:rPr>
                <w:rFonts w:ascii="Garamond" w:hAnsi="Garamond"/>
              </w:rPr>
              <w:t xml:space="preserve">Mallory, </w:t>
            </w:r>
            <w:r w:rsidRPr="00465B5E">
              <w:rPr>
                <w:rFonts w:ascii="Garamond" w:hAnsi="Garamond"/>
                <w:i/>
                <w:iCs/>
              </w:rPr>
              <w:t xml:space="preserve">Le Morte </w:t>
            </w:r>
            <w:proofErr w:type="spellStart"/>
            <w:r w:rsidRPr="00465B5E">
              <w:rPr>
                <w:rFonts w:ascii="Garamond" w:hAnsi="Garamond"/>
                <w:i/>
                <w:iCs/>
              </w:rPr>
              <w:t>d’Arthur</w:t>
            </w:r>
            <w:proofErr w:type="spellEnd"/>
            <w:r w:rsidRPr="00465B5E">
              <w:rPr>
                <w:rFonts w:ascii="Garamond" w:hAnsi="Garamond"/>
              </w:rPr>
              <w:t xml:space="preserve">, Book 1, chapters I-VII, </w:t>
            </w:r>
            <w:r w:rsidR="00F51A3F" w:rsidRPr="00465B5E">
              <w:rPr>
                <w:rFonts w:ascii="Garamond" w:hAnsi="Garamond"/>
              </w:rPr>
              <w:t>XIX</w:t>
            </w:r>
            <w:r w:rsidR="00F51A3F">
              <w:rPr>
                <w:rFonts w:ascii="Garamond" w:hAnsi="Garamond"/>
              </w:rPr>
              <w:t>,</w:t>
            </w:r>
            <w:r w:rsidR="00F51A3F" w:rsidRPr="00465B5E">
              <w:rPr>
                <w:rFonts w:ascii="Garamond" w:hAnsi="Garamond"/>
              </w:rPr>
              <w:t xml:space="preserve"> </w:t>
            </w:r>
            <w:r w:rsidRPr="00465B5E">
              <w:rPr>
                <w:rFonts w:ascii="Garamond" w:hAnsi="Garamond"/>
              </w:rPr>
              <w:t xml:space="preserve">XXV, XXVII; </w:t>
            </w:r>
            <w:r w:rsidR="0036264E">
              <w:rPr>
                <w:rFonts w:ascii="Garamond" w:hAnsi="Garamond"/>
              </w:rPr>
              <w:t xml:space="preserve">Book 2, chapters I-IV; </w:t>
            </w:r>
            <w:r w:rsidRPr="00465B5E">
              <w:rPr>
                <w:rFonts w:ascii="Garamond" w:hAnsi="Garamond"/>
              </w:rPr>
              <w:t xml:space="preserve">Book </w:t>
            </w:r>
            <w:r w:rsidR="0036264E">
              <w:rPr>
                <w:rFonts w:ascii="Garamond" w:hAnsi="Garamond"/>
              </w:rPr>
              <w:t>3</w:t>
            </w:r>
            <w:r w:rsidRPr="00465B5E">
              <w:rPr>
                <w:rFonts w:ascii="Garamond" w:hAnsi="Garamond"/>
              </w:rPr>
              <w:t xml:space="preserve">, chapters I-IV; Book 4, </w:t>
            </w:r>
            <w:proofErr w:type="spellStart"/>
            <w:r w:rsidRPr="00465B5E">
              <w:rPr>
                <w:rFonts w:ascii="Garamond" w:hAnsi="Garamond"/>
              </w:rPr>
              <w:t>ch.</w:t>
            </w:r>
            <w:proofErr w:type="spellEnd"/>
            <w:r w:rsidRPr="00465B5E">
              <w:rPr>
                <w:rFonts w:ascii="Garamond" w:hAnsi="Garamond"/>
              </w:rPr>
              <w:t xml:space="preserve"> I, VI-XVI; Book 6, </w:t>
            </w:r>
            <w:proofErr w:type="spellStart"/>
            <w:r w:rsidRPr="00465B5E">
              <w:rPr>
                <w:rFonts w:ascii="Garamond" w:hAnsi="Garamond"/>
              </w:rPr>
              <w:t>ch.</w:t>
            </w:r>
            <w:proofErr w:type="spellEnd"/>
            <w:r w:rsidRPr="00465B5E">
              <w:rPr>
                <w:rFonts w:ascii="Garamond" w:hAnsi="Garamond"/>
              </w:rPr>
              <w:t xml:space="preserve"> X, XII, XVII-XVIII; Book 10, </w:t>
            </w:r>
            <w:proofErr w:type="spellStart"/>
            <w:r w:rsidRPr="00465B5E">
              <w:rPr>
                <w:rFonts w:ascii="Garamond" w:hAnsi="Garamond"/>
              </w:rPr>
              <w:t>ch.</w:t>
            </w:r>
            <w:proofErr w:type="spellEnd"/>
            <w:r w:rsidRPr="00465B5E">
              <w:rPr>
                <w:rFonts w:ascii="Garamond" w:hAnsi="Garamond"/>
              </w:rPr>
              <w:t xml:space="preserve"> XXIV</w:t>
            </w:r>
          </w:p>
        </w:tc>
      </w:tr>
      <w:tr w:rsidR="00D853B2" w:rsidRPr="003568E0" w14:paraId="0B8060D3" w14:textId="77777777" w:rsidTr="00D853B2">
        <w:tc>
          <w:tcPr>
            <w:tcW w:w="1413" w:type="dxa"/>
          </w:tcPr>
          <w:p w14:paraId="020BD358" w14:textId="39E1B8A5" w:rsidR="00D853B2" w:rsidRPr="003568E0" w:rsidRDefault="00F71832" w:rsidP="00D853B2">
            <w:pPr>
              <w:jc w:val="both"/>
              <w:rPr>
                <w:rFonts w:ascii="Garamond" w:hAnsi="Garamond"/>
              </w:rPr>
            </w:pPr>
            <w:r>
              <w:rPr>
                <w:rFonts w:ascii="Garamond" w:hAnsi="Garamond"/>
              </w:rPr>
              <w:t>4</w:t>
            </w:r>
            <w:r w:rsidR="00D853B2">
              <w:rPr>
                <w:rFonts w:ascii="Garamond" w:hAnsi="Garamond"/>
              </w:rPr>
              <w:t>/12</w:t>
            </w:r>
          </w:p>
        </w:tc>
        <w:tc>
          <w:tcPr>
            <w:tcW w:w="1984" w:type="dxa"/>
          </w:tcPr>
          <w:p w14:paraId="1AB7855A" w14:textId="6311FDF0" w:rsidR="00D853B2" w:rsidRPr="003568E0" w:rsidRDefault="00D853B2" w:rsidP="00D853B2">
            <w:pPr>
              <w:jc w:val="both"/>
              <w:rPr>
                <w:rFonts w:ascii="Garamond" w:hAnsi="Garamond"/>
              </w:rPr>
            </w:pPr>
            <w:r w:rsidRPr="003568E0">
              <w:rPr>
                <w:rFonts w:ascii="Garamond" w:hAnsi="Garamond"/>
              </w:rPr>
              <w:t xml:space="preserve">Rex Quondam, </w:t>
            </w:r>
            <w:proofErr w:type="spellStart"/>
            <w:r w:rsidRPr="003568E0">
              <w:rPr>
                <w:rFonts w:ascii="Garamond" w:hAnsi="Garamond"/>
              </w:rPr>
              <w:t>Rexque</w:t>
            </w:r>
            <w:proofErr w:type="spellEnd"/>
            <w:r w:rsidRPr="003568E0">
              <w:rPr>
                <w:rFonts w:ascii="Garamond" w:hAnsi="Garamond"/>
              </w:rPr>
              <w:t xml:space="preserve"> </w:t>
            </w:r>
            <w:proofErr w:type="spellStart"/>
            <w:r w:rsidRPr="003568E0">
              <w:rPr>
                <w:rFonts w:ascii="Garamond" w:hAnsi="Garamond"/>
              </w:rPr>
              <w:t>Futurus</w:t>
            </w:r>
            <w:proofErr w:type="spellEnd"/>
          </w:p>
        </w:tc>
        <w:tc>
          <w:tcPr>
            <w:tcW w:w="7093" w:type="dxa"/>
          </w:tcPr>
          <w:p w14:paraId="0D8391E3" w14:textId="4447C651" w:rsidR="00D853B2" w:rsidRPr="003568E0" w:rsidRDefault="00D853B2" w:rsidP="00D853B2">
            <w:pPr>
              <w:jc w:val="both"/>
              <w:rPr>
                <w:rFonts w:ascii="Garamond" w:hAnsi="Garamond"/>
              </w:rPr>
            </w:pPr>
            <w:r w:rsidRPr="003568E0">
              <w:rPr>
                <w:rFonts w:ascii="Garamond" w:hAnsi="Garamond"/>
              </w:rPr>
              <w:t xml:space="preserve">Mallory, Book 11, </w:t>
            </w:r>
            <w:proofErr w:type="spellStart"/>
            <w:r w:rsidRPr="003568E0">
              <w:rPr>
                <w:rFonts w:ascii="Garamond" w:hAnsi="Garamond"/>
              </w:rPr>
              <w:t>ch.</w:t>
            </w:r>
            <w:proofErr w:type="spellEnd"/>
            <w:r w:rsidRPr="003568E0">
              <w:rPr>
                <w:rFonts w:ascii="Garamond" w:hAnsi="Garamond"/>
              </w:rPr>
              <w:t xml:space="preserve"> I-X; Book 12, </w:t>
            </w:r>
            <w:proofErr w:type="spellStart"/>
            <w:r w:rsidRPr="003568E0">
              <w:rPr>
                <w:rFonts w:ascii="Garamond" w:hAnsi="Garamond"/>
              </w:rPr>
              <w:t>ch.</w:t>
            </w:r>
            <w:proofErr w:type="spellEnd"/>
            <w:r w:rsidRPr="003568E0">
              <w:rPr>
                <w:rFonts w:ascii="Garamond" w:hAnsi="Garamond"/>
              </w:rPr>
              <w:t xml:space="preserve"> IV-VI; Book 13, ch.1-VIII; Book 17, </w:t>
            </w:r>
            <w:proofErr w:type="spellStart"/>
            <w:r w:rsidRPr="003568E0">
              <w:rPr>
                <w:rFonts w:ascii="Garamond" w:hAnsi="Garamond"/>
              </w:rPr>
              <w:t>ch.</w:t>
            </w:r>
            <w:proofErr w:type="spellEnd"/>
            <w:r w:rsidRPr="003568E0">
              <w:rPr>
                <w:rFonts w:ascii="Garamond" w:hAnsi="Garamond"/>
              </w:rPr>
              <w:t xml:space="preserve"> X</w:t>
            </w:r>
            <w:r>
              <w:rPr>
                <w:rFonts w:ascii="Garamond" w:hAnsi="Garamond"/>
              </w:rPr>
              <w:t>VIII</w:t>
            </w:r>
            <w:r w:rsidRPr="003568E0">
              <w:rPr>
                <w:rFonts w:ascii="Garamond" w:hAnsi="Garamond"/>
              </w:rPr>
              <w:t xml:space="preserve">-XXIII; Book 18, </w:t>
            </w:r>
            <w:proofErr w:type="spellStart"/>
            <w:proofErr w:type="gramStart"/>
            <w:r w:rsidRPr="003568E0">
              <w:rPr>
                <w:rFonts w:ascii="Garamond" w:hAnsi="Garamond"/>
              </w:rPr>
              <w:t>ch.I</w:t>
            </w:r>
            <w:proofErr w:type="spellEnd"/>
            <w:proofErr w:type="gramEnd"/>
            <w:r w:rsidRPr="003568E0">
              <w:rPr>
                <w:rFonts w:ascii="Garamond" w:hAnsi="Garamond"/>
              </w:rPr>
              <w:t xml:space="preserve">; Book 20, </w:t>
            </w:r>
            <w:proofErr w:type="spellStart"/>
            <w:r w:rsidRPr="003568E0">
              <w:rPr>
                <w:rFonts w:ascii="Garamond" w:hAnsi="Garamond"/>
              </w:rPr>
              <w:t>ch.</w:t>
            </w:r>
            <w:proofErr w:type="spellEnd"/>
            <w:r w:rsidRPr="003568E0">
              <w:rPr>
                <w:rFonts w:ascii="Garamond" w:hAnsi="Garamond"/>
              </w:rPr>
              <w:t xml:space="preserve"> I-X, XXI-XXII; Book 21, </w:t>
            </w:r>
            <w:proofErr w:type="spellStart"/>
            <w:r w:rsidRPr="003568E0">
              <w:rPr>
                <w:rFonts w:ascii="Garamond" w:hAnsi="Garamond"/>
              </w:rPr>
              <w:t>ch.</w:t>
            </w:r>
            <w:proofErr w:type="spellEnd"/>
            <w:r w:rsidRPr="003568E0">
              <w:rPr>
                <w:rFonts w:ascii="Garamond" w:hAnsi="Garamond"/>
              </w:rPr>
              <w:t xml:space="preserve"> I-VI</w:t>
            </w:r>
            <w:r>
              <w:rPr>
                <w:rFonts w:ascii="Garamond" w:hAnsi="Garamond"/>
              </w:rPr>
              <w:t>I</w:t>
            </w:r>
          </w:p>
        </w:tc>
      </w:tr>
      <w:tr w:rsidR="00D853B2" w:rsidRPr="003568E0" w14:paraId="5F0CFD9B" w14:textId="77777777" w:rsidTr="00D853B2">
        <w:tc>
          <w:tcPr>
            <w:tcW w:w="1413" w:type="dxa"/>
          </w:tcPr>
          <w:p w14:paraId="6ED5693B" w14:textId="35D8E364" w:rsidR="00D853B2" w:rsidRPr="003568E0" w:rsidRDefault="00F71832" w:rsidP="00D853B2">
            <w:pPr>
              <w:jc w:val="both"/>
              <w:rPr>
                <w:rFonts w:ascii="Garamond" w:hAnsi="Garamond"/>
              </w:rPr>
            </w:pPr>
            <w:r>
              <w:rPr>
                <w:rFonts w:ascii="Garamond" w:hAnsi="Garamond"/>
              </w:rPr>
              <w:t>11</w:t>
            </w:r>
            <w:r w:rsidR="00D853B2">
              <w:rPr>
                <w:rFonts w:ascii="Garamond" w:hAnsi="Garamond"/>
              </w:rPr>
              <w:t>/12</w:t>
            </w:r>
          </w:p>
        </w:tc>
        <w:tc>
          <w:tcPr>
            <w:tcW w:w="1984" w:type="dxa"/>
          </w:tcPr>
          <w:p w14:paraId="0C32E423" w14:textId="7C966AD0" w:rsidR="00D853B2" w:rsidRPr="003568E0" w:rsidRDefault="00D853B2" w:rsidP="00D853B2">
            <w:pPr>
              <w:jc w:val="both"/>
              <w:rPr>
                <w:rFonts w:ascii="Garamond" w:hAnsi="Garamond"/>
              </w:rPr>
            </w:pPr>
            <w:r w:rsidRPr="003568E0">
              <w:rPr>
                <w:rFonts w:ascii="Garamond" w:hAnsi="Garamond"/>
              </w:rPr>
              <w:t>Chaucer: portrait-master of a nation</w:t>
            </w:r>
          </w:p>
        </w:tc>
        <w:tc>
          <w:tcPr>
            <w:tcW w:w="7093" w:type="dxa"/>
          </w:tcPr>
          <w:p w14:paraId="318C9AA9" w14:textId="77777777" w:rsidR="00D853B2" w:rsidRPr="00A006F7" w:rsidRDefault="00D853B2" w:rsidP="00D853B2">
            <w:pPr>
              <w:jc w:val="both"/>
              <w:rPr>
                <w:rFonts w:ascii="Garamond" w:hAnsi="Garamond"/>
              </w:rPr>
            </w:pPr>
            <w:r w:rsidRPr="00A006F7">
              <w:rPr>
                <w:rFonts w:ascii="Garamond" w:hAnsi="Garamond"/>
              </w:rPr>
              <w:t xml:space="preserve">Chaucer: “Translator’s “Introduction” and ll. 1-34 of “The Prologue”; “Words between the Host and the Miller” and “The Miller’s Tale”; THIRD JOURNAL </w:t>
            </w:r>
          </w:p>
          <w:p w14:paraId="1766D52E" w14:textId="7A160ADA" w:rsidR="00D853B2" w:rsidRPr="0036264E" w:rsidRDefault="00D853B2" w:rsidP="00D853B2">
            <w:pPr>
              <w:jc w:val="both"/>
              <w:rPr>
                <w:rFonts w:ascii="Garamond" w:hAnsi="Garamond"/>
              </w:rPr>
            </w:pPr>
            <w:r w:rsidRPr="00A006F7">
              <w:rPr>
                <w:rFonts w:ascii="Garamond" w:hAnsi="Garamond"/>
              </w:rPr>
              <w:t>OPT. TEXT: The Harvard Chaucer Website (see “Resources”)</w:t>
            </w:r>
          </w:p>
        </w:tc>
      </w:tr>
      <w:tr w:rsidR="00D853B2" w:rsidRPr="003568E0" w14:paraId="3B8348CF" w14:textId="77777777" w:rsidTr="00D853B2">
        <w:tc>
          <w:tcPr>
            <w:tcW w:w="1413" w:type="dxa"/>
          </w:tcPr>
          <w:p w14:paraId="373FB1A8" w14:textId="0E4EBB1D" w:rsidR="00D853B2" w:rsidRPr="003568E0" w:rsidRDefault="00F71832" w:rsidP="00D853B2">
            <w:pPr>
              <w:jc w:val="both"/>
              <w:rPr>
                <w:rFonts w:ascii="Garamond" w:hAnsi="Garamond"/>
              </w:rPr>
            </w:pPr>
            <w:r>
              <w:rPr>
                <w:rFonts w:ascii="Garamond" w:hAnsi="Garamond"/>
              </w:rPr>
              <w:t>18/12</w:t>
            </w:r>
          </w:p>
        </w:tc>
        <w:tc>
          <w:tcPr>
            <w:tcW w:w="1984" w:type="dxa"/>
          </w:tcPr>
          <w:p w14:paraId="218F51ED" w14:textId="03EF4783" w:rsidR="00D853B2" w:rsidRPr="003568E0" w:rsidRDefault="00D853B2" w:rsidP="00D853B2">
            <w:pPr>
              <w:jc w:val="both"/>
              <w:rPr>
                <w:rFonts w:ascii="Garamond" w:hAnsi="Garamond"/>
              </w:rPr>
            </w:pPr>
            <w:r w:rsidRPr="003568E0">
              <w:rPr>
                <w:rFonts w:ascii="Garamond" w:hAnsi="Garamond"/>
              </w:rPr>
              <w:t>The carnivalesque: signs of change</w:t>
            </w:r>
          </w:p>
        </w:tc>
        <w:tc>
          <w:tcPr>
            <w:tcW w:w="7093" w:type="dxa"/>
          </w:tcPr>
          <w:p w14:paraId="0D97156E" w14:textId="77777777" w:rsidR="00D853B2" w:rsidRDefault="00D853B2" w:rsidP="00D853B2">
            <w:pPr>
              <w:jc w:val="both"/>
              <w:rPr>
                <w:rFonts w:ascii="Garamond" w:hAnsi="Garamond"/>
              </w:rPr>
            </w:pPr>
            <w:r w:rsidRPr="003568E0">
              <w:rPr>
                <w:rFonts w:ascii="Garamond" w:hAnsi="Garamond"/>
              </w:rPr>
              <w:t>Chaucer: “The Wife of Bath Prologue” and “The Wife of Bath’s Tale”</w:t>
            </w:r>
          </w:p>
          <w:p w14:paraId="1246A70D" w14:textId="781DD035" w:rsidR="00D853B2" w:rsidRPr="00A006F7" w:rsidRDefault="00D853B2" w:rsidP="00D853B2">
            <w:pPr>
              <w:jc w:val="both"/>
              <w:rPr>
                <w:rFonts w:ascii="Garamond" w:hAnsi="Garamond"/>
              </w:rPr>
            </w:pPr>
            <w:r>
              <w:rPr>
                <w:rFonts w:ascii="Garamond" w:hAnsi="Garamond"/>
              </w:rPr>
              <w:t>OPT. TEXT: The Harvard Chaucer Website (see “Resources”)</w:t>
            </w:r>
          </w:p>
        </w:tc>
      </w:tr>
      <w:tr w:rsidR="00D853B2" w:rsidRPr="003568E0" w14:paraId="1DAF5618" w14:textId="77777777" w:rsidTr="00D853B2">
        <w:tc>
          <w:tcPr>
            <w:tcW w:w="1413" w:type="dxa"/>
          </w:tcPr>
          <w:p w14:paraId="2DB6E502" w14:textId="54CA07A7" w:rsidR="00D853B2" w:rsidRPr="003568E0" w:rsidRDefault="00F71832" w:rsidP="00D853B2">
            <w:pPr>
              <w:jc w:val="both"/>
              <w:rPr>
                <w:rFonts w:ascii="Garamond" w:hAnsi="Garamond"/>
              </w:rPr>
            </w:pPr>
            <w:r>
              <w:rPr>
                <w:rFonts w:ascii="Garamond" w:hAnsi="Garamond"/>
              </w:rPr>
              <w:t>8</w:t>
            </w:r>
            <w:r w:rsidR="00D853B2">
              <w:rPr>
                <w:rFonts w:ascii="Garamond" w:hAnsi="Garamond"/>
              </w:rPr>
              <w:t>/1</w:t>
            </w:r>
            <w:r>
              <w:rPr>
                <w:rFonts w:ascii="Garamond" w:hAnsi="Garamond"/>
              </w:rPr>
              <w:t>/2025</w:t>
            </w:r>
          </w:p>
        </w:tc>
        <w:tc>
          <w:tcPr>
            <w:tcW w:w="1984" w:type="dxa"/>
          </w:tcPr>
          <w:p w14:paraId="5C7C4FC6" w14:textId="37C94DAB" w:rsidR="00D853B2" w:rsidRPr="003568E0" w:rsidRDefault="00D853B2" w:rsidP="00D853B2">
            <w:pPr>
              <w:jc w:val="both"/>
              <w:rPr>
                <w:rFonts w:ascii="Garamond" w:hAnsi="Garamond"/>
              </w:rPr>
            </w:pPr>
            <w:r>
              <w:rPr>
                <w:rFonts w:ascii="Garamond" w:hAnsi="Garamond"/>
              </w:rPr>
              <w:t>The Morality Pla(y)</w:t>
            </w:r>
            <w:proofErr w:type="spellStart"/>
            <w:r>
              <w:rPr>
                <w:rFonts w:ascii="Garamond" w:hAnsi="Garamond"/>
              </w:rPr>
              <w:t>gue</w:t>
            </w:r>
            <w:proofErr w:type="spellEnd"/>
          </w:p>
        </w:tc>
        <w:tc>
          <w:tcPr>
            <w:tcW w:w="7093" w:type="dxa"/>
          </w:tcPr>
          <w:p w14:paraId="280D34CD" w14:textId="19482D00" w:rsidR="00D853B2" w:rsidRPr="00A006F7" w:rsidRDefault="00D853B2" w:rsidP="00D853B2">
            <w:pPr>
              <w:jc w:val="both"/>
              <w:rPr>
                <w:rFonts w:ascii="Garamond" w:hAnsi="Garamond"/>
              </w:rPr>
            </w:pPr>
            <w:r w:rsidRPr="00A006F7">
              <w:rPr>
                <w:rFonts w:ascii="Garamond" w:hAnsi="Garamond"/>
                <w:i/>
                <w:iCs/>
              </w:rPr>
              <w:t>Everyman</w:t>
            </w:r>
            <w:r w:rsidRPr="00A006F7">
              <w:rPr>
                <w:rFonts w:ascii="Garamond" w:hAnsi="Garamond"/>
              </w:rPr>
              <w:t xml:space="preserve"> and “Introduction” at </w:t>
            </w:r>
            <w:hyperlink r:id="rId10" w:history="1">
              <w:r w:rsidRPr="00A006F7">
                <w:rPr>
                  <w:rStyle w:val="Hyperlink"/>
                  <w:rFonts w:ascii="Garamond" w:hAnsi="Garamond"/>
                </w:rPr>
                <w:t>Everyman with other interlu</w:t>
              </w:r>
              <w:r w:rsidRPr="00A006F7">
                <w:rPr>
                  <w:rStyle w:val="Hyperlink"/>
                  <w:rFonts w:ascii="Garamond" w:hAnsi="Garamond"/>
                </w:rPr>
                <w:t>d</w:t>
              </w:r>
              <w:r w:rsidRPr="00A006F7">
                <w:rPr>
                  <w:rStyle w:val="Hyperlink"/>
                  <w:rFonts w:ascii="Garamond" w:hAnsi="Garamond"/>
                </w:rPr>
                <w:t>es (gutenberg.org)</w:t>
              </w:r>
            </w:hyperlink>
          </w:p>
        </w:tc>
      </w:tr>
      <w:tr w:rsidR="00D853B2" w:rsidRPr="003568E0" w14:paraId="228B6D36" w14:textId="77777777" w:rsidTr="00D853B2">
        <w:tc>
          <w:tcPr>
            <w:tcW w:w="3397" w:type="dxa"/>
            <w:gridSpan w:val="2"/>
          </w:tcPr>
          <w:p w14:paraId="155E7E4F" w14:textId="4A272D23" w:rsidR="00D853B2" w:rsidRPr="003568E0" w:rsidRDefault="00D853B2" w:rsidP="00D853B2">
            <w:pPr>
              <w:jc w:val="both"/>
              <w:rPr>
                <w:rFonts w:ascii="Garamond" w:hAnsi="Garamond"/>
              </w:rPr>
            </w:pPr>
            <w:r w:rsidRPr="003568E0">
              <w:rPr>
                <w:rFonts w:ascii="Garamond" w:hAnsi="Garamond"/>
              </w:rPr>
              <w:t>EXAM DAY</w:t>
            </w:r>
          </w:p>
        </w:tc>
        <w:tc>
          <w:tcPr>
            <w:tcW w:w="7093" w:type="dxa"/>
          </w:tcPr>
          <w:p w14:paraId="65204888" w14:textId="40F2EC1C" w:rsidR="00D853B2" w:rsidRPr="003568E0" w:rsidRDefault="00D853B2" w:rsidP="00D853B2">
            <w:pPr>
              <w:jc w:val="both"/>
              <w:rPr>
                <w:rFonts w:ascii="Garamond" w:hAnsi="Garamond"/>
              </w:rPr>
            </w:pPr>
            <w:r w:rsidRPr="003568E0">
              <w:rPr>
                <w:rFonts w:ascii="Garamond" w:hAnsi="Garamond"/>
              </w:rPr>
              <w:t>RESEARCH PAPER DUE</w:t>
            </w:r>
          </w:p>
        </w:tc>
      </w:tr>
    </w:tbl>
    <w:p w14:paraId="3E16B19B" w14:textId="0C906440" w:rsidR="00E05DD3" w:rsidRPr="008452C1" w:rsidRDefault="00E05DD3" w:rsidP="00D853B2">
      <w:pPr>
        <w:spacing w:after="0" w:line="240" w:lineRule="auto"/>
        <w:jc w:val="both"/>
        <w:rPr>
          <w:rFonts w:ascii="Garamond" w:hAnsi="Garamond"/>
          <w:sz w:val="24"/>
          <w:szCs w:val="24"/>
        </w:rPr>
      </w:pPr>
    </w:p>
    <w:sectPr w:rsidR="00E05DD3" w:rsidRPr="008452C1" w:rsidSect="00D853B2">
      <w:headerReference w:type="default" r:id="rId11"/>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5A3C" w14:textId="77777777" w:rsidR="00FE2539" w:rsidRDefault="00FE2539" w:rsidP="00C3691C">
      <w:pPr>
        <w:spacing w:after="0" w:line="240" w:lineRule="auto"/>
      </w:pPr>
      <w:r>
        <w:separator/>
      </w:r>
    </w:p>
  </w:endnote>
  <w:endnote w:type="continuationSeparator" w:id="0">
    <w:p w14:paraId="74C6C9C7" w14:textId="77777777" w:rsidR="00FE2539" w:rsidRDefault="00FE2539" w:rsidP="00C3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DB19" w14:textId="77777777" w:rsidR="00FE2539" w:rsidRDefault="00FE2539" w:rsidP="00C3691C">
      <w:pPr>
        <w:spacing w:after="0" w:line="240" w:lineRule="auto"/>
      </w:pPr>
      <w:r>
        <w:separator/>
      </w:r>
    </w:p>
  </w:footnote>
  <w:footnote w:type="continuationSeparator" w:id="0">
    <w:p w14:paraId="43EC9EBF" w14:textId="77777777" w:rsidR="00FE2539" w:rsidRDefault="00FE2539" w:rsidP="00C3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5D75" w14:textId="3D811BCE" w:rsidR="00C3691C" w:rsidRPr="00C3691C" w:rsidRDefault="00C3691C" w:rsidP="00C3691C">
    <w:pPr>
      <w:pStyle w:val="Header"/>
      <w:jc w:val="center"/>
      <w:rPr>
        <w:rFonts w:ascii="Palatino Linotype" w:hAnsi="Palatino Linotype"/>
        <w:b/>
        <w:bCs/>
        <w:sz w:val="24"/>
        <w:szCs w:val="24"/>
      </w:rPr>
    </w:pPr>
    <w:r w:rsidRPr="00C3691C">
      <w:rPr>
        <w:rFonts w:ascii="Palatino Linotype" w:hAnsi="Palatino Linotype"/>
        <w:b/>
        <w:bCs/>
        <w:sz w:val="24"/>
        <w:szCs w:val="24"/>
      </w:rPr>
      <w:t>THE NATIONAL AND KAPODISTRIAN UNIVERSITY OF ATHENS</w:t>
    </w:r>
  </w:p>
  <w:p w14:paraId="521DF6DE" w14:textId="7FBF9775" w:rsidR="00C3691C" w:rsidRPr="00C3691C" w:rsidRDefault="00C3691C" w:rsidP="00C3691C">
    <w:pPr>
      <w:pStyle w:val="Header"/>
      <w:jc w:val="center"/>
      <w:rPr>
        <w:rFonts w:ascii="Palatino Linotype" w:hAnsi="Palatino Linotype"/>
        <w:b/>
        <w:bCs/>
        <w:sz w:val="24"/>
        <w:szCs w:val="24"/>
      </w:rPr>
    </w:pPr>
    <w:r w:rsidRPr="00C3691C">
      <w:rPr>
        <w:rFonts w:ascii="Palatino Linotype" w:hAnsi="Palatino Linotype"/>
        <w:b/>
        <w:bCs/>
        <w:sz w:val="24"/>
        <w:szCs w:val="24"/>
      </w:rPr>
      <w:t>School of Philosophy</w:t>
    </w:r>
  </w:p>
  <w:p w14:paraId="74226E7E" w14:textId="0BD6AD3C" w:rsidR="00C3691C" w:rsidRPr="00C3691C" w:rsidRDefault="00C3691C" w:rsidP="00C3691C">
    <w:pPr>
      <w:pStyle w:val="Header"/>
      <w:jc w:val="center"/>
      <w:rPr>
        <w:rFonts w:ascii="Palatino Linotype" w:hAnsi="Palatino Linotype"/>
        <w:b/>
        <w:bCs/>
        <w:sz w:val="24"/>
        <w:szCs w:val="24"/>
      </w:rPr>
    </w:pPr>
    <w:r w:rsidRPr="00C3691C">
      <w:rPr>
        <w:rFonts w:ascii="Palatino Linotype" w:hAnsi="Palatino Linotype"/>
        <w:b/>
        <w:bCs/>
        <w:sz w:val="24"/>
        <w:szCs w:val="24"/>
      </w:rPr>
      <w:t>Department of English Language and Literature</w:t>
    </w:r>
  </w:p>
  <w:p w14:paraId="45C08AA6" w14:textId="3EB0FD91" w:rsidR="00C3691C" w:rsidRDefault="00C3691C" w:rsidP="00C3691C">
    <w:pPr>
      <w:pStyle w:val="Header"/>
      <w:jc w:val="center"/>
      <w:rPr>
        <w:rFonts w:ascii="Palatino Linotype" w:hAnsi="Palatino Linotype"/>
        <w:b/>
        <w:bCs/>
        <w:sz w:val="24"/>
        <w:szCs w:val="24"/>
      </w:rPr>
    </w:pPr>
    <w:r w:rsidRPr="00C3691C">
      <w:rPr>
        <w:rFonts w:ascii="Palatino Linotype" w:hAnsi="Palatino Linotype"/>
        <w:b/>
        <w:bCs/>
        <w:sz w:val="24"/>
        <w:szCs w:val="24"/>
      </w:rPr>
      <w:t>Division of Literature and Culture</w:t>
    </w:r>
  </w:p>
  <w:p w14:paraId="26FC7307" w14:textId="77777777" w:rsidR="00C3691C" w:rsidRPr="00C3691C" w:rsidRDefault="00C3691C" w:rsidP="00C3691C">
    <w:pPr>
      <w:pStyle w:val="Header"/>
      <w:jc w:val="center"/>
      <w:rPr>
        <w:rFonts w:ascii="Palatino Linotype" w:hAnsi="Palatino Linotype"/>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77D7"/>
    <w:multiLevelType w:val="hybridMultilevel"/>
    <w:tmpl w:val="2F6A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889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1C"/>
    <w:rsid w:val="00045B4E"/>
    <w:rsid w:val="000767A5"/>
    <w:rsid w:val="000A3B76"/>
    <w:rsid w:val="0012356A"/>
    <w:rsid w:val="001A1AC7"/>
    <w:rsid w:val="001D30FA"/>
    <w:rsid w:val="001E35E4"/>
    <w:rsid w:val="001E71F2"/>
    <w:rsid w:val="0024442A"/>
    <w:rsid w:val="00263187"/>
    <w:rsid w:val="00271F6E"/>
    <w:rsid w:val="00275166"/>
    <w:rsid w:val="002B0585"/>
    <w:rsid w:val="002C6305"/>
    <w:rsid w:val="003346A7"/>
    <w:rsid w:val="00334C07"/>
    <w:rsid w:val="003568E0"/>
    <w:rsid w:val="0036264E"/>
    <w:rsid w:val="00370E83"/>
    <w:rsid w:val="00371E7B"/>
    <w:rsid w:val="003755D0"/>
    <w:rsid w:val="003A4629"/>
    <w:rsid w:val="003C2DEE"/>
    <w:rsid w:val="003D0D04"/>
    <w:rsid w:val="003D6043"/>
    <w:rsid w:val="00465B5E"/>
    <w:rsid w:val="00472194"/>
    <w:rsid w:val="004770AB"/>
    <w:rsid w:val="00482028"/>
    <w:rsid w:val="00483A47"/>
    <w:rsid w:val="00484053"/>
    <w:rsid w:val="00495C87"/>
    <w:rsid w:val="004A6392"/>
    <w:rsid w:val="004B1A04"/>
    <w:rsid w:val="004B57A3"/>
    <w:rsid w:val="004D30ED"/>
    <w:rsid w:val="004D39F7"/>
    <w:rsid w:val="004D4739"/>
    <w:rsid w:val="00515E22"/>
    <w:rsid w:val="00516E0B"/>
    <w:rsid w:val="0053058B"/>
    <w:rsid w:val="005610F9"/>
    <w:rsid w:val="00590235"/>
    <w:rsid w:val="005A32AC"/>
    <w:rsid w:val="005C212A"/>
    <w:rsid w:val="005F10C9"/>
    <w:rsid w:val="006B6ACC"/>
    <w:rsid w:val="00725201"/>
    <w:rsid w:val="00731AD2"/>
    <w:rsid w:val="00737564"/>
    <w:rsid w:val="00737A57"/>
    <w:rsid w:val="00772E02"/>
    <w:rsid w:val="00776E11"/>
    <w:rsid w:val="007A4183"/>
    <w:rsid w:val="007D37E6"/>
    <w:rsid w:val="007D670F"/>
    <w:rsid w:val="00801911"/>
    <w:rsid w:val="0083064A"/>
    <w:rsid w:val="008452C1"/>
    <w:rsid w:val="00851FF1"/>
    <w:rsid w:val="00877E8A"/>
    <w:rsid w:val="00884A34"/>
    <w:rsid w:val="008A7197"/>
    <w:rsid w:val="008E54F7"/>
    <w:rsid w:val="0093727C"/>
    <w:rsid w:val="00955AF8"/>
    <w:rsid w:val="00962C68"/>
    <w:rsid w:val="0096351A"/>
    <w:rsid w:val="00965E53"/>
    <w:rsid w:val="00997B07"/>
    <w:rsid w:val="009A7C87"/>
    <w:rsid w:val="009C4EEB"/>
    <w:rsid w:val="009E570E"/>
    <w:rsid w:val="00A006F7"/>
    <w:rsid w:val="00A43180"/>
    <w:rsid w:val="00A46BAC"/>
    <w:rsid w:val="00A57848"/>
    <w:rsid w:val="00A66C1C"/>
    <w:rsid w:val="00A74C8A"/>
    <w:rsid w:val="00A8636D"/>
    <w:rsid w:val="00A90D7E"/>
    <w:rsid w:val="00AA6204"/>
    <w:rsid w:val="00AA7B58"/>
    <w:rsid w:val="00AD51A7"/>
    <w:rsid w:val="00B50529"/>
    <w:rsid w:val="00B5704F"/>
    <w:rsid w:val="00B63AE3"/>
    <w:rsid w:val="00BD6F5B"/>
    <w:rsid w:val="00C05549"/>
    <w:rsid w:val="00C158D5"/>
    <w:rsid w:val="00C20779"/>
    <w:rsid w:val="00C3691C"/>
    <w:rsid w:val="00C56FD6"/>
    <w:rsid w:val="00C65FA7"/>
    <w:rsid w:val="00C67A61"/>
    <w:rsid w:val="00C908EA"/>
    <w:rsid w:val="00C90F9D"/>
    <w:rsid w:val="00D07202"/>
    <w:rsid w:val="00D13765"/>
    <w:rsid w:val="00D1632A"/>
    <w:rsid w:val="00D4283D"/>
    <w:rsid w:val="00D7163D"/>
    <w:rsid w:val="00D853B2"/>
    <w:rsid w:val="00DC7943"/>
    <w:rsid w:val="00E05DD3"/>
    <w:rsid w:val="00E20558"/>
    <w:rsid w:val="00E330D7"/>
    <w:rsid w:val="00E85969"/>
    <w:rsid w:val="00EC4769"/>
    <w:rsid w:val="00EF375F"/>
    <w:rsid w:val="00F25B78"/>
    <w:rsid w:val="00F3260D"/>
    <w:rsid w:val="00F41EEE"/>
    <w:rsid w:val="00F51A3F"/>
    <w:rsid w:val="00F71832"/>
    <w:rsid w:val="00F76B45"/>
    <w:rsid w:val="00F85EEF"/>
    <w:rsid w:val="00F91E27"/>
    <w:rsid w:val="00FB3644"/>
    <w:rsid w:val="00FB720D"/>
    <w:rsid w:val="00FD026A"/>
    <w:rsid w:val="00FE2539"/>
    <w:rsid w:val="00FE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6E15"/>
  <w15:docId w15:val="{ECC5D618-259E-48E2-BDE3-FB599A48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91C"/>
  </w:style>
  <w:style w:type="paragraph" w:styleId="Footer">
    <w:name w:val="footer"/>
    <w:basedOn w:val="Normal"/>
    <w:link w:val="FooterChar"/>
    <w:uiPriority w:val="99"/>
    <w:unhideWhenUsed/>
    <w:rsid w:val="00C36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91C"/>
  </w:style>
  <w:style w:type="table" w:styleId="TableGrid">
    <w:name w:val="Table Grid"/>
    <w:basedOn w:val="TableNormal"/>
    <w:uiPriority w:val="39"/>
    <w:rsid w:val="00E0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6204"/>
    <w:rPr>
      <w:color w:val="0000FF"/>
      <w:u w:val="single"/>
    </w:rPr>
  </w:style>
  <w:style w:type="character" w:styleId="FollowedHyperlink">
    <w:name w:val="FollowedHyperlink"/>
    <w:basedOn w:val="DefaultParagraphFont"/>
    <w:uiPriority w:val="99"/>
    <w:semiHidden/>
    <w:unhideWhenUsed/>
    <w:rsid w:val="00AA6204"/>
    <w:rPr>
      <w:color w:val="954F72" w:themeColor="followedHyperlink"/>
      <w:u w:val="single"/>
    </w:rPr>
  </w:style>
  <w:style w:type="paragraph" w:styleId="PlainText">
    <w:name w:val="Plain Text"/>
    <w:basedOn w:val="Normal"/>
    <w:link w:val="PlainTextChar"/>
    <w:uiPriority w:val="99"/>
    <w:rsid w:val="004D39F7"/>
    <w:pPr>
      <w:spacing w:after="0" w:line="240" w:lineRule="auto"/>
    </w:pPr>
    <w:rPr>
      <w:rFonts w:ascii="Courier New" w:eastAsia="Times New Roman" w:hAnsi="Courier New" w:cs="Courier New"/>
      <w:sz w:val="20"/>
      <w:szCs w:val="20"/>
      <w:lang w:val="el-GR" w:eastAsia="el-GR"/>
    </w:rPr>
  </w:style>
  <w:style w:type="character" w:customStyle="1" w:styleId="PlainTextChar">
    <w:name w:val="Plain Text Char"/>
    <w:basedOn w:val="DefaultParagraphFont"/>
    <w:link w:val="PlainText"/>
    <w:uiPriority w:val="99"/>
    <w:rsid w:val="004D39F7"/>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ass.uoa.gr/courses/ENL5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utenberg.org/files/19481/19481-h/19481-h.htm" TargetMode="External"/><Relationship Id="rId4" Type="http://schemas.openxmlformats.org/officeDocument/2006/relationships/webSettings" Target="webSettings.xml"/><Relationship Id="rId9" Type="http://schemas.openxmlformats.org/officeDocument/2006/relationships/hyperlink" Target="https://owl.english.purdue.edu/owl/resource/74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Dokou</dc:creator>
  <cp:keywords/>
  <dc:description/>
  <cp:lastModifiedBy>Christina Dokou</cp:lastModifiedBy>
  <cp:revision>9</cp:revision>
  <cp:lastPrinted>2022-09-26T17:57:00Z</cp:lastPrinted>
  <dcterms:created xsi:type="dcterms:W3CDTF">2024-09-16T12:59:00Z</dcterms:created>
  <dcterms:modified xsi:type="dcterms:W3CDTF">2025-09-24T18:42:00Z</dcterms:modified>
</cp:coreProperties>
</file>