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17BDE" w:rsidRDefault="00117BDE" w:rsidP="00117BDE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4230CA" w:rsidRDefault="004230CA">
      <w:pPr>
        <w:pStyle w:val="Body"/>
      </w:pPr>
    </w:p>
    <w:p w:rsidR="004230CA" w:rsidRPr="00F33BA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 Fictions</w:t>
      </w:r>
    </w:p>
    <w:p w:rsidR="004230CA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F33BAE">
        <w:rPr>
          <w:rFonts w:eastAsia="Arial Unicode MS" w:hAnsi="Arial Unicode MS" w:cs="Arial Unicode MS"/>
          <w:b/>
          <w:bCs/>
          <w:lang w:val="en-US"/>
        </w:rPr>
        <w:t xml:space="preserve">: </w:t>
      </w:r>
      <w:r w:rsidR="00117BDE">
        <w:rPr>
          <w:rFonts w:eastAsia="Arial Unicode MS" w:hAnsi="Arial Unicode MS" w:cs="Arial Unicode MS"/>
          <w:lang w:val="en-US"/>
        </w:rPr>
        <w:t>Body Vs Self</w:t>
      </w:r>
      <w:r w:rsidR="003F1EF0">
        <w:rPr>
          <w:rFonts w:eastAsia="Arial Unicode MS" w:hAnsi="Arial Unicode MS" w:cs="Arial Unicode MS"/>
          <w:lang w:val="en-US"/>
        </w:rPr>
        <w:t>: Gender</w:t>
      </w:r>
    </w:p>
    <w:p w:rsidR="004A3418" w:rsidRPr="004A3418" w:rsidRDefault="004A3418" w:rsidP="004A3418">
      <w:pPr>
        <w:pStyle w:val="Body"/>
      </w:pPr>
      <w:r w:rsidRPr="004A3418">
        <w:t xml:space="preserve">Χριστίνα </w:t>
      </w:r>
      <w:proofErr w:type="spellStart"/>
      <w:r w:rsidRPr="004A3418">
        <w:t>Ντόκου</w:t>
      </w:r>
      <w:proofErr w:type="spellEnd"/>
      <w:r w:rsidRPr="004A3418">
        <w:t xml:space="preserve">, </w:t>
      </w:r>
      <w:r w:rsidRPr="004A3418">
        <w:rPr>
          <w:lang w:val="en-US"/>
        </w:rPr>
        <w:t>Christina</w:t>
      </w:r>
      <w:r w:rsidRPr="004A3418">
        <w:t xml:space="preserve"> </w:t>
      </w:r>
      <w:proofErr w:type="spellStart"/>
      <w:r w:rsidRPr="004A3418">
        <w:rPr>
          <w:lang w:val="en-US"/>
        </w:rPr>
        <w:t>Dokou</w:t>
      </w:r>
      <w:proofErr w:type="spellEnd"/>
    </w:p>
    <w:p w:rsidR="004A3418" w:rsidRPr="004A3418" w:rsidRDefault="004A3418" w:rsidP="004A3418">
      <w:pPr>
        <w:pStyle w:val="Body"/>
      </w:pPr>
      <w:r w:rsidRPr="004A3418">
        <w:t>Τμήμα Αγγλικής Γλώσσας και Φιλολογίας, Φιλοσοφική Σχολή</w:t>
      </w:r>
    </w:p>
    <w:p w:rsidR="004A3418" w:rsidRPr="00F33BAE" w:rsidRDefault="004A3418" w:rsidP="004A3418">
      <w:pPr>
        <w:pStyle w:val="Body"/>
        <w:rPr>
          <w:lang w:val="en-US"/>
        </w:rPr>
      </w:pPr>
      <w:r w:rsidRPr="004A3418">
        <w:rPr>
          <w:lang w:val="en-US"/>
        </w:rPr>
        <w:t>Faculty of English Language and Literature, School of Philosophy</w:t>
      </w:r>
    </w:p>
    <w:p w:rsidR="00117BDE" w:rsidRPr="00412E05" w:rsidRDefault="00117BDE" w:rsidP="00117BDE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Pr="004A3418" w:rsidRDefault="004230CA">
      <w:pPr>
        <w:pStyle w:val="Body"/>
        <w:rPr>
          <w:lang w:val="en-US"/>
        </w:rPr>
      </w:pPr>
    </w:p>
    <w:p w:rsidR="004230CA" w:rsidRPr="004A3418" w:rsidRDefault="00D74A87">
      <w:pPr>
        <w:pStyle w:val="Body"/>
        <w:rPr>
          <w:lang w:val="en-US"/>
        </w:rPr>
      </w:pPr>
      <w:r w:rsidRPr="004A3418">
        <w:rPr>
          <w:lang w:val="en-US"/>
        </w:rPr>
        <w:br w:type="page"/>
      </w:r>
    </w:p>
    <w:p w:rsidR="004230CA" w:rsidRPr="004A3418" w:rsidRDefault="004230CA">
      <w:pPr>
        <w:pStyle w:val="Body"/>
        <w:rPr>
          <w:lang w:val="en-US"/>
        </w:rPr>
      </w:pPr>
    </w:p>
    <w:p w:rsidR="004230CA" w:rsidRPr="004A3418" w:rsidRDefault="004230CA">
      <w:pPr>
        <w:pStyle w:val="Body"/>
        <w:rPr>
          <w:lang w:val="en-US"/>
        </w:rPr>
      </w:pPr>
    </w:p>
    <w:p w:rsidR="00245AC2" w:rsidRPr="00412E05" w:rsidRDefault="00245AC2" w:rsidP="00245AC2"/>
    <w:p w:rsidR="006A5397" w:rsidRDefault="00722272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r w:rsidRPr="00722272">
        <w:rPr>
          <w:lang w:eastAsia="en-US" w:bidi="en-US"/>
        </w:rPr>
        <w:fldChar w:fldCharType="begin"/>
      </w:r>
      <w:r w:rsidR="00245AC2">
        <w:instrText xml:space="preserve"> TOC \o "1-5" \h \z \u </w:instrText>
      </w:r>
      <w:r w:rsidRPr="00722272">
        <w:rPr>
          <w:lang w:eastAsia="en-US" w:bidi="en-US"/>
        </w:rPr>
        <w:fldChar w:fldCharType="separate"/>
      </w:r>
      <w:hyperlink w:anchor="_Toc416640495" w:history="1">
        <w:r w:rsidR="006A5397" w:rsidRPr="00FF5211">
          <w:rPr>
            <w:rStyle w:val="-"/>
            <w:noProof/>
          </w:rPr>
          <w:t>1.</w:t>
        </w:r>
        <w:r w:rsidR="006A5397"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="006A5397" w:rsidRPr="00FF5211">
          <w:rPr>
            <w:rStyle w:val="-"/>
            <w:noProof/>
          </w:rPr>
          <w:t>Suzanne Britt</w:t>
        </w:r>
        <w:r w:rsidR="006A5397">
          <w:rPr>
            <w:noProof/>
            <w:webHidden/>
          </w:rPr>
          <w:tab/>
        </w:r>
        <w:r w:rsidR="006A5397">
          <w:rPr>
            <w:noProof/>
            <w:webHidden/>
          </w:rPr>
          <w:fldChar w:fldCharType="begin"/>
        </w:r>
        <w:r w:rsidR="006A5397">
          <w:rPr>
            <w:noProof/>
            <w:webHidden/>
          </w:rPr>
          <w:instrText xml:space="preserve"> PAGEREF _Toc416640495 \h </w:instrText>
        </w:r>
        <w:r w:rsidR="006A5397">
          <w:rPr>
            <w:noProof/>
            <w:webHidden/>
          </w:rPr>
        </w:r>
        <w:r w:rsidR="006A5397">
          <w:rPr>
            <w:noProof/>
            <w:webHidden/>
          </w:rPr>
          <w:fldChar w:fldCharType="separate"/>
        </w:r>
        <w:r w:rsidR="006A5397">
          <w:rPr>
            <w:noProof/>
            <w:webHidden/>
          </w:rPr>
          <w:t>3</w:t>
        </w:r>
        <w:r w:rsidR="006A5397">
          <w:rPr>
            <w:noProof/>
            <w:webHidden/>
          </w:rPr>
          <w:fldChar w:fldCharType="end"/>
        </w:r>
      </w:hyperlink>
    </w:p>
    <w:p w:rsidR="006A5397" w:rsidRDefault="006A5397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496" w:history="1">
        <w:r w:rsidRPr="00FF5211">
          <w:rPr>
            <w:rStyle w:val="-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FF5211">
          <w:rPr>
            <w:rStyle w:val="-"/>
            <w:noProof/>
          </w:rPr>
          <w:t>Suzan Bordo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5397" w:rsidRDefault="006A5397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497" w:history="1">
        <w:r w:rsidRPr="00FF5211">
          <w:rPr>
            <w:rStyle w:val="-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FF5211">
          <w:rPr>
            <w:rStyle w:val="-"/>
            <w:noProof/>
          </w:rPr>
          <w:t>Fried Green Tomatoes At The Whistle Stop Café (1991)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5AC2" w:rsidRDefault="00722272" w:rsidP="00245AC2">
      <w:r>
        <w:fldChar w:fldCharType="end"/>
      </w:r>
    </w:p>
    <w:p w:rsidR="004230CA" w:rsidRPr="00245AC2" w:rsidRDefault="004230CA">
      <w:pPr>
        <w:pStyle w:val="Body"/>
      </w:pPr>
    </w:p>
    <w:p w:rsidR="004230CA" w:rsidRPr="00245AC2" w:rsidRDefault="004230CA">
      <w:pPr>
        <w:pStyle w:val="Body"/>
        <w:sectPr w:rsidR="004230CA" w:rsidRPr="00245AC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021" w:bottom="1134" w:left="1021" w:header="708" w:footer="708" w:gutter="0"/>
          <w:cols w:space="720"/>
          <w:titlePg/>
        </w:sectPr>
      </w:pPr>
    </w:p>
    <w:p w:rsidR="004230CA" w:rsidRPr="00245AC2" w:rsidRDefault="004230CA">
      <w:pPr>
        <w:pStyle w:val="Body"/>
      </w:pPr>
    </w:p>
    <w:p w:rsidR="004230CA" w:rsidRDefault="003F1EF0" w:rsidP="00EE5266">
      <w:pPr>
        <w:pStyle w:val="Heading"/>
        <w:numPr>
          <w:ilvl w:val="0"/>
          <w:numId w:val="1"/>
        </w:numPr>
        <w:tabs>
          <w:tab w:val="num" w:pos="360"/>
        </w:tabs>
        <w:spacing w:line="240" w:lineRule="auto"/>
      </w:pPr>
      <w:bookmarkStart w:id="0" w:name="_Toc416640495"/>
      <w:r>
        <w:rPr>
          <w:lang w:val="en-US"/>
        </w:rPr>
        <w:t>Suzanne Britt</w:t>
      </w:r>
      <w:bookmarkEnd w:id="0"/>
    </w:p>
    <w:p w:rsidR="003F1EF0" w:rsidRDefault="003F1EF0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   “That Lean and Hungry Look”</w:t>
      </w:r>
    </w:p>
    <w:p w:rsidR="003F1EF0" w:rsidRDefault="003F1EF0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   Physiognomy studies, phrenology</w:t>
      </w:r>
    </w:p>
    <w:p w:rsidR="004230CA" w:rsidRDefault="003F1EF0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   Constitutional psychology (1940s): William Herbert Sheldon’s three somatotypes </w:t>
      </w:r>
    </w:p>
    <w:p w:rsidR="00BC3069" w:rsidRPr="00BC3069" w:rsidRDefault="00BC3069" w:rsidP="00EE5266">
      <w:pPr>
        <w:pStyle w:val="Body"/>
        <w:numPr>
          <w:ilvl w:val="0"/>
          <w:numId w:val="10"/>
        </w:numPr>
        <w:spacing w:line="240" w:lineRule="auto"/>
        <w:rPr>
          <w:position w:val="-2"/>
          <w:lang w:val="en-US"/>
        </w:rPr>
      </w:pPr>
      <w:proofErr w:type="spellStart"/>
      <w:r w:rsidRPr="00BC3069">
        <w:rPr>
          <w:lang w:val="en-US"/>
        </w:rPr>
        <w:t>ectomorphic</w:t>
      </w:r>
      <w:proofErr w:type="spellEnd"/>
      <w:r w:rsidRPr="00BC3069">
        <w:rPr>
          <w:lang w:val="en-US"/>
        </w:rPr>
        <w:t xml:space="preserve"> (slim=brainy, reserved); </w:t>
      </w:r>
      <w:proofErr w:type="spellStart"/>
      <w:r w:rsidRPr="00BC3069">
        <w:rPr>
          <w:lang w:val="en-US"/>
        </w:rPr>
        <w:t>mesomorphic</w:t>
      </w:r>
      <w:proofErr w:type="spellEnd"/>
      <w:r w:rsidRPr="00BC3069">
        <w:rPr>
          <w:lang w:val="en-US"/>
        </w:rPr>
        <w:t xml:space="preserve"> (muscular=active, alert); endomorphic (chunky=slow, bumbling)</w:t>
      </w:r>
      <w:r>
        <w:rPr>
          <w:lang w:val="en-US"/>
        </w:rPr>
        <w:t xml:space="preserve"> </w:t>
      </w:r>
      <w:r w:rsidRPr="00BC3069">
        <w:rPr>
          <w:lang w:val="en-US"/>
        </w:rPr>
        <w:t xml:space="preserve">Body image as social semiotics: </w:t>
      </w:r>
    </w:p>
    <w:p w:rsidR="004230CA" w:rsidRDefault="00BC3069" w:rsidP="00EE5266">
      <w:pPr>
        <w:pStyle w:val="Body"/>
        <w:numPr>
          <w:ilvl w:val="0"/>
          <w:numId w:val="10"/>
        </w:numPr>
        <w:spacing w:line="240" w:lineRule="auto"/>
        <w:rPr>
          <w:position w:val="-2"/>
          <w:lang w:val="en-US"/>
        </w:rPr>
      </w:pPr>
      <w:r w:rsidRPr="00BC3069">
        <w:rPr>
          <w:lang w:val="en-US"/>
        </w:rPr>
        <w:t>stereotypes of fat/lean people across time and cultures (past/now, Oriental/Occidental)</w:t>
      </w:r>
    </w:p>
    <w:p w:rsidR="004230CA" w:rsidRDefault="00BC3069" w:rsidP="00EE5266">
      <w:pPr>
        <w:pStyle w:val="Body"/>
        <w:numPr>
          <w:ilvl w:val="0"/>
          <w:numId w:val="10"/>
        </w:numPr>
        <w:spacing w:line="240" w:lineRule="auto"/>
        <w:rPr>
          <w:position w:val="-2"/>
          <w:lang w:val="en-US"/>
        </w:rPr>
      </w:pPr>
      <w:r w:rsidRPr="00BC3069">
        <w:rPr>
          <w:lang w:val="en-US"/>
        </w:rPr>
        <w:t xml:space="preserve">1931 Haddon </w:t>
      </w:r>
      <w:proofErr w:type="spellStart"/>
      <w:r w:rsidRPr="00BC3069">
        <w:rPr>
          <w:lang w:val="en-US"/>
        </w:rPr>
        <w:t>Sundblom’s</w:t>
      </w:r>
      <w:proofErr w:type="spellEnd"/>
      <w:r w:rsidRPr="00BC3069">
        <w:rPr>
          <w:lang w:val="en-US"/>
        </w:rPr>
        <w:t xml:space="preserve"> Santa Claus, </w:t>
      </w:r>
      <w:proofErr w:type="spellStart"/>
      <w:r w:rsidRPr="00BC3069">
        <w:rPr>
          <w:lang w:val="en-US"/>
        </w:rPr>
        <w:t>Goscinny</w:t>
      </w:r>
      <w:proofErr w:type="spellEnd"/>
      <w:r w:rsidRPr="00BC3069">
        <w:rPr>
          <w:lang w:val="en-US"/>
        </w:rPr>
        <w:t xml:space="preserve"> and </w:t>
      </w:r>
      <w:proofErr w:type="spellStart"/>
      <w:r w:rsidRPr="00BC3069">
        <w:rPr>
          <w:lang w:val="en-US"/>
        </w:rPr>
        <w:t>Uderzo’s</w:t>
      </w:r>
      <w:proofErr w:type="spellEnd"/>
      <w:r w:rsidRPr="00BC3069">
        <w:rPr>
          <w:lang w:val="en-US"/>
        </w:rPr>
        <w:t xml:space="preserve"> </w:t>
      </w:r>
      <w:proofErr w:type="spellStart"/>
      <w:r w:rsidRPr="00BC3069">
        <w:rPr>
          <w:lang w:val="en-US"/>
        </w:rPr>
        <w:t>Astérix</w:t>
      </w:r>
      <w:proofErr w:type="spellEnd"/>
      <w:r w:rsidRPr="00BC3069">
        <w:rPr>
          <w:lang w:val="en-US"/>
        </w:rPr>
        <w:t xml:space="preserve"> and </w:t>
      </w:r>
      <w:proofErr w:type="spellStart"/>
      <w:r w:rsidRPr="00BC3069">
        <w:rPr>
          <w:lang w:val="en-US"/>
        </w:rPr>
        <w:t>Obelix</w:t>
      </w:r>
      <w:proofErr w:type="spellEnd"/>
      <w:r w:rsidRPr="00BC3069">
        <w:rPr>
          <w:lang w:val="en-US"/>
        </w:rPr>
        <w:t>, Shakespeare’s Falstaff in Henry IV/V</w:t>
      </w:r>
    </w:p>
    <w:p w:rsidR="004230CA" w:rsidRDefault="00BC3069" w:rsidP="00EE5266">
      <w:pPr>
        <w:pStyle w:val="Body"/>
        <w:numPr>
          <w:ilvl w:val="0"/>
          <w:numId w:val="10"/>
        </w:numPr>
        <w:spacing w:line="240" w:lineRule="auto"/>
        <w:rPr>
          <w:position w:val="-2"/>
          <w:lang w:val="fr-FR"/>
        </w:rPr>
      </w:pPr>
      <w:r w:rsidRPr="00BC3069">
        <w:rPr>
          <w:lang w:val="en-US"/>
        </w:rPr>
        <w:t xml:space="preserve">eating as assimilation (Rabelais’s </w:t>
      </w:r>
      <w:proofErr w:type="spellStart"/>
      <w:r w:rsidRPr="00BC3069">
        <w:rPr>
          <w:lang w:val="en-US"/>
        </w:rPr>
        <w:t>Gargantua</w:t>
      </w:r>
      <w:proofErr w:type="spellEnd"/>
      <w:r w:rsidRPr="00BC3069">
        <w:rPr>
          <w:lang w:val="en-US"/>
        </w:rPr>
        <w:t xml:space="preserve">, Claude </w:t>
      </w:r>
      <w:proofErr w:type="spellStart"/>
      <w:r w:rsidRPr="00BC3069">
        <w:rPr>
          <w:lang w:val="en-US"/>
        </w:rPr>
        <w:t>Lévi</w:t>
      </w:r>
      <w:proofErr w:type="spellEnd"/>
      <w:r w:rsidRPr="00BC3069">
        <w:rPr>
          <w:lang w:val="en-US"/>
        </w:rPr>
        <w:t>-Strauss’s The Raw and the Cooked); “You are what you eat”</w:t>
      </w:r>
    </w:p>
    <w:p w:rsidR="004230CA" w:rsidRPr="00F33BAE" w:rsidRDefault="00BC3069" w:rsidP="00EE5266">
      <w:pPr>
        <w:pStyle w:val="Heading"/>
        <w:numPr>
          <w:ilvl w:val="0"/>
          <w:numId w:val="1"/>
        </w:numPr>
        <w:tabs>
          <w:tab w:val="num" w:pos="360"/>
        </w:tabs>
        <w:rPr>
          <w:lang w:val="en-US"/>
        </w:rPr>
      </w:pPr>
      <w:bookmarkStart w:id="1" w:name="_Toc416640496"/>
      <w:r>
        <w:rPr>
          <w:lang w:val="en-US"/>
        </w:rPr>
        <w:t xml:space="preserve">Suzan </w:t>
      </w:r>
      <w:proofErr w:type="spellStart"/>
      <w:r>
        <w:rPr>
          <w:lang w:val="en-US"/>
        </w:rPr>
        <w:t>Bordo</w:t>
      </w:r>
      <w:bookmarkEnd w:id="1"/>
      <w:proofErr w:type="spellEnd"/>
    </w:p>
    <w:p w:rsidR="00BC3069" w:rsidRPr="00BC3069" w:rsidRDefault="00BC3069" w:rsidP="00EE5266">
      <w:pPr>
        <w:pStyle w:val="Body"/>
        <w:numPr>
          <w:ilvl w:val="0"/>
          <w:numId w:val="11"/>
        </w:numPr>
        <w:spacing w:line="240" w:lineRule="auto"/>
        <w:rPr>
          <w:position w:val="-2"/>
          <w:lang w:val="en-US"/>
        </w:rPr>
      </w:pPr>
      <w:r w:rsidRPr="00BC3069">
        <w:rPr>
          <w:lang w:val="en-US"/>
        </w:rPr>
        <w:t>feminist applications in daily culture re: the body</w:t>
      </w:r>
    </w:p>
    <w:p w:rsidR="00213F0E" w:rsidRDefault="00BC3069" w:rsidP="00EE5266">
      <w:pPr>
        <w:pStyle w:val="Body"/>
        <w:numPr>
          <w:ilvl w:val="0"/>
          <w:numId w:val="11"/>
        </w:numPr>
        <w:rPr>
          <w:lang w:val="en-US"/>
        </w:rPr>
      </w:pPr>
      <w:r w:rsidRPr="00BC3069">
        <w:rPr>
          <w:lang w:val="en-US"/>
        </w:rPr>
        <w:t xml:space="preserve">body as an active “text of culture”; social </w:t>
      </w:r>
      <w:proofErr w:type="spellStart"/>
      <w:r w:rsidRPr="00BC3069">
        <w:rPr>
          <w:lang w:val="en-US"/>
        </w:rPr>
        <w:t>constru</w:t>
      </w:r>
      <w:proofErr w:type="spellEnd"/>
      <w:r w:rsidRPr="00BC3069">
        <w:rPr>
          <w:lang w:val="en-US"/>
        </w:rPr>
        <w:t>/activism</w:t>
      </w:r>
      <w:r>
        <w:rPr>
          <w:lang w:val="en-US"/>
        </w:rPr>
        <w:t xml:space="preserve"> </w:t>
      </w:r>
      <w:r w:rsidRPr="00BC3069">
        <w:rPr>
          <w:lang w:val="en-US"/>
        </w:rPr>
        <w:t>“Unbearable Weight”</w:t>
      </w:r>
      <w:r>
        <w:rPr>
          <w:lang w:val="en-US"/>
        </w:rPr>
        <w:t xml:space="preserve">                        </w:t>
      </w:r>
      <w:r w:rsidRPr="00BC3069">
        <w:rPr>
          <w:lang w:val="en-US"/>
        </w:rPr>
        <w:t>“The body…is a medium of culture”: body as text, as “docile</w:t>
      </w:r>
      <w:r>
        <w:rPr>
          <w:lang w:val="en-US"/>
        </w:rPr>
        <w:t xml:space="preserve">” social routine, as battle site      </w:t>
      </w:r>
      <w:r w:rsidRPr="00BC3069">
        <w:rPr>
          <w:lang w:val="en-US"/>
        </w:rPr>
        <w:t>Fashion as a social way to keep female bodies dissatisfied, docile, disadvantaged</w:t>
      </w:r>
      <w:r>
        <w:rPr>
          <w:lang w:val="en-US"/>
        </w:rPr>
        <w:t xml:space="preserve">            </w:t>
      </w:r>
      <w:r w:rsidRPr="00BC3069">
        <w:rPr>
          <w:lang w:val="en-US"/>
        </w:rPr>
        <w:t>Anorexia, hysteria, agoraphobia as symptoms of social control and forced construction of women, advertising of women’s slavery as “good” and “empowering”</w:t>
      </w:r>
    </w:p>
    <w:p w:rsidR="00213F0E" w:rsidRDefault="00213F0E" w:rsidP="00EE5266">
      <w:pPr>
        <w:pStyle w:val="Body"/>
        <w:numPr>
          <w:ilvl w:val="0"/>
          <w:numId w:val="11"/>
        </w:numPr>
        <w:rPr>
          <w:lang w:val="en-US"/>
        </w:rPr>
      </w:pPr>
      <w:r w:rsidRPr="00213F0E">
        <w:rPr>
          <w:lang w:val="en-US"/>
        </w:rPr>
        <w:t>disease as (</w:t>
      </w:r>
      <w:proofErr w:type="spellStart"/>
      <w:r w:rsidRPr="00213F0E">
        <w:rPr>
          <w:lang w:val="en-US"/>
        </w:rPr>
        <w:t>hyperliteral</w:t>
      </w:r>
      <w:proofErr w:type="spellEnd"/>
      <w:r w:rsidRPr="00213F0E">
        <w:rPr>
          <w:lang w:val="en-US"/>
        </w:rPr>
        <w:t>) exaggeration of typically feminine traits</w:t>
      </w:r>
    </w:p>
    <w:p w:rsidR="00213F0E" w:rsidRDefault="00213F0E" w:rsidP="00EE5266">
      <w:pPr>
        <w:pStyle w:val="Body"/>
        <w:numPr>
          <w:ilvl w:val="0"/>
          <w:numId w:val="11"/>
        </w:numPr>
        <w:rPr>
          <w:lang w:val="en-US"/>
        </w:rPr>
      </w:pPr>
      <w:r w:rsidRPr="00213F0E">
        <w:rPr>
          <w:lang w:val="en-US"/>
        </w:rPr>
        <w:t xml:space="preserve">hysteria as Victorian (“feminine mystique”) </w:t>
      </w:r>
      <w:proofErr w:type="spellStart"/>
      <w:r w:rsidRPr="00213F0E">
        <w:rPr>
          <w:lang w:val="en-US"/>
        </w:rPr>
        <w:t>vs</w:t>
      </w:r>
      <w:proofErr w:type="spellEnd"/>
      <w:r w:rsidRPr="00213F0E">
        <w:rPr>
          <w:lang w:val="en-US"/>
        </w:rPr>
        <w:t xml:space="preserve"> anorexia, agoraphobia (50s visual culture--&gt; visible/image disorderly position)</w:t>
      </w:r>
    </w:p>
    <w:p w:rsidR="00213F0E" w:rsidRDefault="00213F0E" w:rsidP="00EE5266">
      <w:pPr>
        <w:pStyle w:val="Body"/>
        <w:numPr>
          <w:ilvl w:val="0"/>
          <w:numId w:val="11"/>
        </w:numPr>
        <w:rPr>
          <w:lang w:val="en-US"/>
        </w:rPr>
      </w:pPr>
      <w:r w:rsidRPr="00213F0E">
        <w:rPr>
          <w:lang w:val="en-US"/>
        </w:rPr>
        <w:t>the double bind of anorexia (frail, angelic AND disciplined, manly)</w:t>
      </w:r>
    </w:p>
    <w:p w:rsidR="00213F0E" w:rsidRDefault="00213F0E" w:rsidP="00EE5266">
      <w:pPr>
        <w:pStyle w:val="Body"/>
        <w:numPr>
          <w:ilvl w:val="0"/>
          <w:numId w:val="11"/>
        </w:numPr>
        <w:rPr>
          <w:lang w:val="en-US"/>
        </w:rPr>
      </w:pPr>
      <w:r w:rsidRPr="00213F0E">
        <w:rPr>
          <w:lang w:val="en-US"/>
        </w:rPr>
        <w:t>self-destructive reactions to stress of social change</w:t>
      </w:r>
      <w:r>
        <w:rPr>
          <w:lang w:val="en-US"/>
        </w:rPr>
        <w:t xml:space="preserve">                                                                      </w:t>
      </w:r>
      <w:r w:rsidRPr="00213F0E">
        <w:rPr>
          <w:lang w:val="en-US"/>
        </w:rPr>
        <w:t>We must rethink the problem in terms of the “useful body” (social praxis) i/o just the “intelligible body” (cognitive representations)</w:t>
      </w:r>
    </w:p>
    <w:p w:rsidR="00213F0E" w:rsidRPr="00245AC2" w:rsidRDefault="00245AC2" w:rsidP="00EE5266">
      <w:pPr>
        <w:pStyle w:val="Heading"/>
        <w:numPr>
          <w:ilvl w:val="0"/>
          <w:numId w:val="1"/>
        </w:numPr>
        <w:tabs>
          <w:tab w:val="num" w:pos="360"/>
        </w:tabs>
        <w:spacing w:line="240" w:lineRule="auto"/>
        <w:rPr>
          <w:lang w:val="en-US"/>
        </w:rPr>
      </w:pPr>
      <w:r>
        <w:rPr>
          <w:lang w:val="en-US"/>
        </w:rPr>
        <w:t xml:space="preserve"> </w:t>
      </w:r>
      <w:bookmarkStart w:id="2" w:name="_Toc416640497"/>
      <w:r w:rsidR="00213F0E">
        <w:rPr>
          <w:lang w:val="en-US"/>
        </w:rPr>
        <w:t>Fried Green Tomatoes At The Whistle Stop Café (1991)</w:t>
      </w:r>
      <w:bookmarkEnd w:id="2"/>
    </w:p>
    <w:p w:rsidR="00213F0E" w:rsidRDefault="00213F0E" w:rsidP="00213F0E">
      <w:pPr>
        <w:pStyle w:val="Body"/>
        <w:rPr>
          <w:lang w:val="en-US"/>
        </w:rPr>
      </w:pPr>
      <w:r>
        <w:rPr>
          <w:lang w:val="en-US"/>
        </w:rPr>
        <w:t xml:space="preserve">    </w:t>
      </w:r>
      <w:r w:rsidRPr="00213F0E">
        <w:rPr>
          <w:lang w:val="en-US"/>
        </w:rPr>
        <w:t xml:space="preserve">Fanny Flagg: TV/(stage/film) persona, esp. stand-up comedy (performance and scriptwriting), </w:t>
      </w:r>
      <w:r>
        <w:rPr>
          <w:lang w:val="en-US"/>
        </w:rPr>
        <w:t xml:space="preserve">   </w:t>
      </w:r>
      <w:r w:rsidRPr="00213F0E">
        <w:rPr>
          <w:lang w:val="en-US"/>
        </w:rPr>
        <w:t xml:space="preserve">came into novel-writing late; “New Southern writing” with woman-identified twist; film-like quality, </w:t>
      </w:r>
      <w:proofErr w:type="spellStart"/>
      <w:r w:rsidRPr="00213F0E">
        <w:rPr>
          <w:lang w:val="en-US"/>
        </w:rPr>
        <w:t>écriture</w:t>
      </w:r>
      <w:proofErr w:type="spellEnd"/>
      <w:r w:rsidRPr="00213F0E">
        <w:rPr>
          <w:lang w:val="en-US"/>
        </w:rPr>
        <w:t xml:space="preserve"> feminine format (born of dyslexia?)</w:t>
      </w:r>
    </w:p>
    <w:p w:rsidR="00213F0E" w:rsidRPr="00CB6796" w:rsidRDefault="00CB6796" w:rsidP="00213F0E">
      <w:pPr>
        <w:pStyle w:val="Body"/>
        <w:rPr>
          <w:b/>
          <w:sz w:val="28"/>
          <w:szCs w:val="28"/>
          <w:lang w:val="en-US"/>
        </w:rPr>
      </w:pPr>
      <w:r>
        <w:rPr>
          <w:lang w:val="en-US"/>
        </w:rPr>
        <w:t xml:space="preserve">   </w:t>
      </w:r>
      <w:r>
        <w:rPr>
          <w:b/>
          <w:sz w:val="28"/>
          <w:szCs w:val="28"/>
          <w:lang w:val="en-US"/>
        </w:rPr>
        <w:t>PP 1-82</w:t>
      </w:r>
    </w:p>
    <w:p w:rsidR="004230CA" w:rsidRPr="004A3418" w:rsidRDefault="00CB6796" w:rsidP="00EE5266">
      <w:pPr>
        <w:pStyle w:val="Body"/>
        <w:numPr>
          <w:ilvl w:val="0"/>
          <w:numId w:val="11"/>
        </w:numPr>
        <w:rPr>
          <w:lang w:val="en-US"/>
        </w:rPr>
      </w:pPr>
      <w:r>
        <w:rPr>
          <w:lang w:val="en-US"/>
        </w:rPr>
        <w:t>book opening with café opening:</w:t>
      </w:r>
    </w:p>
    <w:p w:rsidR="004230CA" w:rsidRDefault="00CB6796" w:rsidP="00EE5266">
      <w:pPr>
        <w:pStyle w:val="Body"/>
        <w:numPr>
          <w:ilvl w:val="1"/>
          <w:numId w:val="11"/>
        </w:numPr>
        <w:spacing w:line="240" w:lineRule="auto"/>
        <w:rPr>
          <w:lang w:val="en-US"/>
        </w:rPr>
      </w:pPr>
      <w:r>
        <w:rPr>
          <w:lang w:val="en-US"/>
        </w:rPr>
        <w:t>literature as soul-food</w:t>
      </w:r>
    </w:p>
    <w:p w:rsidR="004230CA" w:rsidRDefault="00CB6796" w:rsidP="00EE5266">
      <w:pPr>
        <w:pStyle w:val="Body"/>
        <w:numPr>
          <w:ilvl w:val="1"/>
          <w:numId w:val="11"/>
        </w:numPr>
        <w:spacing w:line="240" w:lineRule="auto"/>
        <w:rPr>
          <w:lang w:val="en-US"/>
        </w:rPr>
      </w:pPr>
      <w:r>
        <w:rPr>
          <w:lang w:val="en-US"/>
        </w:rPr>
        <w:t>“hungry for more” (is the body reading?)</w:t>
      </w:r>
    </w:p>
    <w:p w:rsidR="00CB6796" w:rsidRDefault="00CB6796" w:rsidP="00EE5266">
      <w:pPr>
        <w:pStyle w:val="Body"/>
        <w:numPr>
          <w:ilvl w:val="1"/>
          <w:numId w:val="11"/>
        </w:numPr>
        <w:spacing w:line="240" w:lineRule="auto"/>
        <w:rPr>
          <w:lang w:val="en-US"/>
        </w:rPr>
      </w:pPr>
      <w:r>
        <w:rPr>
          <w:lang w:val="en-US"/>
        </w:rPr>
        <w:lastRenderedPageBreak/>
        <w:t>“openness” of a text, society</w:t>
      </w:r>
    </w:p>
    <w:p w:rsidR="00CB6796" w:rsidRDefault="00CB6796" w:rsidP="00EE5266">
      <w:pPr>
        <w:pStyle w:val="Body"/>
        <w:numPr>
          <w:ilvl w:val="1"/>
          <w:numId w:val="11"/>
        </w:numPr>
        <w:spacing w:line="240" w:lineRule="auto"/>
        <w:rPr>
          <w:lang w:val="en-US"/>
        </w:rPr>
      </w:pPr>
      <w:r>
        <w:rPr>
          <w:lang w:val="en-US"/>
        </w:rPr>
        <w:t>final recipe segment: text becomes real food</w:t>
      </w:r>
    </w:p>
    <w:p w:rsidR="00CB6796" w:rsidRDefault="00CB6796" w:rsidP="00EE5266">
      <w:pPr>
        <w:pStyle w:val="Body"/>
        <w:numPr>
          <w:ilvl w:val="1"/>
          <w:numId w:val="11"/>
        </w:numPr>
        <w:spacing w:line="240" w:lineRule="auto"/>
        <w:rPr>
          <w:lang w:val="en-US"/>
        </w:rPr>
      </w:pPr>
      <w:r>
        <w:rPr>
          <w:lang w:val="en-US"/>
        </w:rPr>
        <w:t>why “in medias res”? Evelyn’s mid-life crisis</w:t>
      </w:r>
    </w:p>
    <w:p w:rsidR="004230CA" w:rsidRDefault="002856F4" w:rsidP="00EE5266">
      <w:pPr>
        <w:pStyle w:val="Body"/>
        <w:numPr>
          <w:ilvl w:val="0"/>
          <w:numId w:val="11"/>
        </w:numPr>
        <w:rPr>
          <w:lang w:val="en-US"/>
        </w:rPr>
      </w:pPr>
      <w:r>
        <w:rPr>
          <w:lang w:val="en-US"/>
        </w:rPr>
        <w:t>double setting: Whistle Stop and Rose Terrace Nursing Home</w:t>
      </w:r>
    </w:p>
    <w:p w:rsidR="004230CA" w:rsidRDefault="002856F4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Women’s time (Julia </w:t>
      </w:r>
      <w:proofErr w:type="spellStart"/>
      <w:r>
        <w:rPr>
          <w:lang w:val="en-US"/>
        </w:rPr>
        <w:t>Kristeva</w:t>
      </w:r>
      <w:proofErr w:type="spellEnd"/>
      <w:r>
        <w:rPr>
          <w:lang w:val="en-US"/>
        </w:rPr>
        <w:t xml:space="preserve">): loop, psychological age, open-endedness (small news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the Crash, World Wars, KKK)</w:t>
      </w:r>
    </w:p>
    <w:p w:rsidR="002856F4" w:rsidRDefault="002856F4" w:rsidP="00EE5266">
      <w:pPr>
        <w:pStyle w:val="Body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Characters and plot:</w:t>
      </w:r>
    </w:p>
    <w:p w:rsidR="002856F4" w:rsidRDefault="002856F4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Evelyn Couch (Betty Friedan’s suburban </w:t>
      </w:r>
      <w:proofErr w:type="spellStart"/>
      <w:r>
        <w:rPr>
          <w:lang w:val="en-US"/>
        </w:rPr>
        <w:t>suburban</w:t>
      </w:r>
      <w:proofErr w:type="spellEnd"/>
      <w:r>
        <w:rPr>
          <w:lang w:val="en-US"/>
        </w:rPr>
        <w:t xml:space="preserve"> desperate housewife)</w:t>
      </w:r>
    </w:p>
    <w:p w:rsidR="002856F4" w:rsidRDefault="002856F4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Evelyn’s hypochondria and bulimia: gender-related?</w:t>
      </w:r>
    </w:p>
    <w:p w:rsidR="002856F4" w:rsidRDefault="002856F4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Ed Couch and Big Momma</w:t>
      </w:r>
    </w:p>
    <w:p w:rsidR="002856F4" w:rsidRDefault="002856F4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Ninny </w:t>
      </w:r>
      <w:proofErr w:type="spellStart"/>
      <w:r>
        <w:rPr>
          <w:lang w:val="en-US"/>
        </w:rPr>
        <w:t>Threadgoode</w:t>
      </w:r>
      <w:proofErr w:type="spellEnd"/>
      <w:r>
        <w:rPr>
          <w:lang w:val="en-US"/>
        </w:rPr>
        <w:t xml:space="preserve"> (senile old biddy or lively “priceless</w:t>
      </w:r>
      <w:r w:rsidR="00DC0413">
        <w:rPr>
          <w:lang w:val="en-US"/>
        </w:rPr>
        <w:t xml:space="preserve"> antique”?)</w:t>
      </w:r>
    </w:p>
    <w:p w:rsidR="00DC0413" w:rsidRDefault="00DC0413" w:rsidP="00EE526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candy and conversation (evolution from junk to treat)</w:t>
      </w:r>
    </w:p>
    <w:p w:rsidR="002856F4" w:rsidRDefault="002856F4" w:rsidP="002856F4">
      <w:pPr>
        <w:pStyle w:val="Body"/>
        <w:spacing w:line="240" w:lineRule="auto"/>
        <w:ind w:left="690"/>
        <w:rPr>
          <w:lang w:val="en-US"/>
        </w:rPr>
      </w:pPr>
    </w:p>
    <w:p w:rsidR="002856F4" w:rsidRDefault="002856F4" w:rsidP="002856F4">
      <w:pPr>
        <w:pStyle w:val="Body"/>
        <w:spacing w:line="240" w:lineRule="auto"/>
        <w:ind w:left="1410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lastRenderedPageBreak/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4A3418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A3418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117BDE">
        <w:rPr>
          <w:rFonts w:eastAsia="Arial Unicode MS" w:hAnsi="Arial Unicode MS" w:cs="Arial Unicode MS"/>
        </w:rPr>
        <w:t>.0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Εθνικόν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Καποδιστριακόν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 w:rsidRPr="004A3418">
        <w:rPr>
          <w:rFonts w:ascii="Arial Unicode MS" w:eastAsia="Arial Unicode MS" w:cs="Arial Unicode MS"/>
          <w:u w:color="FF0000"/>
          <w:lang w:val="en-US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 w:rsidRPr="004A3418">
        <w:rPr>
          <w:rFonts w:eastAsia="Arial Unicode MS" w:hAnsi="Arial Unicode MS" w:cs="Arial Unicode MS"/>
          <w:u w:color="FF0000"/>
          <w:lang w:val="en-US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4A3418">
        <w:rPr>
          <w:rFonts w:eastAsia="Arial Unicode MS" w:hAnsi="Arial Unicode MS" w:cs="Arial Unicode MS"/>
          <w:u w:color="FF0000"/>
          <w:lang w:val="en-US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117BDE">
        <w:rPr>
          <w:rFonts w:eastAsia="Arial Unicode MS" w:hAnsi="Arial Unicode MS" w:cs="Arial Unicode MS"/>
          <w:u w:color="FF0000"/>
          <w:lang w:val="en-US"/>
        </w:rPr>
        <w:t xml:space="preserve">, </w:t>
      </w:r>
      <w:r w:rsidR="00117BDE">
        <w:rPr>
          <w:rFonts w:eastAsia="Arial Unicode MS" w:hAnsi="Arial Unicode MS" w:cs="Arial Unicode MS"/>
          <w:lang w:val="en-US"/>
        </w:rPr>
        <w:t>Body Vs Self: Gender</w:t>
      </w:r>
      <w:bookmarkStart w:id="3" w:name="_GoBack"/>
      <w:bookmarkEnd w:id="3"/>
      <w:r>
        <w:rPr>
          <w:rFonts w:ascii="Arial Unicode MS" w:eastAsia="Arial Unicode MS" w:cs="Arial Unicode MS"/>
          <w:lang w:val="fr-FR"/>
        </w:rPr>
        <w:t>»</w:t>
      </w:r>
      <w:r w:rsidRPr="004A3418">
        <w:rPr>
          <w:rFonts w:eastAsia="Arial Unicode MS" w:hAnsi="Arial Unicode MS" w:cs="Arial Unicode MS"/>
          <w:lang w:val="en-U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 w:rsidRPr="004A3418">
        <w:rPr>
          <w:rFonts w:eastAsia="Arial Unicode MS" w:hAnsi="Arial Unicode MS" w:cs="Arial Unicode MS"/>
          <w:lang w:val="en-U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 w:rsidRPr="004A3418">
        <w:rPr>
          <w:rFonts w:ascii="Arial Unicode MS" w:eastAsia="Arial Unicode MS" w:cs="Arial Unicode MS"/>
          <w:lang w:val="en-US"/>
        </w:rPr>
        <w:t xml:space="preserve"> </w:t>
      </w:r>
      <w:r w:rsidRPr="004A3418">
        <w:rPr>
          <w:rFonts w:eastAsia="Arial Unicode MS" w:hAnsi="Arial Unicode MS" w:cs="Arial Unicode MS"/>
          <w:lang w:val="en-U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hyperlink r:id="rId12" w:history="1">
        <w:r w:rsidR="00117BDE" w:rsidRPr="00055452">
          <w:rPr>
            <w:rStyle w:val="-"/>
          </w:rPr>
          <w:t>http:/</w:t>
        </w:r>
        <w:r w:rsidR="00117BDE">
          <w:rPr>
            <w:rStyle w:val="-"/>
          </w:rPr>
          <w:t>/opencourses.uoa.gr/courses/ENL2</w:t>
        </w:r>
        <w:r w:rsidR="00117BDE" w:rsidRPr="00055452">
          <w:rPr>
            <w:rStyle w:val="-"/>
          </w:rPr>
          <w:t>/</w:t>
        </w:r>
      </w:hyperlink>
      <w:r w:rsidR="00117BDE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proofErr w:type="spellStart"/>
      <w:r>
        <w:rPr>
          <w:rFonts w:eastAsia="Arial Unicode MS" w:hAnsi="Arial Unicode MS" w:cs="Arial Unicode MS"/>
          <w:lang w:val="en-US"/>
        </w:rPr>
        <w:t>creativecommons</w:t>
      </w:r>
      <w:proofErr w:type="spellEnd"/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nc</w:t>
      </w:r>
      <w:proofErr w:type="spellEnd"/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sa</w:t>
      </w:r>
      <w:proofErr w:type="spellEnd"/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Default="00D74A87" w:rsidP="00EE5266">
      <w:pPr>
        <w:pStyle w:val="a4"/>
        <w:numPr>
          <w:ilvl w:val="0"/>
          <w:numId w:val="11"/>
        </w:numPr>
      </w:pPr>
      <w:r>
        <w:t>που</w:t>
      </w:r>
      <w:r>
        <w:t xml:space="preserve"> </w:t>
      </w:r>
      <w:r>
        <w:t>δεν</w:t>
      </w:r>
      <w:r>
        <w:t xml:space="preserve"> </w:t>
      </w:r>
      <w:r>
        <w:t>περιλαμβάνει</w:t>
      </w:r>
      <w:r>
        <w:t xml:space="preserve"> </w:t>
      </w:r>
      <w:r>
        <w:t>άμεσο</w:t>
      </w:r>
      <w:r>
        <w:t xml:space="preserve"> </w:t>
      </w:r>
      <w:r>
        <w:t>ή</w:t>
      </w:r>
      <w:r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χρήση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rPr>
          <w:rFonts w:ascii="Arial"/>
        </w:rPr>
        <w:t xml:space="preserve">,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>
        <w:t xml:space="preserve"> </w:t>
      </w:r>
      <w:r>
        <w:t>αδειοδόχο</w:t>
      </w:r>
    </w:p>
    <w:p w:rsidR="004230CA" w:rsidRDefault="00D74A87" w:rsidP="00EE5266">
      <w:pPr>
        <w:pStyle w:val="a4"/>
        <w:numPr>
          <w:ilvl w:val="0"/>
          <w:numId w:val="11"/>
        </w:numPr>
      </w:pPr>
      <w:r>
        <w:t>που δεν</w:t>
      </w:r>
      <w:r>
        <w:t xml:space="preserve"> </w:t>
      </w:r>
      <w:r>
        <w:t>περιλαμβάνει</w:t>
      </w:r>
      <w:r>
        <w:t xml:space="preserve"> </w:t>
      </w:r>
      <w:r>
        <w:t>οικονομική</w:t>
      </w:r>
      <w:r>
        <w:t xml:space="preserve"> </w:t>
      </w:r>
      <w:r>
        <w:t>συναλλαγή</w:t>
      </w:r>
      <w:r>
        <w:t xml:space="preserve"> </w:t>
      </w:r>
      <w:r>
        <w:t>ως</w:t>
      </w:r>
      <w:r>
        <w:t xml:space="preserve"> </w:t>
      </w:r>
      <w:r>
        <w:t>προϋπόθεση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ή</w:t>
      </w:r>
      <w:r>
        <w:t xml:space="preserve"> </w:t>
      </w:r>
      <w:r>
        <w:t>πρόσβαση</w:t>
      </w:r>
      <w:r>
        <w:t xml:space="preserve"> </w:t>
      </w:r>
      <w:r>
        <w:t>στο</w:t>
      </w:r>
      <w:r>
        <w:t xml:space="preserve"> </w:t>
      </w:r>
      <w:r>
        <w:t>έργο</w:t>
      </w:r>
    </w:p>
    <w:p w:rsidR="004230CA" w:rsidRDefault="00D74A87" w:rsidP="00EE5266">
      <w:pPr>
        <w:pStyle w:val="a4"/>
        <w:numPr>
          <w:ilvl w:val="0"/>
          <w:numId w:val="11"/>
        </w:numPr>
      </w:pPr>
      <w:r>
        <w:t>που δεν</w:t>
      </w:r>
      <w:r>
        <w:t xml:space="preserve"> </w:t>
      </w:r>
      <w:r>
        <w:t>προσπορίζει</w:t>
      </w:r>
      <w:r>
        <w:t xml:space="preserve"> </w:t>
      </w:r>
      <w:r>
        <w:t>στο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 w:rsidR="00450D0F" w:rsidRPr="00450D0F">
        <w:t xml:space="preserve"> </w:t>
      </w:r>
      <w:r>
        <w:t>αδειοδόχο</w:t>
      </w:r>
      <w:r w:rsidR="00450D0F" w:rsidRPr="00450D0F"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rPr>
          <w:rFonts w:ascii="Arial"/>
        </w:rPr>
        <w:t>(</w:t>
      </w:r>
      <w:r>
        <w:t>π</w:t>
      </w:r>
      <w:r>
        <w:rPr>
          <w:rFonts w:ascii="Arial"/>
        </w:rPr>
        <w:t>.</w:t>
      </w:r>
      <w:r>
        <w:t>χ</w:t>
      </w:r>
      <w:r>
        <w:rPr>
          <w:rFonts w:ascii="Arial"/>
        </w:rPr>
        <w:t xml:space="preserve">. </w:t>
      </w:r>
      <w:r>
        <w:t>διαφημίσεις</w:t>
      </w:r>
      <w:r>
        <w:rPr>
          <w:rFonts w:ascii="Arial"/>
        </w:rPr>
        <w:t xml:space="preserve">)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προβολή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σε</w:t>
      </w:r>
      <w:r>
        <w:t xml:space="preserve"> </w:t>
      </w:r>
      <w:r>
        <w:t>διαδικτυακό</w:t>
      </w:r>
      <w:r>
        <w:t xml:space="preserve"> </w:t>
      </w:r>
      <w:r>
        <w:t>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Default="00D74A87" w:rsidP="00EE5266">
      <w:pPr>
        <w:pStyle w:val="a4"/>
        <w:numPr>
          <w:ilvl w:val="0"/>
          <w:numId w:val="12"/>
        </w:numPr>
        <w:spacing w:after="120" w:line="240" w:lineRule="auto"/>
        <w:ind w:left="1077" w:hanging="357"/>
      </w:pPr>
      <w:r>
        <w:lastRenderedPageBreak/>
        <w:t>Οποιαδήποτε</w:t>
      </w:r>
      <w:r>
        <w:t xml:space="preserve"> </w:t>
      </w:r>
      <w:r>
        <w:t>αναπαραγωγή</w:t>
      </w:r>
      <w:r>
        <w:t xml:space="preserve"> </w:t>
      </w:r>
      <w:r>
        <w:t>ή</w:t>
      </w:r>
      <w:r>
        <w:t xml:space="preserve"> </w:t>
      </w:r>
      <w:r>
        <w:t>διασκευή</w:t>
      </w:r>
      <w:r>
        <w:t xml:space="preserve"> </w:t>
      </w:r>
      <w:r>
        <w:t>του</w:t>
      </w:r>
      <w:r>
        <w:t xml:space="preserve"> </w:t>
      </w:r>
      <w:r>
        <w:t>υλικού</w:t>
      </w:r>
      <w:r>
        <w:t xml:space="preserve"> </w:t>
      </w:r>
      <w:r>
        <w:t>θα</w:t>
      </w:r>
      <w:r>
        <w:t xml:space="preserve"> </w:t>
      </w:r>
      <w:r>
        <w:t>πρέπει</w:t>
      </w:r>
      <w:r>
        <w:t xml:space="preserve"> </w:t>
      </w:r>
      <w:r>
        <w:t>να</w:t>
      </w:r>
      <w:r>
        <w:t xml:space="preserve"> </w:t>
      </w:r>
      <w:r>
        <w:t>συμπεριλαμβάνει</w:t>
      </w:r>
      <w:r>
        <w:rPr>
          <w:rFonts w:ascii="Arial"/>
        </w:rPr>
        <w:t>:</w:t>
      </w:r>
    </w:p>
    <w:p w:rsidR="004230CA" w:rsidRDefault="00D74A87" w:rsidP="00EE5266">
      <w:pPr>
        <w:pStyle w:val="a4"/>
        <w:numPr>
          <w:ilvl w:val="0"/>
          <w:numId w:val="12"/>
        </w:numPr>
        <w:spacing w:after="120" w:line="240" w:lineRule="auto"/>
        <w:ind w:left="1077" w:hanging="357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Αναφοράς</w:t>
      </w:r>
    </w:p>
    <w:p w:rsidR="004230CA" w:rsidRDefault="00D74A87" w:rsidP="00EE5266">
      <w:pPr>
        <w:pStyle w:val="a4"/>
        <w:numPr>
          <w:ilvl w:val="0"/>
          <w:numId w:val="12"/>
        </w:numPr>
        <w:spacing w:after="120" w:line="240" w:lineRule="auto"/>
        <w:ind w:left="1077" w:hanging="357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Αδειοδότησης</w:t>
      </w:r>
    </w:p>
    <w:p w:rsidR="004230CA" w:rsidRDefault="00D74A87" w:rsidP="00EE5266">
      <w:pPr>
        <w:pStyle w:val="a4"/>
        <w:numPr>
          <w:ilvl w:val="0"/>
          <w:numId w:val="12"/>
        </w:numPr>
        <w:spacing w:after="120" w:line="240" w:lineRule="auto"/>
        <w:ind w:left="1077" w:hanging="357"/>
        <w:rPr>
          <w:lang w:val="en-US"/>
        </w:rPr>
      </w:pPr>
      <w:r>
        <w:t>τη</w:t>
      </w:r>
      <w:r>
        <w:t xml:space="preserve"> </w:t>
      </w:r>
      <w:r>
        <w:t>δήλωση</w:t>
      </w:r>
      <w:r>
        <w:t xml:space="preserve"> </w:t>
      </w:r>
      <w:r>
        <w:t>Διατήρησης</w:t>
      </w:r>
      <w:r>
        <w:t xml:space="preserve"> </w:t>
      </w:r>
      <w:r>
        <w:t>Σημειωμάτων</w:t>
      </w:r>
      <w:r>
        <w:rPr>
          <w:rFonts w:ascii="Arial"/>
          <w:lang w:val="en-US"/>
        </w:rPr>
        <w:t xml:space="preserve"> </w:t>
      </w:r>
    </w:p>
    <w:p w:rsidR="004230CA" w:rsidRDefault="00D74A87" w:rsidP="00EE5266">
      <w:pPr>
        <w:pStyle w:val="a4"/>
        <w:numPr>
          <w:ilvl w:val="0"/>
          <w:numId w:val="12"/>
        </w:numPr>
        <w:spacing w:after="120" w:line="240" w:lineRule="auto"/>
        <w:ind w:left="1077" w:hanging="357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Χρήσης</w:t>
      </w:r>
      <w:r>
        <w:t xml:space="preserve"> </w:t>
      </w:r>
      <w:r>
        <w:t>Έργων</w:t>
      </w:r>
      <w:r>
        <w:t xml:space="preserve"> </w:t>
      </w:r>
      <w:r>
        <w:t>Τρίτων</w:t>
      </w:r>
      <w:r>
        <w:t xml:space="preserve"> </w:t>
      </w:r>
      <w:r>
        <w:rPr>
          <w:rFonts w:ascii="Arial"/>
        </w:rPr>
        <w:t>(</w:t>
      </w:r>
      <w:r>
        <w:t>εφόσον</w:t>
      </w:r>
      <w:r>
        <w:t xml:space="preserve"> </w:t>
      </w:r>
      <w:r>
        <w:t>υπάρχει</w:t>
      </w:r>
      <w:r>
        <w:rPr>
          <w:rFonts w:ascii="Arial"/>
        </w:rPr>
        <w:t>)</w:t>
      </w:r>
    </w:p>
    <w:p w:rsidR="004230CA" w:rsidRPr="004A3418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υπερσυνδέσμους</w:t>
      </w:r>
      <w:proofErr w:type="spellEnd"/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  <w:jc w:val="center"/>
        <w:rPr>
          <w:lang w:val="en-US"/>
        </w:rPr>
      </w:pPr>
    </w:p>
    <w:p w:rsidR="004A3418" w:rsidRPr="004A3418" w:rsidRDefault="004A3418">
      <w:pPr>
        <w:pStyle w:val="Body"/>
        <w:jc w:val="center"/>
        <w:rPr>
          <w:lang w:val="en-US"/>
        </w:r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proofErr w:type="spellStart"/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  <w:proofErr w:type="spellEnd"/>
    </w:p>
    <w:p w:rsidR="004230CA" w:rsidRDefault="004230CA">
      <w:pPr>
        <w:pStyle w:val="Body"/>
      </w:pPr>
    </w:p>
    <w:p w:rsidR="004230CA" w:rsidRDefault="00D74A87" w:rsidP="00EE5266">
      <w:pPr>
        <w:pStyle w:val="Body"/>
        <w:numPr>
          <w:ilvl w:val="0"/>
          <w:numId w:val="7"/>
        </w:numPr>
        <w:tabs>
          <w:tab w:val="num" w:pos="720"/>
        </w:tabs>
        <w:ind w:left="720" w:hanging="360"/>
      </w:pPr>
      <w:r>
        <w:t xml:space="preserve">Το παρόν εκπαιδευτικό υλικό έχει αναπτυχθεί </w:t>
      </w:r>
      <w:r w:rsidR="00450D0F">
        <w:t>στο</w:t>
      </w:r>
      <w:r>
        <w:t xml:space="preserve"> </w:t>
      </w:r>
      <w:r w:rsidR="00450D0F">
        <w:t>πλαίσιο</w:t>
      </w:r>
      <w:r>
        <w:t xml:space="preserve"> του εκπαιδευτικού έργου του διδάσκοντα.</w:t>
      </w:r>
    </w:p>
    <w:p w:rsidR="004230CA" w:rsidRDefault="00D74A87" w:rsidP="00EE5266">
      <w:pPr>
        <w:pStyle w:val="Body"/>
        <w:numPr>
          <w:ilvl w:val="0"/>
          <w:numId w:val="8"/>
        </w:numPr>
        <w:tabs>
          <w:tab w:val="num" w:pos="720"/>
        </w:tabs>
        <w:ind w:left="720" w:hanging="360"/>
      </w:pPr>
      <w:r>
        <w:t>Το έργο «</w:t>
      </w:r>
      <w:r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EE5266">
      <w:pPr>
        <w:pStyle w:val="Body"/>
        <w:numPr>
          <w:ilvl w:val="0"/>
          <w:numId w:val="9"/>
        </w:numPr>
        <w:tabs>
          <w:tab w:val="num" w:pos="720"/>
        </w:tabs>
        <w:ind w:left="720" w:hanging="360"/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5477D7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9E" w:rsidRDefault="0092749E">
      <w:r>
        <w:separator/>
      </w:r>
    </w:p>
  </w:endnote>
  <w:endnote w:type="continuationSeparator" w:id="0">
    <w:p w:rsidR="0092749E" w:rsidRDefault="0092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F4" w:rsidRDefault="002856F4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722272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22272">
      <w:rPr>
        <w:sz w:val="20"/>
        <w:szCs w:val="20"/>
      </w:rPr>
      <w:fldChar w:fldCharType="separate"/>
    </w:r>
    <w:r w:rsidR="006A5397">
      <w:rPr>
        <w:noProof/>
        <w:sz w:val="20"/>
        <w:szCs w:val="20"/>
      </w:rPr>
      <w:t>6</w:t>
    </w:r>
    <w:r w:rsidR="00722272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F4" w:rsidRDefault="002856F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9E" w:rsidRDefault="0092749E">
      <w:r>
        <w:separator/>
      </w:r>
    </w:p>
  </w:footnote>
  <w:footnote w:type="continuationSeparator" w:id="0">
    <w:p w:rsidR="0092749E" w:rsidRDefault="0092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F4" w:rsidRDefault="002856F4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F4" w:rsidRDefault="002856F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D50"/>
    <w:multiLevelType w:val="hybridMultilevel"/>
    <w:tmpl w:val="3BA20F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3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4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5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7">
    <w:nsid w:val="47F66E8E"/>
    <w:multiLevelType w:val="hybridMultilevel"/>
    <w:tmpl w:val="04628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95674"/>
    <w:multiLevelType w:val="multilevel"/>
    <w:tmpl w:val="C85E477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9">
    <w:nsid w:val="5C9A525A"/>
    <w:multiLevelType w:val="hybridMultilevel"/>
    <w:tmpl w:val="D6DE9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11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117BDE"/>
    <w:rsid w:val="00213F0E"/>
    <w:rsid w:val="00245AC2"/>
    <w:rsid w:val="00266B7E"/>
    <w:rsid w:val="002856F4"/>
    <w:rsid w:val="003F1EF0"/>
    <w:rsid w:val="004230CA"/>
    <w:rsid w:val="00450D0F"/>
    <w:rsid w:val="004A3418"/>
    <w:rsid w:val="005477D7"/>
    <w:rsid w:val="006A5397"/>
    <w:rsid w:val="00722272"/>
    <w:rsid w:val="0092749E"/>
    <w:rsid w:val="00A52B0C"/>
    <w:rsid w:val="00B13890"/>
    <w:rsid w:val="00BC3069"/>
    <w:rsid w:val="00CB6796"/>
    <w:rsid w:val="00D74A87"/>
    <w:rsid w:val="00DC0413"/>
    <w:rsid w:val="00EE5266"/>
    <w:rsid w:val="00F3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7D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477D7"/>
    <w:rPr>
      <w:u w:val="single"/>
    </w:rPr>
  </w:style>
  <w:style w:type="paragraph" w:customStyle="1" w:styleId="HeaderFooter">
    <w:name w:val="Header &amp; Footer"/>
    <w:rsid w:val="005477D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rsid w:val="005477D7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5477D7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">
    <w:name w:val="toc 1"/>
    <w:uiPriority w:val="39"/>
    <w:rsid w:val="005477D7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5477D7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5477D7"/>
    <w:pPr>
      <w:numPr>
        <w:numId w:val="1"/>
      </w:numPr>
    </w:pPr>
  </w:style>
  <w:style w:type="numbering" w:customStyle="1" w:styleId="Bullet">
    <w:name w:val="Bullet"/>
    <w:rsid w:val="005477D7"/>
    <w:pPr>
      <w:numPr>
        <w:numId w:val="2"/>
      </w:numPr>
    </w:pPr>
  </w:style>
  <w:style w:type="numbering" w:customStyle="1" w:styleId="BulletBig">
    <w:name w:val="Bullet Big"/>
    <w:rsid w:val="005477D7"/>
    <w:pPr>
      <w:numPr>
        <w:numId w:val="3"/>
      </w:numPr>
    </w:pPr>
  </w:style>
  <w:style w:type="numbering" w:customStyle="1" w:styleId="ImportedStyle2">
    <w:name w:val="Imported Style 2"/>
    <w:rsid w:val="005477D7"/>
    <w:pPr>
      <w:numPr>
        <w:numId w:val="5"/>
      </w:numPr>
    </w:pPr>
  </w:style>
  <w:style w:type="paragraph" w:styleId="a4">
    <w:name w:val="List Paragraph"/>
    <w:rsid w:val="005477D7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5477D7"/>
    <w:pPr>
      <w:numPr>
        <w:numId w:val="6"/>
      </w:numPr>
    </w:pPr>
  </w:style>
  <w:style w:type="numbering" w:customStyle="1" w:styleId="List1">
    <w:name w:val="List 1"/>
    <w:basedOn w:val="ImportedStyle4"/>
    <w:rsid w:val="005477D7"/>
    <w:pPr>
      <w:numPr>
        <w:numId w:val="9"/>
      </w:numPr>
    </w:pPr>
  </w:style>
  <w:style w:type="numbering" w:customStyle="1" w:styleId="ImportedStyle4">
    <w:name w:val="Imported Style 4"/>
    <w:rsid w:val="005477D7"/>
  </w:style>
  <w:style w:type="paragraph" w:styleId="a5">
    <w:name w:val="Balloon Text"/>
    <w:basedOn w:val="a"/>
    <w:link w:val="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Bullet">
    <w:name w:val="Bullet"/>
    <w:pPr>
      <w:numPr>
        <w:numId w:val="15"/>
      </w:numPr>
    </w:pPr>
  </w:style>
  <w:style w:type="numbering" w:customStyle="1" w:styleId="BulletBig">
    <w:name w:val="Bullet Big"/>
    <w:pPr>
      <w:numPr>
        <w:numId w:val="22"/>
      </w:numPr>
    </w:pPr>
  </w:style>
  <w:style w:type="numbering" w:customStyle="1" w:styleId="ImportedStyle2">
    <w:name w:val="Imported Style 2"/>
    <w:pPr>
      <w:numPr>
        <w:numId w:val="3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44"/>
      </w:numPr>
    </w:pPr>
  </w:style>
  <w:style w:type="numbering" w:customStyle="1" w:styleId="List1">
    <w:name w:val="List 1"/>
    <w:basedOn w:val="ImportedStyle4"/>
    <w:pPr>
      <w:numPr>
        <w:numId w:val="49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pencourses.uoa.gr/courses/ENL1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12</cp:revision>
  <dcterms:created xsi:type="dcterms:W3CDTF">2015-01-14T11:36:00Z</dcterms:created>
  <dcterms:modified xsi:type="dcterms:W3CDTF">2015-04-12T19:19:00Z</dcterms:modified>
</cp:coreProperties>
</file>