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3C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rFonts w:hint="default" w:ascii="Cambria" w:hAnsi="Cambria" w:cs="Cambria"/>
          <w:i w:val="0"/>
          <w:iCs w:val="0"/>
          <w:color w:val="auto"/>
          <w:sz w:val="24"/>
          <w:szCs w:val="24"/>
        </w:rPr>
      </w:pPr>
      <w:r>
        <w:rPr>
          <w:rFonts w:hint="default" w:ascii="Cambria" w:hAnsi="Cambria" w:eastAsia="Cambria-Bold" w:cs="Cambria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"/>
        </w:rPr>
        <w:t>THE POSTGRADUATE ESSAY</w:t>
      </w:r>
    </w:p>
    <w:p w14:paraId="4327234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  <w:lang w:val="en-US"/>
        </w:rPr>
        <w:t xml:space="preserve">Some </w:t>
      </w:r>
      <w:r>
        <w:rPr>
          <w:rFonts w:hint="default" w:ascii="Cambria" w:hAnsi="Cambria" w:cs="Cambria"/>
          <w:color w:val="auto"/>
          <w:sz w:val="24"/>
          <w:szCs w:val="24"/>
        </w:rPr>
        <w:t>Guidelines for Academic Writing</w:t>
      </w:r>
    </w:p>
    <w:p w14:paraId="6A13B833">
      <w:pPr>
        <w:pStyle w:val="3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A. General Instructions</w:t>
      </w:r>
    </w:p>
    <w:p w14:paraId="4B5B82FA">
      <w:pPr>
        <w:pStyle w:val="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1. Students must:</w:t>
      </w:r>
    </w:p>
    <w:p w14:paraId="38772780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Work independently on the subject.</w:t>
      </w:r>
    </w:p>
    <w:p w14:paraId="66B22982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Apply the specific methods and approaches of their scientific field.</w:t>
      </w:r>
    </w:p>
    <w:p w14:paraId="50C48CC4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Locate and use productively the necessary bibliography.</w:t>
      </w:r>
    </w:p>
    <w:p w14:paraId="1441813A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Structure the content appropriately.</w:t>
      </w:r>
    </w:p>
    <w:p w14:paraId="6225B5E5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Limit the text to the necessary extent.</w:t>
      </w:r>
    </w:p>
    <w:p w14:paraId="4E626C92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Write linguistically correct text.</w:t>
      </w:r>
    </w:p>
    <w:p w14:paraId="64F80FE2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Present conclusions in a meaningful and clear manner.</w:t>
      </w:r>
    </w:p>
    <w:p w14:paraId="6AB65516">
      <w:pPr>
        <w:pStyle w:val="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2. Style</w:t>
      </w:r>
    </w:p>
    <w:p w14:paraId="70195CC0">
      <w:pPr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Style is not solely the author’s free choice but is subject to academic rules:</w:t>
      </w:r>
    </w:p>
    <w:p w14:paraId="2DB5C374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Accuracy and objectivity.</w:t>
      </w:r>
    </w:p>
    <w:p w14:paraId="662A8FD6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Simplicity and austerity.</w:t>
      </w:r>
    </w:p>
    <w:p w14:paraId="2151DECC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Arguments rather than rhetoric; proofs rather than bombast.</w:t>
      </w:r>
    </w:p>
    <w:p w14:paraId="4A6863DB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Avoid ornamentation, stereotypes, and commonplaces.</w:t>
      </w:r>
    </w:p>
    <w:p w14:paraId="4A1ECEFE">
      <w:pPr>
        <w:pStyle w:val="3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B. Preparation</w:t>
      </w:r>
    </w:p>
    <w:p w14:paraId="4B9B8437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Create a basic structure/diagram of your paper.</w:t>
      </w:r>
    </w:p>
    <w:p w14:paraId="4F6A375F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Compose an initial layout early; expect modifications during writing.</w:t>
      </w:r>
    </w:p>
    <w:p w14:paraId="6467F096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The final layout should appear in the Table of Contents.</w:t>
      </w:r>
    </w:p>
    <w:p w14:paraId="6915B2AE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Begin writing early, even if bibliography collection is incomplete.</w:t>
      </w:r>
    </w:p>
    <w:p w14:paraId="2F446FF0">
      <w:pPr>
        <w:pStyle w:val="3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C. Writing</w:t>
      </w:r>
    </w:p>
    <w:p w14:paraId="07B339B2">
      <w:pPr>
        <w:pStyle w:val="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1. General Writing Principles</w:t>
      </w:r>
    </w:p>
    <w:p w14:paraId="274081E5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Ensure flow and unity in your writing; connect ideas smoothly.</w:t>
      </w:r>
    </w:p>
    <w:p w14:paraId="31683C84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Maintain internal unity: beginning, middle, and end linked to the main purpose.</w:t>
      </w:r>
    </w:p>
    <w:p w14:paraId="3FC1CE0D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Do not write anything you have not fully understood.</w:t>
      </w:r>
    </w:p>
    <w:p w14:paraId="65424BFA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Use the polytonic system (e.g., Palatino Linotype) for ancient Greek words and titles.</w:t>
      </w:r>
    </w:p>
    <w:p w14:paraId="04751C62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Ensure each sentence supports the overall argument.</w:t>
      </w:r>
    </w:p>
    <w:p w14:paraId="0268F9AE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Check that each chapter relates logically to the main purpose.</w:t>
      </w:r>
    </w:p>
    <w:p w14:paraId="17638CD9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Re-read your text from the reader’s perspective for clarity.</w:t>
      </w:r>
    </w:p>
    <w:p w14:paraId="3416E4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mbria" w:hAnsi="Cambria" w:cs="Cambria"/>
          <w:b/>
          <w:bCs/>
          <w:sz w:val="22"/>
          <w:szCs w:val="22"/>
        </w:rPr>
      </w:pPr>
      <w:r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Suggestion: Print your final text to make a last check: theoverall image may </w:t>
      </w:r>
    </w:p>
    <w:p w14:paraId="5E3AA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  <w:t>not be ‘visible’ on the computer screen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.</w:t>
      </w:r>
    </w:p>
    <w:p w14:paraId="564C6C76">
      <w:pPr>
        <w:pStyle w:val="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2. Citations and References</w:t>
      </w:r>
    </w:p>
    <w:p w14:paraId="16365527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Scientific work is based on arguments and engagement with previous research.</w:t>
      </w:r>
    </w:p>
    <w:p w14:paraId="55635AD7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Cite others for documentation and academic integrity.</w:t>
      </w:r>
    </w:p>
    <w:p w14:paraId="068FB30C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Integrate bibliography effectively into your reasoning.</w:t>
      </w:r>
    </w:p>
    <w:p w14:paraId="35C717A4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Avoid excessive quotations.</w:t>
      </w:r>
    </w:p>
    <w:p w14:paraId="06C55B25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Quoting methods: direct quotation, paraphrase, summary.</w:t>
      </w:r>
    </w:p>
    <w:p w14:paraId="48C8BD8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Use footnotes (recommended</w:t>
      </w:r>
      <w:r>
        <w:rPr>
          <w:rFonts w:hint="default" w:ascii="Cambria" w:hAnsi="Cambria" w:cs="Cambria"/>
          <w:i/>
          <w:iCs/>
          <w:sz w:val="24"/>
          <w:szCs w:val="24"/>
        </w:rPr>
        <w:t xml:space="preserve">: AJA </w:t>
      </w:r>
      <w:r>
        <w:rPr>
          <w:rFonts w:hint="default" w:ascii="Cambria" w:hAnsi="Cambria" w:cs="Cambria"/>
          <w:sz w:val="24"/>
          <w:szCs w:val="24"/>
        </w:rPr>
        <w:t>system)</w:t>
      </w:r>
      <w:r>
        <w:rPr>
          <w:rFonts w:hint="default" w:ascii="Cambria" w:hAnsi="Cambria" w:cs="Cambria"/>
          <w:sz w:val="24"/>
          <w:szCs w:val="24"/>
          <w:lang w:val="en-US"/>
        </w:rPr>
        <w:t xml:space="preserve"> = </w:t>
      </w:r>
      <w:r>
        <w:rPr>
          <w:rFonts w:hint="default" w:ascii="Cambria" w:hAnsi="Cambria" w:eastAsia="Calibri" w:cs="Cambria"/>
          <w:kern w:val="0"/>
          <w:sz w:val="24"/>
          <w:szCs w:val="24"/>
          <w:lang w:val="el" w:eastAsia="zh-CN" w:bidi="ar"/>
        </w:rPr>
        <w:t>https://ajaonline.org/submissions/abbreviations/</w:t>
      </w:r>
    </w:p>
    <w:p w14:paraId="77A4536A">
      <w:pPr>
        <w:pStyle w:val="24"/>
        <w:rPr>
          <w:rFonts w:hint="default" w:ascii="Cambria" w:hAnsi="Cambria" w:cs="Cambria"/>
          <w:sz w:val="24"/>
          <w:szCs w:val="24"/>
        </w:rPr>
      </w:pPr>
    </w:p>
    <w:p w14:paraId="673C1AFE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Always cite source: author, year, page (e.g., Taplin 2007, 231, p.23).</w:t>
      </w:r>
    </w:p>
    <w:p w14:paraId="644367BC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Ancient texts example: Homer, </w:t>
      </w:r>
      <w:r>
        <w:rPr>
          <w:rFonts w:hint="default" w:ascii="Cambria" w:hAnsi="Cambria" w:cs="Cambria"/>
          <w:i/>
          <w:iCs/>
          <w:sz w:val="24"/>
          <w:szCs w:val="24"/>
        </w:rPr>
        <w:t>Iliad</w:t>
      </w:r>
      <w:r>
        <w:rPr>
          <w:rFonts w:hint="default" w:ascii="Cambria" w:hAnsi="Cambria" w:cs="Cambria"/>
          <w:sz w:val="24"/>
          <w:szCs w:val="24"/>
        </w:rPr>
        <w:t xml:space="preserve"> 4, 543.</w:t>
      </w:r>
    </w:p>
    <w:p w14:paraId="08283F8A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List references in chronological order when grouped.</w:t>
      </w:r>
    </w:p>
    <w:p w14:paraId="73530A11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Do not overload footnotes with irrelevant information.</w:t>
      </w:r>
    </w:p>
    <w:p w14:paraId="24E9FB1D">
      <w:pPr>
        <w:pStyle w:val="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3. Plagiarism</w:t>
      </w:r>
    </w:p>
    <w:p w14:paraId="3E075D27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Using someone else’s work without proper citation constitutes plagiarism.</w:t>
      </w:r>
    </w:p>
    <w:p w14:paraId="0C3F882F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Bibliography listing alone is not sufficient.</w:t>
      </w:r>
    </w:p>
    <w:p w14:paraId="3BE853ED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Readers must clearly distinguish your ideas from borrowed material.</w:t>
      </w:r>
    </w:p>
    <w:p w14:paraId="271C83FB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Always record sources when taking notes.</w:t>
      </w:r>
    </w:p>
    <w:p w14:paraId="29D30117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Paraphrase carefully and use your own words.</w:t>
      </w:r>
    </w:p>
    <w:p w14:paraId="58919385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Place exact quotations within quotation marks.</w:t>
      </w:r>
    </w:p>
    <w:p w14:paraId="626171B9">
      <w:pPr>
        <w:pStyle w:val="24"/>
        <w:numPr>
          <w:ilvl w:val="0"/>
          <w:numId w:val="0"/>
        </w:numPr>
        <w:spacing w:after="200" w:line="276" w:lineRule="auto"/>
        <w:contextualSpacing/>
        <w:rPr>
          <w:rFonts w:hint="default" w:ascii="Cambria" w:hAnsi="Cambria" w:cs="Cambria"/>
          <w:sz w:val="24"/>
          <w:szCs w:val="24"/>
        </w:rPr>
      </w:pPr>
    </w:p>
    <w:p w14:paraId="42ABAFA5">
      <w:pPr>
        <w:pStyle w:val="24"/>
        <w:numPr>
          <w:ilvl w:val="0"/>
          <w:numId w:val="0"/>
        </w:numPr>
        <w:spacing w:after="200" w:line="276" w:lineRule="auto"/>
        <w:contextualSpacing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drawing>
          <wp:inline distT="0" distB="0" distL="114300" distR="114300">
            <wp:extent cx="5345430" cy="30632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A81AA">
      <w:pPr>
        <w:pStyle w:val="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4. Presentation and Bibliography</w:t>
      </w:r>
    </w:p>
    <w:p w14:paraId="4C5243E5">
      <w:pPr>
        <w:pStyle w:val="5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A. Cover Page</w:t>
      </w:r>
    </w:p>
    <w:p w14:paraId="03484244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Course title and semester/year.</w:t>
      </w:r>
    </w:p>
    <w:p w14:paraId="5609F59F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Author’s name.</w:t>
      </w:r>
    </w:p>
    <w:p w14:paraId="5AFC7473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Title and subtitle (if applicable).</w:t>
      </w:r>
    </w:p>
    <w:p w14:paraId="52D84956">
      <w:pPr>
        <w:pStyle w:val="5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B. Structure</w:t>
      </w:r>
    </w:p>
    <w:p w14:paraId="17D4FE22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Introduction.</w:t>
      </w:r>
    </w:p>
    <w:p w14:paraId="4B49B2AD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Chapters (with descriptive titles).</w:t>
      </w:r>
    </w:p>
    <w:p w14:paraId="0426E65E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Conclusions.</w:t>
      </w:r>
    </w:p>
    <w:p w14:paraId="72433A33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Bibliography.</w:t>
      </w:r>
    </w:p>
    <w:p w14:paraId="3D240D6F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Catalogue of Obj</w:t>
      </w:r>
      <w:bookmarkStart w:id="0" w:name="_GoBack"/>
      <w:bookmarkEnd w:id="0"/>
      <w:r>
        <w:rPr>
          <w:rFonts w:hint="default" w:ascii="Cambria" w:hAnsi="Cambria" w:cs="Cambria"/>
          <w:sz w:val="24"/>
          <w:szCs w:val="24"/>
        </w:rPr>
        <w:t>ects (if required).</w:t>
      </w:r>
    </w:p>
    <w:p w14:paraId="506DABD1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Catalogue of Ancient Texts (if required).</w:t>
      </w:r>
    </w:p>
    <w:p w14:paraId="080908C9">
      <w:pPr>
        <w:pStyle w:val="5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C. Common Errors and Omissions</w:t>
      </w:r>
    </w:p>
    <w:p w14:paraId="301B2446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Always insert page numbers.</w:t>
      </w:r>
    </w:p>
    <w:p w14:paraId="73EEE297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Properly cite image sources in captions or in a separate list.</w:t>
      </w:r>
    </w:p>
    <w:p w14:paraId="725ADFF4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For Attic vases, include </w:t>
      </w:r>
      <w:r>
        <w:rPr>
          <w:rFonts w:hint="default" w:ascii="Cambria" w:hAnsi="Cambria" w:cs="Cambria"/>
          <w:i/>
          <w:iCs/>
          <w:sz w:val="24"/>
          <w:szCs w:val="24"/>
        </w:rPr>
        <w:t xml:space="preserve"> BAPD</w:t>
      </w:r>
      <w:r>
        <w:rPr>
          <w:rFonts w:hint="default" w:ascii="Cambria" w:hAnsi="Cambria" w:cs="Cambria"/>
          <w:sz w:val="24"/>
          <w:szCs w:val="24"/>
        </w:rPr>
        <w:t xml:space="preserve"> number.</w:t>
      </w:r>
    </w:p>
    <w:p w14:paraId="5159589D">
      <w:pPr>
        <w:pStyle w:val="2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For mythological subjects, refer to </w:t>
      </w:r>
      <w:r>
        <w:rPr>
          <w:rFonts w:hint="default" w:ascii="Cambria" w:hAnsi="Cambria" w:cs="Cambria"/>
          <w:i/>
          <w:iCs/>
          <w:sz w:val="24"/>
          <w:szCs w:val="24"/>
        </w:rPr>
        <w:t>LIMC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11449313">
      <w:pPr>
        <w:pStyle w:val="4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5. Sample Bibliography Format</w:t>
      </w:r>
    </w:p>
    <w:p w14:paraId="678A4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 xml:space="preserve">Abramov, A. P. 2002. “Tipologija I chronologija amfor o Chios”, 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>Drevnosti Bospora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5, 7-26.</w:t>
      </w:r>
    </w:p>
    <w:p w14:paraId="666D1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 xml:space="preserve">Aellen, C. 1994. 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>À la recherche de l’ordre cosmique.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Zurich.</w:t>
      </w:r>
    </w:p>
    <w:p w14:paraId="2DFDA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>Aellen, C., Cambitoglou, A. &amp; Chamay, J. 1986.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 xml:space="preserve"> Le peintre de Darius et son milieu</w:t>
      </w:r>
      <w:r>
        <w:rPr>
          <w:rFonts w:hint="default" w:ascii="Cambria" w:hAnsi="Cambria" w:cs="Cambria"/>
          <w:color w:val="auto"/>
          <w:sz w:val="24"/>
          <w:szCs w:val="24"/>
        </w:rPr>
        <w:t>. Geneva.</w:t>
      </w:r>
    </w:p>
    <w:p w14:paraId="55A3F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 xml:space="preserve">Ahlberg-Cornell, G. 1984. 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>Herakles and the Sea-Monster in Attic Black-Figure Vase-Painting</w:t>
      </w:r>
      <w:r>
        <w:rPr>
          <w:rFonts w:hint="default" w:ascii="Cambria" w:hAnsi="Cambria" w:cs="Cambria"/>
          <w:color w:val="auto"/>
          <w:sz w:val="24"/>
          <w:szCs w:val="24"/>
        </w:rPr>
        <w:t>. Stockholm.</w:t>
      </w:r>
    </w:p>
    <w:p w14:paraId="5664E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 xml:space="preserve">Albert, W.-D. 1979. 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>Darstellungen des Eros in Unteritalien</w:t>
      </w:r>
      <w:r>
        <w:rPr>
          <w:rFonts w:hint="default" w:ascii="Cambria" w:hAnsi="Cambria" w:cs="Cambria"/>
          <w:color w:val="auto"/>
          <w:sz w:val="24"/>
          <w:szCs w:val="24"/>
        </w:rPr>
        <w:t>. Amsterdam.</w:t>
      </w:r>
    </w:p>
    <w:p w14:paraId="3F9B6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 xml:space="preserve">Amyx, D. A. 1988. 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>Corinthian Vases of the Archaic Period.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 Berkeley-Los Angeles.</w:t>
      </w:r>
    </w:p>
    <w:p w14:paraId="7A871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</w:rPr>
        <w:t xml:space="preserve">Amyx, D. A. &amp; Lawrence P. 1996. 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>Studies in Archaic Corinthian Vase Painting</w:t>
      </w:r>
      <w:r>
        <w:rPr>
          <w:rFonts w:hint="default" w:ascii="Cambria" w:hAnsi="Cambria" w:cs="Cambria"/>
          <w:color w:val="auto"/>
          <w:sz w:val="24"/>
          <w:szCs w:val="24"/>
        </w:rPr>
        <w:t>. Princeton.</w:t>
      </w:r>
    </w:p>
    <w:p w14:paraId="128C5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color w:val="auto"/>
          <w:sz w:val="24"/>
          <w:szCs w:val="24"/>
        </w:rPr>
        <w:t xml:space="preserve">Anderson, J. K. 1970. </w:t>
      </w:r>
      <w:r>
        <w:rPr>
          <w:rFonts w:hint="default" w:ascii="Cambria" w:hAnsi="Cambria" w:cs="Cambria"/>
          <w:i/>
          <w:iCs/>
          <w:color w:val="auto"/>
          <w:sz w:val="24"/>
          <w:szCs w:val="24"/>
        </w:rPr>
        <w:t>Military Theory and Practice in the Age of Xenophon</w:t>
      </w:r>
      <w:r>
        <w:rPr>
          <w:rFonts w:hint="default" w:ascii="Cambria" w:hAnsi="Cambria" w:cs="Cambria"/>
          <w:color w:val="auto"/>
          <w:sz w:val="24"/>
          <w:szCs w:val="24"/>
        </w:rPr>
        <w:t>. Berkeley-Los Angeles.</w:t>
      </w:r>
      <w:r>
        <w:rPr>
          <w:rFonts w:hint="default" w:ascii="Cambria" w:hAnsi="Cambria" w:cs="Cambria"/>
          <w:color w:val="auto"/>
          <w:sz w:val="24"/>
          <w:szCs w:val="24"/>
          <w:lang w:val="en-US"/>
        </w:rPr>
        <w:t xml:space="preserve"> </w:t>
      </w:r>
    </w:p>
    <w:p w14:paraId="24CCF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textAlignment w:val="auto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cs="Cambria"/>
          <w:color w:val="auto"/>
          <w:sz w:val="24"/>
          <w:szCs w:val="24"/>
          <w:lang w:val="en-US"/>
        </w:rPr>
        <w:t>Avronidaki, C, 2025. “</w:t>
      </w:r>
      <w:r>
        <w:rPr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"https://www.academia.edu/145201241/Of_Painters_and_Scholars_New_Vases_Old_Questions_and_a_Different_Name_for_the_Painter_of_Corinth_1937_525_in_G_Shepherd_%CE%B5%CF%80%CE%B9%CE%BC_From_Corinth_to_Campania_Studies_on_Greek_Vase_Painting_in_Honour_of_Ian_McPhee_Nicosia_2025_7_20" </w:instrText>
      </w:r>
      <w:r>
        <w:rPr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20"/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Of Painters and Scholars. New Vases, Old Questions and a Different Name for the Painter of Corinth 1937-525”, in G. Shepherd (</w:t>
      </w:r>
      <w:r>
        <w:rPr>
          <w:rStyle w:val="20"/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ed</w:t>
      </w:r>
      <w:r>
        <w:rPr>
          <w:rStyle w:val="20"/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.), </w:t>
      </w:r>
      <w:r>
        <w:rPr>
          <w:rStyle w:val="20"/>
          <w:rFonts w:hint="default" w:ascii="Cambria" w:hAnsi="Cambria" w:eastAsia="Georgia" w:cs="Cambria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>From Corinth to Campania. Studies on Greek Vase-Painting in Honour of Ian McPhee</w:t>
      </w:r>
      <w:r>
        <w:rPr>
          <w:rStyle w:val="20"/>
          <w:rFonts w:hint="default" w:ascii="Cambria" w:hAnsi="Cambria" w:eastAsia="Georgia" w:cs="Cambria"/>
          <w:i/>
          <w:iCs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 xml:space="preserve">. </w:t>
      </w:r>
      <w:r>
        <w:rPr>
          <w:rStyle w:val="20"/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Nicosia</w:t>
      </w:r>
      <w:r>
        <w:rPr>
          <w:rStyle w:val="20"/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/>
        </w:rPr>
        <w:t>,</w:t>
      </w:r>
      <w:r>
        <w:rPr>
          <w:rStyle w:val="20"/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 7-20</w:t>
      </w:r>
      <w:r>
        <w:rPr>
          <w:rFonts w:hint="default" w:ascii="Cambria" w:hAnsi="Cambria" w:eastAsia="Georgia" w:cs="Cambria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 w14:paraId="340CF08C">
      <w:pPr>
        <w:ind w:left="0" w:leftChars="0" w:firstLine="0" w:firstLineChars="0"/>
      </w:pP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auto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FB4B4">
    <w:pPr>
      <w:pStyle w:val="18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4D9AB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4D9AB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12A0FFE"/>
    <w:rsid w:val="58F27F44"/>
    <w:rsid w:val="6CE3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165">
    <w:name w:val="Κανονικός πίνακας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Ευρυδίκη Κεφαλί�</cp:lastModifiedBy>
  <dcterms:modified xsi:type="dcterms:W3CDTF">2026-03-03T05:23:09Z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275E9294850A4DA09E3F101C9F704C69_12</vt:lpwstr>
  </property>
</Properties>
</file>