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FD2A78">
      <w:pPr>
        <w:jc w:val="center"/>
        <w:rPr>
          <w:rFonts w:hint="default"/>
          <w:sz w:val="72"/>
          <w:szCs w:val="72"/>
          <w:lang w:val="el-GR"/>
        </w:rPr>
      </w:pPr>
      <w:r>
        <w:rPr>
          <w:rFonts w:hint="default"/>
          <w:sz w:val="72"/>
          <w:szCs w:val="72"/>
          <w:lang w:val="el-GR"/>
        </w:rPr>
        <w:t>ΕΙΚΟΝΕΣ</w:t>
      </w:r>
    </w:p>
    <w:p w14:paraId="606085F2">
      <w:pPr>
        <w:jc w:val="center"/>
        <w:rPr>
          <w:rFonts w:hint="default"/>
          <w:sz w:val="72"/>
          <w:szCs w:val="72"/>
          <w:lang w:val="el-GR"/>
        </w:rPr>
      </w:pPr>
    </w:p>
    <w:p w14:paraId="4680CBB7">
      <w:pPr>
        <w:jc w:val="center"/>
        <w:rPr>
          <w:rFonts w:hint="default"/>
          <w:sz w:val="72"/>
          <w:szCs w:val="72"/>
          <w:lang w:val="el-GR"/>
        </w:rPr>
      </w:pPr>
    </w:p>
    <w:p w14:paraId="0DE5DB55">
      <w:pPr>
        <w:jc w:val="center"/>
        <w:rPr>
          <w:rFonts w:hint="default"/>
          <w:sz w:val="32"/>
          <w:szCs w:val="32"/>
          <w:lang w:val="el-GR"/>
        </w:rPr>
      </w:pPr>
    </w:p>
    <w:p w14:paraId="4FD1DEDB">
      <w:pPr>
        <w:jc w:val="both"/>
        <w:rPr>
          <w:rFonts w:hint="default"/>
          <w:sz w:val="72"/>
          <w:szCs w:val="72"/>
          <w:lang w:val="el-GR"/>
        </w:rPr>
      </w:pPr>
      <w:r>
        <w:rPr>
          <w:rFonts w:hint="default"/>
          <w:sz w:val="72"/>
          <w:szCs w:val="72"/>
          <w:lang w:val="el-GR"/>
        </w:rPr>
        <w:drawing>
          <wp:inline distT="0" distB="0" distL="114300" distR="114300">
            <wp:extent cx="5272405" cy="3482340"/>
            <wp:effectExtent l="0" t="0" r="635" b="7620"/>
            <wp:docPr id="1" name="Picture 1" descr="Στιγμιότυπο οθόνης 2025-03-24 15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Στιγμιότυπο οθόνης 2025-03-24 1523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1CB03">
      <w:pPr>
        <w:jc w:val="center"/>
        <w:rPr>
          <w:rFonts w:hint="default"/>
          <w:sz w:val="20"/>
          <w:szCs w:val="20"/>
          <w:lang w:val="el-GR"/>
        </w:rPr>
      </w:pPr>
      <w:r>
        <w:rPr>
          <w:rFonts w:hint="default"/>
          <w:sz w:val="20"/>
          <w:szCs w:val="20"/>
          <w:lang w:val="el-GR"/>
        </w:rPr>
        <w:t xml:space="preserve">Εικ.1 </w:t>
      </w:r>
    </w:p>
    <w:p w14:paraId="1FD79A5A">
      <w:pPr>
        <w:jc w:val="center"/>
        <w:rPr>
          <w:rFonts w:hint="default"/>
          <w:sz w:val="20"/>
          <w:szCs w:val="20"/>
          <w:lang w:val="el-GR"/>
        </w:rPr>
      </w:pPr>
      <w:r>
        <w:rPr>
          <w:rFonts w:hint="default"/>
          <w:sz w:val="20"/>
          <w:szCs w:val="20"/>
          <w:lang w:val="el-GR"/>
        </w:rPr>
        <w:t>Η θέση της Ακμονίας στην Μικρά Ασία</w:t>
      </w:r>
    </w:p>
    <w:p w14:paraId="6BF4000C">
      <w:pPr>
        <w:jc w:val="center"/>
        <w:rPr>
          <w:rFonts w:hint="default"/>
          <w:sz w:val="32"/>
          <w:szCs w:val="32"/>
          <w:lang w:val="el-GR"/>
        </w:rPr>
      </w:pPr>
    </w:p>
    <w:p w14:paraId="3FC0E797">
      <w:pPr>
        <w:jc w:val="center"/>
        <w:rPr>
          <w:rFonts w:hint="default"/>
          <w:sz w:val="32"/>
          <w:szCs w:val="32"/>
          <w:lang w:val="el-GR"/>
        </w:rPr>
      </w:pPr>
    </w:p>
    <w:p w14:paraId="7A071B5B">
      <w:pPr>
        <w:jc w:val="center"/>
        <w:rPr>
          <w:rFonts w:hint="default"/>
          <w:sz w:val="32"/>
          <w:szCs w:val="32"/>
          <w:lang w:val="el-GR"/>
        </w:rPr>
      </w:pPr>
    </w:p>
    <w:p w14:paraId="7A3D2185">
      <w:pPr>
        <w:jc w:val="center"/>
        <w:rPr>
          <w:rFonts w:hint="default"/>
          <w:sz w:val="32"/>
          <w:szCs w:val="32"/>
          <w:lang w:val="el-GR"/>
        </w:rPr>
      </w:pPr>
    </w:p>
    <w:p w14:paraId="1C575A51">
      <w:pPr>
        <w:jc w:val="center"/>
        <w:rPr>
          <w:rFonts w:hint="default"/>
          <w:sz w:val="32"/>
          <w:szCs w:val="32"/>
          <w:lang w:val="el-GR"/>
        </w:rPr>
      </w:pPr>
    </w:p>
    <w:p w14:paraId="22B86180">
      <w:pPr>
        <w:jc w:val="center"/>
        <w:rPr>
          <w:rFonts w:hint="default"/>
          <w:sz w:val="32"/>
          <w:szCs w:val="32"/>
          <w:lang w:val="el-GR"/>
        </w:rPr>
      </w:pPr>
    </w:p>
    <w:p w14:paraId="2B3D5FA5">
      <w:pPr>
        <w:jc w:val="center"/>
        <w:rPr>
          <w:rFonts w:hint="default"/>
          <w:sz w:val="32"/>
          <w:szCs w:val="32"/>
          <w:lang w:val="el-GR"/>
        </w:rPr>
      </w:pPr>
    </w:p>
    <w:p w14:paraId="51E19B96">
      <w:pPr>
        <w:jc w:val="center"/>
        <w:rPr>
          <w:rFonts w:hint="default"/>
          <w:sz w:val="32"/>
          <w:szCs w:val="32"/>
          <w:lang w:val="el-GR"/>
        </w:rPr>
      </w:pPr>
    </w:p>
    <w:p w14:paraId="2CFC9331">
      <w:pPr>
        <w:jc w:val="center"/>
        <w:rPr>
          <w:rFonts w:hint="default"/>
          <w:sz w:val="32"/>
          <w:szCs w:val="32"/>
          <w:lang w:val="el-GR"/>
        </w:rPr>
      </w:pPr>
    </w:p>
    <w:p w14:paraId="7499B420">
      <w:pPr>
        <w:jc w:val="center"/>
        <w:rPr>
          <w:rFonts w:hint="default"/>
          <w:sz w:val="32"/>
          <w:szCs w:val="32"/>
          <w:lang w:val="el-GR"/>
        </w:rPr>
      </w:pPr>
    </w:p>
    <w:p w14:paraId="22D5CD8F">
      <w:pPr>
        <w:jc w:val="center"/>
        <w:rPr>
          <w:rFonts w:hint="default"/>
          <w:sz w:val="32"/>
          <w:szCs w:val="32"/>
          <w:lang w:val="el-GR"/>
        </w:rPr>
      </w:pPr>
    </w:p>
    <w:p w14:paraId="353E8309">
      <w:pPr>
        <w:jc w:val="center"/>
        <w:rPr>
          <w:rFonts w:hint="default"/>
          <w:sz w:val="32"/>
          <w:szCs w:val="32"/>
          <w:lang w:val="el-GR"/>
        </w:rPr>
      </w:pPr>
    </w:p>
    <w:p w14:paraId="61EE44D0">
      <w:pPr>
        <w:jc w:val="center"/>
        <w:rPr>
          <w:rFonts w:hint="default"/>
          <w:sz w:val="32"/>
          <w:szCs w:val="32"/>
          <w:lang w:val="el-GR"/>
        </w:rPr>
      </w:pPr>
    </w:p>
    <w:p w14:paraId="21AA2186">
      <w:pPr>
        <w:jc w:val="center"/>
        <w:rPr>
          <w:rFonts w:hint="default"/>
          <w:sz w:val="32"/>
          <w:szCs w:val="32"/>
          <w:lang w:val="el-GR"/>
        </w:rPr>
      </w:pPr>
    </w:p>
    <w:p w14:paraId="7D175E20"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3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315E44">
      <w:pPr>
        <w:jc w:val="center"/>
      </w:pPr>
      <w:r>
        <w:drawing>
          <wp:inline distT="0" distB="0" distL="114300" distR="114300">
            <wp:extent cx="3528060" cy="5303520"/>
            <wp:effectExtent l="0" t="0" r="762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66305">
      <w:pPr>
        <w:jc w:val="center"/>
        <w:rPr>
          <w:rFonts w:hint="default"/>
          <w:lang w:val="el-GR"/>
        </w:rPr>
      </w:pPr>
      <w:r>
        <w:rPr>
          <w:rFonts w:hint="default"/>
          <w:lang w:val="el-GR"/>
        </w:rPr>
        <w:t>Εικ.2</w:t>
      </w:r>
    </w:p>
    <w:p w14:paraId="577DED91">
      <w:pPr>
        <w:jc w:val="center"/>
        <w:rPr>
          <w:rFonts w:hint="default"/>
          <w:lang w:val="el-GR"/>
        </w:rPr>
      </w:pPr>
      <w:r>
        <w:rPr>
          <w:rFonts w:hint="default"/>
          <w:lang w:val="el-GR"/>
        </w:rPr>
        <w:t>Η Ακμονία και πόλεις της ευρύτερης περιοχής</w:t>
      </w:r>
    </w:p>
    <w:p w14:paraId="69B9F6D2">
      <w:pPr>
        <w:jc w:val="center"/>
        <w:rPr>
          <w:rFonts w:hint="default"/>
          <w:lang w:val="el-GR"/>
        </w:rPr>
      </w:pPr>
      <w:r>
        <w:rPr>
          <w:rFonts w:hint="default"/>
          <w:lang w:val="el-GR"/>
        </w:rPr>
        <w:t>Προέλευση: The Christians of Phrygia from Rome to the Turkish Conquest (2023), 339 εικ.9.</w:t>
      </w:r>
    </w:p>
    <w:p w14:paraId="7A5A1F6B">
      <w:pPr>
        <w:jc w:val="center"/>
        <w:rPr>
          <w:rFonts w:hint="default"/>
          <w:lang w:val="el-GR"/>
        </w:rPr>
      </w:pPr>
    </w:p>
    <w:p w14:paraId="75C0928E">
      <w:pPr>
        <w:jc w:val="center"/>
        <w:rPr>
          <w:rFonts w:hint="default"/>
          <w:lang w:val="el-GR"/>
        </w:rPr>
      </w:pPr>
    </w:p>
    <w:p w14:paraId="076554D2">
      <w:pPr>
        <w:jc w:val="center"/>
        <w:rPr>
          <w:rFonts w:hint="default"/>
          <w:lang w:val="el-GR"/>
        </w:rPr>
      </w:pPr>
    </w:p>
    <w:p w14:paraId="426AE621">
      <w:pPr>
        <w:jc w:val="center"/>
        <w:rPr>
          <w:rFonts w:hint="default"/>
          <w:lang w:val="el-GR"/>
        </w:rPr>
      </w:pPr>
    </w:p>
    <w:p w14:paraId="5288B537">
      <w:pPr>
        <w:jc w:val="center"/>
        <w:rPr>
          <w:rFonts w:hint="default"/>
          <w:lang w:val="el-GR"/>
        </w:rPr>
      </w:pPr>
    </w:p>
    <w:p w14:paraId="115D00BD">
      <w:pPr>
        <w:jc w:val="center"/>
        <w:rPr>
          <w:rFonts w:hint="default"/>
          <w:lang w:val="el-GR"/>
        </w:rPr>
      </w:pPr>
    </w:p>
    <w:p w14:paraId="01BEE527">
      <w:pPr>
        <w:jc w:val="center"/>
        <w:rPr>
          <w:rFonts w:hint="default"/>
          <w:lang w:val="el-GR"/>
        </w:rPr>
      </w:pPr>
    </w:p>
    <w:p w14:paraId="3CFA8D95">
      <w:pPr>
        <w:jc w:val="center"/>
        <w:rPr>
          <w:rFonts w:hint="default"/>
          <w:lang w:val="el-GR"/>
        </w:rPr>
      </w:pPr>
    </w:p>
    <w:p w14:paraId="5D70FB3B">
      <w:pPr>
        <w:jc w:val="center"/>
        <w:rPr>
          <w:rFonts w:hint="default"/>
          <w:lang w:val="el-GR"/>
        </w:rPr>
      </w:pPr>
    </w:p>
    <w:p w14:paraId="7A157202">
      <w:pPr>
        <w:jc w:val="center"/>
        <w:rPr>
          <w:rFonts w:hint="default"/>
          <w:lang w:val="el-GR"/>
        </w:rPr>
      </w:pPr>
    </w:p>
    <w:p w14:paraId="598B3226">
      <w:pPr>
        <w:jc w:val="center"/>
        <w:rPr>
          <w:rFonts w:hint="default"/>
          <w:lang w:val="el-GR"/>
        </w:rPr>
      </w:pPr>
    </w:p>
    <w:p w14:paraId="1B56ACAC">
      <w:pPr>
        <w:jc w:val="center"/>
        <w:rPr>
          <w:rFonts w:hint="default"/>
          <w:lang w:val="el-GR"/>
        </w:rPr>
      </w:pPr>
    </w:p>
    <w:p w14:paraId="4BD4D4D9">
      <w:pPr>
        <w:jc w:val="center"/>
        <w:rPr>
          <w:rFonts w:hint="default"/>
          <w:lang w:val="el-GR"/>
        </w:rPr>
      </w:pPr>
    </w:p>
    <w:p w14:paraId="34547752">
      <w:pPr>
        <w:jc w:val="center"/>
        <w:rPr>
          <w:rFonts w:hint="default"/>
          <w:lang w:val="el-GR"/>
        </w:rPr>
      </w:pPr>
    </w:p>
    <w:p w14:paraId="696775CE">
      <w:pPr>
        <w:jc w:val="center"/>
        <w:rPr>
          <w:rFonts w:hint="default"/>
          <w:lang w:val="el-GR"/>
        </w:rPr>
      </w:pPr>
    </w:p>
    <w:p w14:paraId="6FD22BA8">
      <w:pPr>
        <w:jc w:val="center"/>
        <w:rPr>
          <w:rFonts w:hint="default"/>
          <w:lang w:val="el-GR"/>
        </w:rPr>
      </w:pPr>
    </w:p>
    <w:p w14:paraId="37DF45C2">
      <w:pPr>
        <w:jc w:val="center"/>
        <w:rPr>
          <w:rFonts w:hint="default"/>
          <w:lang w:val="el-GR"/>
        </w:rPr>
      </w:pPr>
    </w:p>
    <w:p w14:paraId="16D1C12D">
      <w:pPr>
        <w:jc w:val="center"/>
        <w:rPr>
          <w:rFonts w:hint="default"/>
          <w:lang w:val="el-GR"/>
        </w:rPr>
      </w:pPr>
    </w:p>
    <w:p w14:paraId="30F202A3">
      <w:pPr>
        <w:jc w:val="center"/>
        <w:rPr>
          <w:rFonts w:hint="default"/>
          <w:lang w:val="el-GR"/>
        </w:rPr>
      </w:pPr>
    </w:p>
    <w:p w14:paraId="2A9B2E03">
      <w:pPr>
        <w:jc w:val="center"/>
        <w:rPr>
          <w:rFonts w:hint="default"/>
          <w:lang w:val="el-GR"/>
        </w:rPr>
      </w:pPr>
    </w:p>
    <w:p w14:paraId="71910FDF">
      <w:pPr>
        <w:jc w:val="center"/>
        <w:rPr>
          <w:rFonts w:hint="default"/>
          <w:lang w:val="el-GR"/>
        </w:rPr>
      </w:pPr>
    </w:p>
    <w:p w14:paraId="0FEC04D8">
      <w:pPr>
        <w:jc w:val="center"/>
        <w:rPr>
          <w:rFonts w:hint="default"/>
          <w:lang w:val="el-GR"/>
        </w:rPr>
      </w:pPr>
    </w:p>
    <w:p w14:paraId="77D8AF62">
      <w:pPr>
        <w:jc w:val="center"/>
        <w:rPr>
          <w:rFonts w:hint="default"/>
          <w:lang w:val="el-GR"/>
        </w:rPr>
      </w:pPr>
    </w:p>
    <w:p w14:paraId="056B0CD3">
      <w:pPr>
        <w:jc w:val="center"/>
        <w:rPr>
          <w:rFonts w:hint="default"/>
          <w:lang w:val="el-GR"/>
        </w:rPr>
      </w:pPr>
    </w:p>
    <w:p w14:paraId="2FB6A11F">
      <w:pPr>
        <w:jc w:val="center"/>
        <w:rPr>
          <w:rFonts w:hint="default"/>
          <w:lang w:val="el-GR"/>
        </w:rPr>
      </w:pPr>
    </w:p>
    <w:p w14:paraId="314B1C13">
      <w:pPr>
        <w:jc w:val="center"/>
        <w:rPr>
          <w:rFonts w:hint="default"/>
          <w:lang w:val="el-GR"/>
        </w:rPr>
      </w:pPr>
    </w:p>
    <w:p w14:paraId="0AEDEE8C">
      <w:pPr>
        <w:jc w:val="center"/>
        <w:rPr>
          <w:rFonts w:hint="default"/>
          <w:lang w:val="el-GR"/>
        </w:rPr>
      </w:pPr>
    </w:p>
    <w:p w14:paraId="1CB79A2B">
      <w:pPr>
        <w:jc w:val="center"/>
        <w:rPr>
          <w:rFonts w:hint="default"/>
          <w:lang w:val="el-GR"/>
        </w:rPr>
      </w:pPr>
    </w:p>
    <w:p w14:paraId="304855FF">
      <w:pPr>
        <w:jc w:val="center"/>
        <w:rPr>
          <w:rFonts w:hint="default"/>
          <w:lang w:val="el-GR"/>
        </w:rPr>
      </w:pPr>
    </w:p>
    <w:p w14:paraId="4F6C43D2">
      <w:pPr>
        <w:jc w:val="center"/>
        <w:rPr>
          <w:rFonts w:hint="default"/>
          <w:lang w:val="en-US"/>
        </w:rPr>
      </w:pPr>
      <w:r>
        <w:rPr>
          <w:rFonts w:hint="default"/>
          <w:lang w:val="el-GR"/>
        </w:rPr>
        <w:drawing>
          <wp:inline distT="0" distB="0" distL="114300" distR="114300">
            <wp:extent cx="6064885" cy="3412490"/>
            <wp:effectExtent l="0" t="0" r="635" b="1270"/>
            <wp:docPr id="6" name="Picture 6" descr="484810428_9262309377182139_714041506511258832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484810428_9262309377182139_7140415065112588326_n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488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07F1A">
      <w:pPr>
        <w:jc w:val="center"/>
        <w:rPr>
          <w:rFonts w:hint="default"/>
          <w:lang w:val="el-GR"/>
        </w:rPr>
      </w:pPr>
      <w:r>
        <w:rPr>
          <w:rFonts w:hint="default"/>
          <w:lang w:val="el-GR"/>
        </w:rPr>
        <w:t>Εικ.3</w:t>
      </w:r>
    </w:p>
    <w:p w14:paraId="2D8B4CF4">
      <w:pPr>
        <w:jc w:val="center"/>
        <w:rPr>
          <w:rFonts w:hint="default"/>
          <w:lang w:val="el-GR"/>
        </w:rPr>
      </w:pPr>
      <w:r>
        <w:rPr>
          <w:rFonts w:hint="default"/>
          <w:lang w:val="el-GR"/>
        </w:rPr>
        <w:t xml:space="preserve">Άποψη του χωριού </w:t>
      </w:r>
      <w:r>
        <w:rPr>
          <w:rFonts w:hint="default"/>
          <w:lang w:val="en-US"/>
        </w:rPr>
        <w:t xml:space="preserve">Ahat </w:t>
      </w:r>
      <w:r>
        <w:rPr>
          <w:rFonts w:hint="default"/>
          <w:lang w:val="el-GR"/>
        </w:rPr>
        <w:t>κτισμένου στην θέση της αρχαίας Ακμονίας</w:t>
      </w:r>
    </w:p>
    <w:p w14:paraId="076846A5">
      <w:pPr>
        <w:jc w:val="center"/>
        <w:rPr>
          <w:rFonts w:hint="default"/>
          <w:lang w:val="en-US"/>
        </w:rPr>
      </w:pPr>
      <w:r>
        <w:rPr>
          <w:rFonts w:hint="default"/>
          <w:lang w:val="el-GR"/>
        </w:rPr>
        <w:t xml:space="preserve">Προέλευση: 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fldChar w:fldCharType="begin"/>
      </w:r>
      <w:r>
        <w:rPr>
          <w:rFonts w:hint="default"/>
          <w:lang w:val="en-US"/>
        </w:rPr>
        <w:instrText xml:space="preserve"> HYPERLINK "https://www.facebook.com/photo.php?fbid=4874243862655401&amp;id=830653750347786&amp;set=a.830839963662498" </w:instrText>
      </w:r>
      <w:r>
        <w:rPr>
          <w:rFonts w:hint="default"/>
          <w:lang w:val="en-US"/>
        </w:rPr>
        <w:fldChar w:fldCharType="separate"/>
      </w:r>
      <w:r>
        <w:rPr>
          <w:rStyle w:val="4"/>
          <w:rFonts w:hint="default"/>
          <w:lang w:val="en-US"/>
        </w:rPr>
        <w:t>https://www.facebook.com/photo.php?fbid=4874243862655401&amp;id=830653750347786&amp;set=a.830839963662498</w:t>
      </w:r>
      <w:r>
        <w:rPr>
          <w:rFonts w:hint="default"/>
          <w:lang w:val="en-US"/>
        </w:rPr>
        <w:fldChar w:fldCharType="end"/>
      </w:r>
    </w:p>
    <w:p w14:paraId="3F79577F">
      <w:pPr>
        <w:jc w:val="center"/>
        <w:rPr>
          <w:rFonts w:hint="default"/>
          <w:lang w:val="en-US"/>
        </w:rPr>
      </w:pPr>
    </w:p>
    <w:p w14:paraId="4178E33C">
      <w:pPr>
        <w:jc w:val="center"/>
        <w:rPr>
          <w:rFonts w:hint="default"/>
          <w:lang w:val="en-US"/>
        </w:rPr>
      </w:pPr>
    </w:p>
    <w:p w14:paraId="18BCF9D7">
      <w:pPr>
        <w:jc w:val="center"/>
        <w:rPr>
          <w:rFonts w:hint="default"/>
          <w:lang w:val="en-US"/>
        </w:rPr>
      </w:pPr>
    </w:p>
    <w:p w14:paraId="3DF39485">
      <w:pPr>
        <w:jc w:val="center"/>
        <w:rPr>
          <w:rFonts w:hint="default"/>
          <w:lang w:val="en-US"/>
        </w:rPr>
      </w:pPr>
    </w:p>
    <w:p w14:paraId="77A1387C">
      <w:pPr>
        <w:jc w:val="center"/>
        <w:rPr>
          <w:rFonts w:hint="default"/>
          <w:lang w:val="en-US"/>
        </w:rPr>
      </w:pPr>
    </w:p>
    <w:p w14:paraId="6C594611">
      <w:pPr>
        <w:jc w:val="center"/>
        <w:rPr>
          <w:rFonts w:hint="default"/>
          <w:lang w:val="el-GR"/>
        </w:rPr>
      </w:pPr>
    </w:p>
    <w:p w14:paraId="7D1989C0">
      <w:pPr>
        <w:jc w:val="center"/>
        <w:rPr>
          <w:rFonts w:hint="default"/>
          <w:lang w:val="el-GR"/>
        </w:rPr>
      </w:pPr>
    </w:p>
    <w:p w14:paraId="2C211953">
      <w:pPr>
        <w:jc w:val="center"/>
        <w:rPr>
          <w:rFonts w:hint="default"/>
          <w:lang w:val="el-GR"/>
        </w:rPr>
      </w:pPr>
    </w:p>
    <w:p w14:paraId="207D5222">
      <w:pPr>
        <w:jc w:val="center"/>
        <w:rPr>
          <w:rFonts w:hint="default"/>
          <w:lang w:val="el-GR"/>
        </w:rPr>
      </w:pPr>
    </w:p>
    <w:p w14:paraId="5E534E02">
      <w:pPr>
        <w:jc w:val="center"/>
        <w:rPr>
          <w:rFonts w:hint="default"/>
          <w:lang w:val="el-GR"/>
        </w:rPr>
      </w:pPr>
    </w:p>
    <w:p w14:paraId="4965ADC4">
      <w:pPr>
        <w:jc w:val="center"/>
        <w:rPr>
          <w:rFonts w:hint="default"/>
          <w:lang w:val="el-GR"/>
        </w:rPr>
      </w:pPr>
    </w:p>
    <w:p w14:paraId="440BDAF6">
      <w:pPr>
        <w:jc w:val="center"/>
        <w:rPr>
          <w:rFonts w:hint="default"/>
          <w:lang w:val="el-GR"/>
        </w:rPr>
      </w:pPr>
    </w:p>
    <w:p w14:paraId="3069223B">
      <w:pPr>
        <w:jc w:val="center"/>
        <w:rPr>
          <w:rFonts w:hint="default"/>
          <w:lang w:val="el-GR"/>
        </w:rPr>
      </w:pPr>
    </w:p>
    <w:p w14:paraId="01A616A0">
      <w:pPr>
        <w:jc w:val="center"/>
        <w:rPr>
          <w:rFonts w:hint="default"/>
          <w:lang w:val="el-GR"/>
        </w:rPr>
      </w:pPr>
    </w:p>
    <w:p w14:paraId="52C562AE">
      <w:pPr>
        <w:jc w:val="center"/>
        <w:rPr>
          <w:rFonts w:hint="default"/>
          <w:lang w:val="el-GR"/>
        </w:rPr>
      </w:pPr>
    </w:p>
    <w:p w14:paraId="3773C8BC">
      <w:pPr>
        <w:jc w:val="center"/>
        <w:rPr>
          <w:rFonts w:hint="default"/>
          <w:lang w:val="el-GR"/>
        </w:rPr>
      </w:pPr>
    </w:p>
    <w:p w14:paraId="1233341A">
      <w:pPr>
        <w:jc w:val="center"/>
        <w:rPr>
          <w:rFonts w:hint="default"/>
          <w:lang w:val="el-GR"/>
        </w:rPr>
      </w:pPr>
    </w:p>
    <w:p w14:paraId="3DF6DD7C">
      <w:pPr>
        <w:jc w:val="center"/>
        <w:rPr>
          <w:rFonts w:hint="default"/>
          <w:lang w:val="el-GR"/>
        </w:rPr>
      </w:pPr>
    </w:p>
    <w:p w14:paraId="6EDFC9EA">
      <w:pPr>
        <w:jc w:val="center"/>
        <w:rPr>
          <w:rFonts w:hint="default"/>
          <w:lang w:val="el-GR"/>
        </w:rPr>
      </w:pPr>
    </w:p>
    <w:p w14:paraId="56758764">
      <w:pPr>
        <w:jc w:val="center"/>
        <w:rPr>
          <w:rFonts w:hint="default"/>
          <w:lang w:val="el-GR"/>
        </w:rPr>
      </w:pPr>
    </w:p>
    <w:p w14:paraId="40548094">
      <w:pPr>
        <w:jc w:val="center"/>
        <w:rPr>
          <w:rFonts w:hint="default"/>
          <w:lang w:val="el-GR"/>
        </w:rPr>
      </w:pPr>
    </w:p>
    <w:p w14:paraId="05DAC600">
      <w:pPr>
        <w:jc w:val="center"/>
        <w:rPr>
          <w:rFonts w:hint="default"/>
          <w:lang w:val="el-GR"/>
        </w:rPr>
      </w:pPr>
    </w:p>
    <w:p w14:paraId="166F250E">
      <w:pPr>
        <w:jc w:val="center"/>
        <w:rPr>
          <w:rFonts w:hint="default"/>
          <w:lang w:val="el-GR"/>
        </w:rPr>
      </w:pPr>
    </w:p>
    <w:p w14:paraId="0B035C40">
      <w:pPr>
        <w:jc w:val="center"/>
        <w:rPr>
          <w:rFonts w:hint="default"/>
          <w:lang w:val="el-GR"/>
        </w:rPr>
      </w:pPr>
    </w:p>
    <w:p w14:paraId="5085BFC5">
      <w:pPr>
        <w:jc w:val="center"/>
        <w:rPr>
          <w:rFonts w:hint="default"/>
          <w:lang w:val="el-GR"/>
        </w:rPr>
      </w:pPr>
    </w:p>
    <w:p w14:paraId="645742F2">
      <w:pPr>
        <w:jc w:val="center"/>
        <w:rPr>
          <w:rFonts w:hint="default"/>
          <w:lang w:val="el-GR"/>
        </w:rPr>
      </w:pPr>
    </w:p>
    <w:p w14:paraId="6B50D53F">
      <w:pPr>
        <w:jc w:val="center"/>
        <w:rPr>
          <w:rFonts w:hint="default"/>
          <w:lang w:val="el-GR"/>
        </w:rPr>
      </w:pPr>
    </w:p>
    <w:p w14:paraId="566FFC79">
      <w:pPr>
        <w:jc w:val="center"/>
        <w:rPr>
          <w:rFonts w:hint="default"/>
          <w:lang w:val="el-GR"/>
        </w:rPr>
      </w:pPr>
    </w:p>
    <w:p w14:paraId="40EEA934">
      <w:pPr>
        <w:jc w:val="center"/>
        <w:rPr>
          <w:rFonts w:hint="default"/>
          <w:lang w:val="el-GR"/>
        </w:rPr>
      </w:pPr>
    </w:p>
    <w:p w14:paraId="581CD818">
      <w:pPr>
        <w:jc w:val="center"/>
        <w:rPr>
          <w:rFonts w:hint="default"/>
          <w:lang w:val="el-GR"/>
        </w:rPr>
      </w:pPr>
    </w:p>
    <w:p w14:paraId="66ECED98">
      <w:pPr>
        <w:jc w:val="center"/>
        <w:rPr>
          <w:rFonts w:hint="default"/>
          <w:lang w:val="el-GR"/>
        </w:rPr>
      </w:pPr>
    </w:p>
    <w:p w14:paraId="1567BFCE">
      <w:pPr>
        <w:jc w:val="center"/>
        <w:rPr>
          <w:rFonts w:hint="default"/>
          <w:lang w:val="el-GR"/>
        </w:rPr>
      </w:pPr>
    </w:p>
    <w:p w14:paraId="1E0E527D">
      <w:pPr>
        <w:jc w:val="center"/>
        <w:rPr>
          <w:rFonts w:hint="default"/>
          <w:lang w:val="el-GR"/>
        </w:rPr>
      </w:pPr>
    </w:p>
    <w:p w14:paraId="50969216">
      <w:pPr>
        <w:jc w:val="center"/>
        <w:rPr>
          <w:rFonts w:hint="default"/>
          <w:lang w:val="el-GR"/>
        </w:rPr>
      </w:pPr>
    </w:p>
    <w:p w14:paraId="2BB5A9DC">
      <w:pPr>
        <w:jc w:val="center"/>
        <w:rPr>
          <w:rFonts w:hint="default"/>
          <w:lang w:val="el-GR"/>
        </w:rPr>
      </w:pPr>
    </w:p>
    <w:p w14:paraId="5AEBE483">
      <w:pPr>
        <w:jc w:val="center"/>
        <w:rPr>
          <w:rFonts w:hint="default"/>
          <w:lang w:val="el-GR"/>
        </w:rPr>
      </w:pPr>
    </w:p>
    <w:p w14:paraId="1AAF9216">
      <w:pPr>
        <w:jc w:val="center"/>
        <w:rPr>
          <w:rFonts w:hint="default"/>
          <w:lang w:val="el-GR"/>
        </w:rPr>
      </w:pPr>
    </w:p>
    <w:p w14:paraId="7E24CAD0">
      <w:pPr>
        <w:jc w:val="center"/>
        <w:rPr>
          <w:rFonts w:hint="default"/>
          <w:lang w:val="el-GR"/>
        </w:rPr>
      </w:pPr>
    </w:p>
    <w:p w14:paraId="6F2DC05B">
      <w:pPr>
        <w:jc w:val="center"/>
        <w:rPr>
          <w:rFonts w:hint="default"/>
          <w:lang w:val="el-GR"/>
        </w:rPr>
      </w:pPr>
    </w:p>
    <w:p w14:paraId="3895FF2D">
      <w:pPr>
        <w:jc w:val="center"/>
        <w:rPr>
          <w:rFonts w:hint="default"/>
          <w:lang w:val="el-GR"/>
        </w:rPr>
      </w:pPr>
    </w:p>
    <w:p w14:paraId="7189A609">
      <w:pPr>
        <w:jc w:val="center"/>
        <w:rPr>
          <w:rFonts w:hint="default"/>
          <w:lang w:val="el-GR"/>
        </w:rPr>
      </w:pPr>
    </w:p>
    <w:p w14:paraId="7AE9B3BB">
      <w:pPr>
        <w:jc w:val="center"/>
        <w:rPr>
          <w:rFonts w:hint="default"/>
          <w:lang w:val="el-GR"/>
        </w:rPr>
      </w:pPr>
    </w:p>
    <w:p w14:paraId="14021698"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269230" cy="2581910"/>
            <wp:effectExtent l="0" t="0" r="3810" b="8890"/>
            <wp:docPr id="5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A11106">
      <w:pPr>
        <w:jc w:val="center"/>
        <w:rPr>
          <w:rFonts w:hint="default" w:ascii="Times New Roman" w:hAnsi="Times New Roman" w:eastAsia="SimSun" w:cs="Times New Roman"/>
          <w:sz w:val="24"/>
          <w:szCs w:val="24"/>
          <w:lang w:val="el-GR"/>
        </w:rPr>
      </w:pPr>
    </w:p>
    <w:p w14:paraId="7886CD7E">
      <w:pPr>
        <w:jc w:val="center"/>
        <w:rPr>
          <w:rFonts w:hint="default"/>
          <w:lang w:val="el-GR"/>
        </w:rPr>
      </w:pPr>
    </w:p>
    <w:p w14:paraId="10E1B81D">
      <w:pPr>
        <w:jc w:val="center"/>
        <w:rPr>
          <w:rFonts w:hint="default"/>
          <w:lang w:val="el-GR"/>
        </w:rPr>
      </w:pPr>
    </w:p>
    <w:p w14:paraId="7EFD893A">
      <w:pPr>
        <w:jc w:val="center"/>
        <w:rPr>
          <w:rFonts w:hint="default"/>
          <w:lang w:val="el-GR"/>
        </w:rPr>
      </w:pPr>
      <w:r>
        <w:rPr>
          <w:rFonts w:hint="default"/>
          <w:lang w:val="el-GR"/>
        </w:rPr>
        <w:t>Εικ.4</w:t>
      </w:r>
    </w:p>
    <w:p w14:paraId="6350366A">
      <w:pPr>
        <w:jc w:val="center"/>
        <w:rPr>
          <w:rFonts w:hint="default"/>
          <w:lang w:val="el-GR"/>
        </w:rPr>
      </w:pPr>
      <w:r>
        <w:rPr>
          <w:rFonts w:hint="default"/>
          <w:lang w:val="el-GR"/>
        </w:rPr>
        <w:t>Νόμισμα της Ακμονίας εποχής Τραϊανού. Εμπροσθότυπος: πορτρέτο του αυτοκράτορα. Οπισθότυπος: Ποτάμιος θεός.</w:t>
      </w:r>
    </w:p>
    <w:p w14:paraId="55006DD2">
      <w:pPr>
        <w:jc w:val="center"/>
        <w:rPr>
          <w:rFonts w:hint="default"/>
          <w:lang w:val="el-GR"/>
        </w:rPr>
      </w:pPr>
      <w:r>
        <w:rPr>
          <w:rFonts w:hint="default"/>
          <w:lang w:val="el-GR"/>
        </w:rPr>
        <w:t xml:space="preserve">Προέλευση: </w:t>
      </w:r>
      <w:r>
        <w:rPr>
          <w:rFonts w:hint="default"/>
          <w:lang w:val="el-GR"/>
        </w:rPr>
        <w:fldChar w:fldCharType="begin"/>
      </w:r>
      <w:r>
        <w:rPr>
          <w:rFonts w:hint="default"/>
          <w:lang w:val="el-GR"/>
        </w:rPr>
        <w:instrText xml:space="preserve"> HYPERLINK "https://www.wildwinds.com/coins/ric/trajan/_acmoneia_BMC_51.jpg" </w:instrText>
      </w:r>
      <w:r>
        <w:rPr>
          <w:rFonts w:hint="default"/>
          <w:lang w:val="el-GR"/>
        </w:rPr>
        <w:fldChar w:fldCharType="separate"/>
      </w:r>
      <w:r>
        <w:rPr>
          <w:rStyle w:val="4"/>
          <w:rFonts w:hint="default"/>
          <w:lang w:val="el-GR"/>
        </w:rPr>
        <w:t>https://www.wildwinds.com/coins/ric/trajan/_acmoneia_BMC_51.jpg</w:t>
      </w:r>
      <w:r>
        <w:rPr>
          <w:rFonts w:hint="default"/>
          <w:lang w:val="el-GR"/>
        </w:rPr>
        <w:fldChar w:fldCharType="end"/>
      </w:r>
    </w:p>
    <w:p w14:paraId="33912115">
      <w:pPr>
        <w:jc w:val="center"/>
        <w:rPr>
          <w:rFonts w:hint="default"/>
          <w:lang w:val="el-GR"/>
        </w:rPr>
      </w:pPr>
    </w:p>
    <w:p w14:paraId="445F987F">
      <w:pPr>
        <w:jc w:val="center"/>
        <w:rPr>
          <w:rFonts w:hint="default"/>
          <w:lang w:val="el-GR"/>
        </w:rPr>
      </w:pPr>
    </w:p>
    <w:p w14:paraId="43B3E383">
      <w:pPr>
        <w:jc w:val="center"/>
        <w:rPr>
          <w:rFonts w:hint="default"/>
          <w:lang w:val="el-GR"/>
        </w:rPr>
      </w:pPr>
    </w:p>
    <w:p w14:paraId="037FAFEC">
      <w:pPr>
        <w:jc w:val="center"/>
        <w:rPr>
          <w:rFonts w:hint="default"/>
          <w:lang w:val="el-GR"/>
        </w:rPr>
      </w:pPr>
    </w:p>
    <w:p w14:paraId="0226ABF1">
      <w:pPr>
        <w:jc w:val="center"/>
        <w:rPr>
          <w:rFonts w:hint="default"/>
          <w:lang w:val="el-GR"/>
        </w:rPr>
      </w:pPr>
    </w:p>
    <w:p w14:paraId="34A12D11">
      <w:pPr>
        <w:jc w:val="center"/>
        <w:rPr>
          <w:rFonts w:hint="default"/>
          <w:lang w:val="el-GR"/>
        </w:rPr>
      </w:pPr>
    </w:p>
    <w:p w14:paraId="1CBD6388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6690" cy="3789680"/>
            <wp:effectExtent l="0" t="0" r="6350" b="5080"/>
            <wp:docPr id="7" name="Picture 7" descr="Funerary_door_stele_of_Ammia_and_Menogeneia_(Afyon_Museu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Funerary_door_stele_of_Ammia_and_Menogeneia_(Afyon_Museum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DF274">
      <w:pPr>
        <w:jc w:val="center"/>
        <w:rPr>
          <w:rFonts w:hint="default"/>
          <w:lang w:val="en-US"/>
        </w:rPr>
      </w:pPr>
    </w:p>
    <w:p w14:paraId="474A1A75">
      <w:pPr>
        <w:jc w:val="center"/>
        <w:rPr>
          <w:rFonts w:hint="default"/>
          <w:lang w:val="el-GR"/>
        </w:rPr>
      </w:pPr>
      <w:r>
        <w:rPr>
          <w:rFonts w:hint="default"/>
          <w:lang w:val="el-GR"/>
        </w:rPr>
        <w:t>Εικ.5</w:t>
      </w:r>
    </w:p>
    <w:p w14:paraId="26AD775C">
      <w:pPr>
        <w:jc w:val="center"/>
        <w:rPr>
          <w:rFonts w:hint="default"/>
          <w:lang w:val="el-GR"/>
        </w:rPr>
      </w:pPr>
      <w:r>
        <w:rPr>
          <w:rFonts w:hint="default"/>
          <w:lang w:val="el-GR"/>
        </w:rPr>
        <w:t>Θυρόμορφη επιτύμβια στήλη</w:t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l-GR"/>
        </w:rPr>
        <w:t>της Μηνογένειας από την Ακμονία.</w:t>
      </w:r>
    </w:p>
    <w:p w14:paraId="54A10CED">
      <w:pPr>
        <w:jc w:val="center"/>
        <w:rPr>
          <w:rFonts w:hint="default"/>
          <w:lang w:val="el-GR"/>
        </w:rPr>
      </w:pPr>
      <w:r>
        <w:rPr>
          <w:rFonts w:hint="default"/>
          <w:lang w:val="el-GR"/>
        </w:rPr>
        <w:t xml:space="preserve">Προέλευση:  </w:t>
      </w:r>
      <w:r>
        <w:rPr>
          <w:rFonts w:hint="default"/>
          <w:lang w:val="el-GR"/>
        </w:rPr>
        <w:fldChar w:fldCharType="begin"/>
      </w:r>
      <w:r>
        <w:rPr>
          <w:rFonts w:hint="default"/>
          <w:lang w:val="el-GR"/>
        </w:rPr>
        <w:instrText xml:space="preserve"> HYPERLINK "https://en.wikipedia.org/wiki/Acmonia#/media/File:Funerary_door_stele_of_Ammia_and_Menogeneia_(Afyon_Museum).jpg" </w:instrText>
      </w:r>
      <w:r>
        <w:rPr>
          <w:rFonts w:hint="default"/>
          <w:lang w:val="el-GR"/>
        </w:rPr>
        <w:fldChar w:fldCharType="separate"/>
      </w:r>
      <w:r>
        <w:rPr>
          <w:rStyle w:val="4"/>
          <w:rFonts w:hint="default"/>
          <w:lang w:val="el-GR"/>
        </w:rPr>
        <w:t>https://en.wikipedia.org/wiki/Acmonia#/media/File:Funerary_door_stele_of_Ammia_and_Menogeneia_(Afyon_Museum).jpg</w:t>
      </w:r>
      <w:r>
        <w:rPr>
          <w:rFonts w:hint="default"/>
          <w:lang w:val="el-GR"/>
        </w:rPr>
        <w:fldChar w:fldCharType="end"/>
      </w:r>
    </w:p>
    <w:p w14:paraId="3A39A7F0">
      <w:pPr>
        <w:jc w:val="center"/>
        <w:rPr>
          <w:rFonts w:hint="default"/>
          <w:lang w:val="el-GR"/>
        </w:rPr>
      </w:pPr>
    </w:p>
    <w:p w14:paraId="1DB3D60F">
      <w:pPr>
        <w:jc w:val="center"/>
        <w:rPr>
          <w:rFonts w:hint="default"/>
          <w:lang w:val="el-GR"/>
        </w:rPr>
      </w:pPr>
    </w:p>
    <w:p w14:paraId="3732EEDB">
      <w:pPr>
        <w:jc w:val="center"/>
        <w:rPr>
          <w:rFonts w:hint="default"/>
          <w:lang w:val="el-GR"/>
        </w:rPr>
      </w:pPr>
    </w:p>
    <w:p w14:paraId="71E8E70C">
      <w:pPr>
        <w:jc w:val="center"/>
        <w:rPr>
          <w:rFonts w:hint="default"/>
          <w:lang w:val="el-GR"/>
        </w:rPr>
      </w:pPr>
    </w:p>
    <w:p w14:paraId="3E209C10">
      <w:pPr>
        <w:jc w:val="center"/>
        <w:rPr>
          <w:rFonts w:hint="default"/>
          <w:lang w:val="el-GR"/>
        </w:rPr>
      </w:pPr>
    </w:p>
    <w:p w14:paraId="20BCE3A7">
      <w:pPr>
        <w:jc w:val="center"/>
        <w:rPr>
          <w:rFonts w:hint="default"/>
          <w:lang w:val="el-GR"/>
        </w:rPr>
      </w:pPr>
    </w:p>
    <w:p w14:paraId="1A556034">
      <w:pPr>
        <w:jc w:val="center"/>
        <w:rPr>
          <w:rFonts w:hint="default"/>
          <w:lang w:val="el-GR"/>
        </w:rPr>
      </w:pPr>
    </w:p>
    <w:p w14:paraId="72FACBB1">
      <w:pPr>
        <w:jc w:val="center"/>
        <w:rPr>
          <w:rFonts w:hint="default"/>
          <w:lang w:val="el-GR"/>
        </w:rPr>
      </w:pPr>
    </w:p>
    <w:p w14:paraId="1355234A">
      <w:pPr>
        <w:jc w:val="center"/>
        <w:rPr>
          <w:rFonts w:hint="default"/>
          <w:lang w:val="el-GR"/>
        </w:rPr>
      </w:pPr>
    </w:p>
    <w:p w14:paraId="516F6A21">
      <w:pPr>
        <w:jc w:val="center"/>
        <w:rPr>
          <w:rFonts w:hint="default"/>
          <w:lang w:val="el-GR"/>
        </w:rPr>
      </w:pPr>
    </w:p>
    <w:p w14:paraId="7E0A711C">
      <w:pPr>
        <w:jc w:val="center"/>
        <w:rPr>
          <w:rFonts w:hint="default"/>
          <w:lang w:val="el-GR"/>
        </w:rPr>
      </w:pPr>
    </w:p>
    <w:p w14:paraId="3CED1FD9">
      <w:pPr>
        <w:jc w:val="center"/>
        <w:rPr>
          <w:rFonts w:hint="default"/>
          <w:lang w:val="el-GR"/>
        </w:rPr>
      </w:pPr>
    </w:p>
    <w:p w14:paraId="1A4EC865">
      <w:pPr>
        <w:jc w:val="center"/>
        <w:rPr>
          <w:rFonts w:hint="default"/>
          <w:lang w:val="el-GR"/>
        </w:rPr>
      </w:pPr>
    </w:p>
    <w:p w14:paraId="2D7A4FB8">
      <w:pPr>
        <w:jc w:val="center"/>
        <w:rPr>
          <w:rFonts w:hint="default"/>
          <w:lang w:val="el-GR"/>
        </w:rPr>
      </w:pPr>
    </w:p>
    <w:p w14:paraId="446A36B1">
      <w:pPr>
        <w:jc w:val="center"/>
        <w:rPr>
          <w:rFonts w:hint="default"/>
          <w:lang w:val="el-GR"/>
        </w:rPr>
      </w:pPr>
    </w:p>
    <w:p w14:paraId="4893F3CC">
      <w:pPr>
        <w:jc w:val="center"/>
        <w:rPr>
          <w:rFonts w:hint="default"/>
          <w:lang w:val="el-GR"/>
        </w:rPr>
      </w:pPr>
    </w:p>
    <w:p w14:paraId="6C95C92C">
      <w:pPr>
        <w:jc w:val="center"/>
        <w:rPr>
          <w:rFonts w:hint="default"/>
          <w:lang w:val="el-GR"/>
        </w:rPr>
      </w:pPr>
    </w:p>
    <w:p w14:paraId="1CEA7DFE">
      <w:pPr>
        <w:jc w:val="center"/>
        <w:rPr>
          <w:rFonts w:hint="default"/>
          <w:lang w:val="el-GR"/>
        </w:rPr>
      </w:pPr>
    </w:p>
    <w:p w14:paraId="43F9E50D">
      <w:pPr>
        <w:jc w:val="center"/>
        <w:rPr>
          <w:rFonts w:hint="default"/>
          <w:lang w:val="el-GR"/>
        </w:rPr>
      </w:pPr>
    </w:p>
    <w:p w14:paraId="67442E52">
      <w:pPr>
        <w:jc w:val="center"/>
        <w:rPr>
          <w:rFonts w:hint="default"/>
          <w:lang w:val="el-GR"/>
        </w:rPr>
      </w:pPr>
    </w:p>
    <w:p w14:paraId="70353356">
      <w:pPr>
        <w:jc w:val="center"/>
        <w:rPr>
          <w:rFonts w:hint="default"/>
          <w:lang w:val="el-GR"/>
        </w:rPr>
      </w:pPr>
    </w:p>
    <w:p w14:paraId="48F8DAA3">
      <w:pPr>
        <w:jc w:val="center"/>
        <w:rPr>
          <w:rFonts w:hint="default"/>
          <w:lang w:val="el-GR"/>
        </w:rPr>
      </w:pPr>
    </w:p>
    <w:p w14:paraId="2B7BB6B8">
      <w:pPr>
        <w:jc w:val="center"/>
        <w:rPr>
          <w:rFonts w:hint="default"/>
          <w:lang w:val="el-GR"/>
        </w:rPr>
      </w:pPr>
    </w:p>
    <w:p w14:paraId="051934D1">
      <w:pPr>
        <w:jc w:val="center"/>
        <w:rPr>
          <w:rFonts w:hint="default"/>
          <w:lang w:val="el-GR"/>
        </w:rPr>
      </w:pPr>
    </w:p>
    <w:p w14:paraId="35905626">
      <w:pPr>
        <w:jc w:val="center"/>
        <w:rPr>
          <w:rFonts w:hint="default"/>
          <w:lang w:val="el-GR"/>
        </w:rPr>
      </w:pPr>
    </w:p>
    <w:p w14:paraId="4A19C318">
      <w:pPr>
        <w:jc w:val="center"/>
        <w:rPr>
          <w:rFonts w:hint="default"/>
          <w:lang w:val="el-GR"/>
        </w:rPr>
      </w:pPr>
    </w:p>
    <w:p w14:paraId="2B2D4264">
      <w:pPr>
        <w:jc w:val="center"/>
        <w:rPr>
          <w:rFonts w:ascii="SimSun" w:hAnsi="SimSun" w:eastAsia="SimSun" w:cs="SimSun"/>
          <w:sz w:val="24"/>
          <w:szCs w:val="24"/>
        </w:rPr>
      </w:pPr>
    </w:p>
    <w:p w14:paraId="31505958"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952750" cy="4572000"/>
            <wp:effectExtent l="0" t="0" r="3810" b="0"/>
            <wp:docPr id="8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A52B5B">
      <w:pPr>
        <w:jc w:val="center"/>
        <w:rPr>
          <w:rFonts w:hint="default" w:ascii="Calibri" w:hAnsi="Calibri" w:eastAsia="SimSun" w:cs="Calibri"/>
          <w:sz w:val="20"/>
          <w:szCs w:val="20"/>
          <w:lang w:val="el-GR"/>
        </w:rPr>
      </w:pPr>
      <w:r>
        <w:rPr>
          <w:rFonts w:hint="default" w:ascii="Calibri" w:hAnsi="Calibri" w:eastAsia="SimSun" w:cs="Calibri"/>
          <w:sz w:val="20"/>
          <w:szCs w:val="20"/>
          <w:lang w:val="el-GR"/>
        </w:rPr>
        <w:t>Εικ.6</w:t>
      </w:r>
    </w:p>
    <w:p w14:paraId="7532D2F1">
      <w:pPr>
        <w:jc w:val="center"/>
        <w:rPr>
          <w:rFonts w:hint="default" w:ascii="Calibri" w:hAnsi="Calibri" w:eastAsia="SimSun" w:cs="Calibri"/>
          <w:sz w:val="20"/>
          <w:szCs w:val="20"/>
          <w:lang w:val="en-US"/>
        </w:rPr>
      </w:pPr>
      <w:r>
        <w:rPr>
          <w:rFonts w:hint="default" w:ascii="Calibri" w:hAnsi="Calibri" w:eastAsia="SimSun" w:cs="Calibri"/>
          <w:sz w:val="20"/>
          <w:szCs w:val="20"/>
          <w:lang w:val="el-GR"/>
        </w:rPr>
        <w:t>Ψηφιδωτό με παράσταση της προσωποποιημένης αγωνοθεσίας</w:t>
      </w:r>
      <w:r>
        <w:rPr>
          <w:rFonts w:hint="default" w:ascii="Calibri" w:hAnsi="Calibri" w:eastAsia="SimSun" w:cs="Calibri"/>
          <w:sz w:val="20"/>
          <w:szCs w:val="20"/>
          <w:lang w:val="en-US"/>
        </w:rPr>
        <w:t>.</w:t>
      </w:r>
      <w:bookmarkStart w:id="0" w:name="_GoBack"/>
      <w:bookmarkEnd w:id="0"/>
    </w:p>
    <w:p w14:paraId="0BD79403">
      <w:pPr>
        <w:jc w:val="center"/>
        <w:rPr>
          <w:rFonts w:hint="default" w:ascii="Calibri" w:hAnsi="Calibri" w:eastAsia="SimSun"/>
          <w:sz w:val="20"/>
          <w:szCs w:val="20"/>
          <w:lang w:val="el-GR"/>
        </w:rPr>
      </w:pPr>
      <w:r>
        <w:rPr>
          <w:rFonts w:hint="default" w:ascii="Calibri" w:hAnsi="Calibri" w:eastAsia="SimSun" w:cs="Calibri"/>
          <w:sz w:val="20"/>
          <w:szCs w:val="20"/>
          <w:lang w:val="el-GR"/>
        </w:rPr>
        <w:t xml:space="preserve">Προέλευση: </w:t>
      </w:r>
      <w:r>
        <w:rPr>
          <w:rFonts w:hint="default" w:ascii="Calibri" w:hAnsi="Calibri" w:eastAsia="SimSun"/>
          <w:sz w:val="20"/>
          <w:szCs w:val="20"/>
          <w:lang w:val="el-GR"/>
        </w:rPr>
        <w:fldChar w:fldCharType="begin"/>
      </w:r>
      <w:r>
        <w:rPr>
          <w:rFonts w:hint="default" w:ascii="Calibri" w:hAnsi="Calibri" w:eastAsia="SimSun"/>
          <w:sz w:val="20"/>
          <w:szCs w:val="20"/>
          <w:lang w:val="el-GR"/>
        </w:rPr>
        <w:instrText xml:space="preserve"> HYPERLINK "https://tdmclinic.com/gez/yer?&amp;q=U%C5%9Fak&amp;gez_id=2072&amp;lang=en" </w:instrText>
      </w:r>
      <w:r>
        <w:rPr>
          <w:rFonts w:hint="default" w:ascii="Calibri" w:hAnsi="Calibri" w:eastAsia="SimSun"/>
          <w:sz w:val="20"/>
          <w:szCs w:val="20"/>
          <w:lang w:val="el-GR"/>
        </w:rPr>
        <w:fldChar w:fldCharType="separate"/>
      </w:r>
      <w:r>
        <w:rPr>
          <w:rStyle w:val="4"/>
          <w:rFonts w:hint="default" w:ascii="Calibri" w:hAnsi="Calibri" w:eastAsia="SimSun"/>
          <w:sz w:val="20"/>
          <w:szCs w:val="20"/>
          <w:lang w:val="el-GR"/>
        </w:rPr>
        <w:t>https://tdmclinic.com/gez/yer?&amp;q=U%C5%9Fak&amp;gez_id=2072&amp;lang=en</w:t>
      </w:r>
      <w:r>
        <w:rPr>
          <w:rFonts w:hint="default" w:ascii="Calibri" w:hAnsi="Calibri" w:eastAsia="SimSun"/>
          <w:sz w:val="20"/>
          <w:szCs w:val="20"/>
          <w:lang w:val="el-GR"/>
        </w:rPr>
        <w:fldChar w:fldCharType="end"/>
      </w:r>
    </w:p>
    <w:p w14:paraId="39E8E1F6">
      <w:pPr>
        <w:jc w:val="center"/>
        <w:rPr>
          <w:rFonts w:hint="default" w:ascii="Calibri" w:hAnsi="Calibri" w:eastAsia="SimSun"/>
          <w:sz w:val="20"/>
          <w:szCs w:val="20"/>
          <w:lang w:val="el-GR"/>
        </w:rPr>
      </w:pPr>
    </w:p>
    <w:p w14:paraId="258AAF9D">
      <w:pPr>
        <w:jc w:val="center"/>
        <w:rPr>
          <w:rFonts w:hint="default" w:ascii="Calibri" w:hAnsi="Calibri" w:eastAsia="SimSun"/>
          <w:sz w:val="24"/>
          <w:szCs w:val="24"/>
          <w:lang w:val="el-GR"/>
        </w:rPr>
      </w:pPr>
    </w:p>
    <w:p w14:paraId="35616BA3">
      <w:pPr>
        <w:jc w:val="center"/>
        <w:rPr>
          <w:rFonts w:hint="default" w:ascii="Calibri" w:hAnsi="Calibri" w:eastAsia="SimSun"/>
          <w:sz w:val="24"/>
          <w:szCs w:val="24"/>
          <w:lang w:val="el-GR"/>
        </w:rPr>
      </w:pPr>
    </w:p>
    <w:p w14:paraId="1A50E80A">
      <w:pPr>
        <w:jc w:val="center"/>
        <w:rPr>
          <w:rFonts w:hint="default" w:ascii="Calibri" w:hAnsi="Calibri" w:eastAsia="SimSun"/>
          <w:sz w:val="24"/>
          <w:szCs w:val="24"/>
          <w:lang w:val="el-GR"/>
        </w:rPr>
      </w:pPr>
    </w:p>
    <w:p w14:paraId="0D82D909">
      <w:pPr>
        <w:jc w:val="center"/>
        <w:rPr>
          <w:rFonts w:hint="default" w:ascii="Calibri" w:hAnsi="Calibri" w:eastAsia="SimSun"/>
          <w:sz w:val="24"/>
          <w:szCs w:val="24"/>
          <w:lang w:val="el-GR"/>
        </w:rPr>
      </w:pPr>
    </w:p>
    <w:p w14:paraId="0AF74CE5">
      <w:pPr>
        <w:jc w:val="center"/>
        <w:rPr>
          <w:rFonts w:hint="default" w:ascii="Calibri" w:hAnsi="Calibri" w:eastAsia="SimSun"/>
          <w:sz w:val="24"/>
          <w:szCs w:val="24"/>
          <w:lang w:val="el-GR"/>
        </w:rPr>
      </w:pPr>
    </w:p>
    <w:p w14:paraId="03AA1376">
      <w:pPr>
        <w:jc w:val="center"/>
        <w:rPr>
          <w:rFonts w:hint="default" w:ascii="Calibri" w:hAnsi="Calibri" w:eastAsia="SimSun"/>
          <w:sz w:val="24"/>
          <w:szCs w:val="24"/>
          <w:lang w:val="el-GR"/>
        </w:rPr>
      </w:pPr>
    </w:p>
    <w:p w14:paraId="1710CF84">
      <w:pPr>
        <w:jc w:val="center"/>
        <w:rPr>
          <w:rFonts w:hint="default" w:ascii="Calibri" w:hAnsi="Calibri" w:eastAsia="SimSun"/>
          <w:sz w:val="24"/>
          <w:szCs w:val="24"/>
          <w:lang w:val="el-GR"/>
        </w:rPr>
      </w:pPr>
    </w:p>
    <w:p w14:paraId="20037A5F">
      <w:pPr>
        <w:jc w:val="center"/>
        <w:rPr>
          <w:rFonts w:hint="default" w:ascii="Calibri" w:hAnsi="Calibri" w:eastAsia="SimSun"/>
          <w:sz w:val="24"/>
          <w:szCs w:val="24"/>
          <w:lang w:val="el-GR"/>
        </w:rPr>
      </w:pPr>
    </w:p>
    <w:p w14:paraId="6D7336F2">
      <w:pPr>
        <w:jc w:val="center"/>
        <w:rPr>
          <w:rFonts w:hint="default" w:ascii="Calibri" w:hAnsi="Calibri" w:eastAsia="SimSun"/>
          <w:sz w:val="24"/>
          <w:szCs w:val="24"/>
          <w:lang w:val="el-GR"/>
        </w:rPr>
      </w:pPr>
    </w:p>
    <w:p w14:paraId="5BE5356A">
      <w:pPr>
        <w:jc w:val="center"/>
        <w:rPr>
          <w:rFonts w:hint="default" w:ascii="Calibri" w:hAnsi="Calibri" w:eastAsia="SimSun"/>
          <w:sz w:val="24"/>
          <w:szCs w:val="24"/>
          <w:lang w:val="el-GR"/>
        </w:rPr>
      </w:pPr>
    </w:p>
    <w:p w14:paraId="2CD07BE7">
      <w:pPr>
        <w:jc w:val="center"/>
        <w:rPr>
          <w:rFonts w:hint="default" w:ascii="Calibri" w:hAnsi="Calibri" w:eastAsia="SimSun"/>
          <w:sz w:val="24"/>
          <w:szCs w:val="24"/>
          <w:lang w:val="el-GR"/>
        </w:rPr>
      </w:pPr>
    </w:p>
    <w:p w14:paraId="6A6A4EBB">
      <w:pPr>
        <w:jc w:val="center"/>
        <w:rPr>
          <w:rFonts w:hint="default" w:ascii="Calibri" w:hAnsi="Calibri" w:eastAsia="SimSun"/>
          <w:sz w:val="24"/>
          <w:szCs w:val="24"/>
          <w:lang w:val="el-GR"/>
        </w:rPr>
      </w:pPr>
    </w:p>
    <w:p w14:paraId="1C030003">
      <w:pPr>
        <w:jc w:val="center"/>
        <w:rPr>
          <w:rFonts w:hint="default" w:ascii="Calibri" w:hAnsi="Calibri" w:eastAsia="SimSun"/>
          <w:sz w:val="24"/>
          <w:szCs w:val="24"/>
          <w:lang w:val="el-GR"/>
        </w:rPr>
      </w:pPr>
    </w:p>
    <w:p w14:paraId="1DB16192">
      <w:pPr>
        <w:jc w:val="center"/>
        <w:rPr>
          <w:rFonts w:hint="default" w:ascii="Calibri" w:hAnsi="Calibri" w:eastAsia="SimSun"/>
          <w:sz w:val="24"/>
          <w:szCs w:val="24"/>
          <w:lang w:val="el-GR"/>
        </w:rPr>
      </w:pPr>
    </w:p>
    <w:p w14:paraId="2017A3A0">
      <w:pPr>
        <w:jc w:val="center"/>
        <w:rPr>
          <w:rFonts w:hint="default" w:ascii="Calibri" w:hAnsi="Calibri" w:eastAsia="SimSun"/>
          <w:sz w:val="24"/>
          <w:szCs w:val="24"/>
          <w:lang w:val="el-GR"/>
        </w:rPr>
      </w:pPr>
    </w:p>
    <w:p w14:paraId="5D0D6B17">
      <w:pPr>
        <w:jc w:val="center"/>
        <w:rPr>
          <w:rFonts w:hint="default" w:ascii="Calibri" w:hAnsi="Calibri" w:eastAsia="SimSun"/>
          <w:sz w:val="24"/>
          <w:szCs w:val="24"/>
          <w:lang w:val="el-GR"/>
        </w:rPr>
      </w:pPr>
    </w:p>
    <w:p w14:paraId="2803C74F">
      <w:pPr>
        <w:jc w:val="center"/>
        <w:rPr>
          <w:rFonts w:hint="default" w:ascii="Calibri" w:hAnsi="Calibri" w:eastAsia="SimSun"/>
          <w:sz w:val="24"/>
          <w:szCs w:val="24"/>
          <w:lang w:val="el-GR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272405" cy="4803775"/>
            <wp:effectExtent l="0" t="0" r="635" b="12065"/>
            <wp:docPr id="9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0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36DA76">
      <w:pPr>
        <w:jc w:val="center"/>
        <w:rPr>
          <w:rFonts w:hint="default" w:ascii="Calibri" w:hAnsi="Calibri" w:eastAsia="SimSun"/>
          <w:sz w:val="20"/>
          <w:szCs w:val="20"/>
          <w:lang w:val="en-US"/>
        </w:rPr>
      </w:pPr>
      <w:r>
        <w:rPr>
          <w:rFonts w:hint="default" w:ascii="Calibri" w:hAnsi="Calibri" w:eastAsia="SimSun"/>
          <w:sz w:val="20"/>
          <w:szCs w:val="20"/>
          <w:lang w:val="el-GR"/>
        </w:rPr>
        <w:t>Εικ</w:t>
      </w:r>
      <w:r>
        <w:rPr>
          <w:rFonts w:hint="default" w:ascii="Calibri" w:hAnsi="Calibri" w:eastAsia="SimSun"/>
          <w:sz w:val="20"/>
          <w:szCs w:val="20"/>
          <w:lang w:val="en-US"/>
        </w:rPr>
        <w:t>.7</w:t>
      </w:r>
    </w:p>
    <w:p w14:paraId="467E26DC">
      <w:pPr>
        <w:jc w:val="center"/>
        <w:rPr>
          <w:rFonts w:hint="default" w:ascii="Calibri" w:hAnsi="Calibri" w:eastAsia="SimSun"/>
          <w:sz w:val="20"/>
          <w:szCs w:val="20"/>
          <w:lang w:val="el-GR"/>
        </w:rPr>
      </w:pPr>
      <w:r>
        <w:rPr>
          <w:rFonts w:hint="default" w:ascii="Calibri" w:hAnsi="Calibri" w:eastAsia="SimSun"/>
          <w:sz w:val="20"/>
          <w:szCs w:val="20"/>
          <w:lang w:val="el-GR"/>
        </w:rPr>
        <w:t>Η τιμητική επιγραφή της Τατίας μετά την ανακάλυψή της.</w:t>
      </w:r>
    </w:p>
    <w:p w14:paraId="2D16CE39">
      <w:pPr>
        <w:jc w:val="center"/>
        <w:rPr>
          <w:rFonts w:hint="default" w:ascii="Calibri" w:hAnsi="Calibri" w:eastAsia="SimSun"/>
          <w:sz w:val="20"/>
          <w:szCs w:val="20"/>
          <w:lang w:val="el-GR"/>
        </w:rPr>
      </w:pPr>
      <w:r>
        <w:rPr>
          <w:rFonts w:hint="default" w:ascii="Calibri" w:hAnsi="Calibri" w:eastAsia="SimSun"/>
          <w:sz w:val="20"/>
          <w:szCs w:val="20"/>
          <w:lang w:val="el-GR"/>
        </w:rPr>
        <w:t xml:space="preserve">Προέλευση: </w:t>
      </w:r>
      <w:r>
        <w:rPr>
          <w:rFonts w:hint="default" w:ascii="Calibri" w:hAnsi="Calibri" w:eastAsia="SimSun"/>
          <w:sz w:val="20"/>
          <w:szCs w:val="20"/>
          <w:lang w:val="el-GR"/>
        </w:rPr>
        <w:fldChar w:fldCharType="begin"/>
      </w:r>
      <w:r>
        <w:rPr>
          <w:rFonts w:hint="default" w:ascii="Calibri" w:hAnsi="Calibri" w:eastAsia="SimSun"/>
          <w:sz w:val="20"/>
          <w:szCs w:val="20"/>
          <w:lang w:val="el-GR"/>
        </w:rPr>
        <w:instrText xml:space="preserve"> HYPERLINK "https://mama.csad.ox.ac.uk/monuments/images/ill/MHB-1955-109-ph.jpg" </w:instrText>
      </w:r>
      <w:r>
        <w:rPr>
          <w:rFonts w:hint="default" w:ascii="Calibri" w:hAnsi="Calibri" w:eastAsia="SimSun"/>
          <w:sz w:val="20"/>
          <w:szCs w:val="20"/>
          <w:lang w:val="el-GR"/>
        </w:rPr>
        <w:fldChar w:fldCharType="separate"/>
      </w:r>
      <w:r>
        <w:rPr>
          <w:rStyle w:val="4"/>
          <w:rFonts w:hint="default" w:ascii="Calibri" w:hAnsi="Calibri" w:eastAsia="SimSun"/>
          <w:sz w:val="20"/>
          <w:szCs w:val="20"/>
          <w:lang w:val="el-GR"/>
        </w:rPr>
        <w:t>https://mama.csad.ox.ac.uk/monuments/images/ill/MHB-1955-109-ph.jpg</w:t>
      </w:r>
      <w:r>
        <w:rPr>
          <w:rFonts w:hint="default" w:ascii="Calibri" w:hAnsi="Calibri" w:eastAsia="SimSun"/>
          <w:sz w:val="20"/>
          <w:szCs w:val="20"/>
          <w:lang w:val="el-GR"/>
        </w:rPr>
        <w:fldChar w:fldCharType="end"/>
      </w:r>
    </w:p>
    <w:p w14:paraId="55FB4F60">
      <w:pPr>
        <w:jc w:val="center"/>
        <w:rPr>
          <w:rFonts w:hint="default" w:ascii="Calibri" w:hAnsi="Calibri" w:eastAsia="SimSun"/>
          <w:sz w:val="20"/>
          <w:szCs w:val="20"/>
          <w:lang w:val="el-GR"/>
        </w:rPr>
      </w:pPr>
    </w:p>
    <w:p w14:paraId="4846F2A5">
      <w:pPr>
        <w:jc w:val="center"/>
        <w:rPr>
          <w:rFonts w:hint="default" w:ascii="Calibri" w:hAnsi="Calibri" w:eastAsia="SimSun"/>
          <w:sz w:val="24"/>
          <w:szCs w:val="24"/>
          <w:lang w:val="el-GR"/>
        </w:rPr>
      </w:pPr>
    </w:p>
    <w:p w14:paraId="53767693">
      <w:pPr>
        <w:jc w:val="center"/>
        <w:rPr>
          <w:rFonts w:hint="default" w:ascii="Calibri" w:hAnsi="Calibri" w:eastAsia="SimSun"/>
          <w:sz w:val="24"/>
          <w:szCs w:val="24"/>
          <w:lang w:val="en-US"/>
        </w:rPr>
      </w:pPr>
    </w:p>
    <w:p w14:paraId="381B714D">
      <w:pPr>
        <w:jc w:val="center"/>
        <w:rPr>
          <w:rFonts w:hint="default" w:ascii="Calibri" w:hAnsi="Calibri" w:eastAsia="SimSun"/>
          <w:sz w:val="24"/>
          <w:szCs w:val="24"/>
          <w:lang w:val="el-GR"/>
        </w:rPr>
      </w:pPr>
    </w:p>
    <w:p w14:paraId="4B2B23A7">
      <w:pPr>
        <w:jc w:val="center"/>
        <w:rPr>
          <w:rFonts w:hint="default" w:ascii="Calibri" w:hAnsi="Calibri" w:eastAsia="SimSun"/>
          <w:sz w:val="24"/>
          <w:szCs w:val="24"/>
          <w:lang w:val="el-GR"/>
        </w:rPr>
      </w:pPr>
    </w:p>
    <w:p w14:paraId="0F43527B">
      <w:pPr>
        <w:jc w:val="center"/>
        <w:rPr>
          <w:rFonts w:hint="default" w:ascii="Calibri" w:hAnsi="Calibri" w:eastAsia="SimSun"/>
          <w:sz w:val="24"/>
          <w:szCs w:val="24"/>
          <w:lang w:val="el-GR"/>
        </w:rPr>
      </w:pPr>
    </w:p>
    <w:p w14:paraId="4614EB2F">
      <w:pPr>
        <w:jc w:val="center"/>
        <w:rPr>
          <w:rFonts w:hint="default" w:ascii="Calibri" w:hAnsi="Calibri" w:eastAsia="SimSun"/>
          <w:sz w:val="24"/>
          <w:szCs w:val="24"/>
          <w:lang w:val="el-GR"/>
        </w:rPr>
      </w:pPr>
    </w:p>
    <w:p w14:paraId="25132A2A">
      <w:pPr>
        <w:jc w:val="center"/>
        <w:rPr>
          <w:rFonts w:hint="default" w:ascii="Calibri" w:hAnsi="Calibri" w:eastAsia="SimSun"/>
          <w:sz w:val="24"/>
          <w:szCs w:val="24"/>
          <w:lang w:val="el-GR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 Historic">
    <w:panose1 w:val="020B0502040204020203"/>
    <w:charset w:val="00"/>
    <w:family w:val="auto"/>
    <w:pitch w:val="default"/>
    <w:sig w:usb0="800001EF" w:usb1="02000002" w:usb2="0060C080" w:usb3="00000002" w:csb0="00000001" w:csb1="40000000"/>
  </w:font>
  <w:font w:name="Segoe UI Variable Display Semibold">
    <w:panose1 w:val="00000000000000000000"/>
    <w:charset w:val="00"/>
    <w:family w:val="auto"/>
    <w:pitch w:val="default"/>
    <w:sig w:usb0="A00002FF" w:usb1="0000000B" w:usb2="00000000" w:usb3="00000000" w:csb0="2000019F" w:csb1="00000000"/>
  </w:font>
  <w:font w:name="Freestyle Script">
    <w:panose1 w:val="030804020302050B04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4A56C8"/>
    <w:rsid w:val="697C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56</TotalTime>
  <ScaleCrop>false</ScaleCrop>
  <LinksUpToDate>false</LinksUpToDate>
  <CharactersWithSpaces>0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2025-06-04T13:19:31Z</dcterms:created>
  <dc:creator>Κωνσταντίνος</dc:creator>
  <cp:lastModifiedBy>Κωνσταντίνος Κουμεντάκης</cp:lastModifiedBy>
  <dcterms:modified xsi:type="dcterms:W3CDTF">2025-06-04T14:37:29Z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87B3DF9D62EC4398A08AAD059C255274_13</vt:lpwstr>
  </property>
</Properties>
</file>