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E3" w:rsidRPr="00D27DB7" w:rsidRDefault="00D27DB7" w:rsidP="00D27DB7">
      <w:pPr>
        <w:spacing w:after="0" w:line="360" w:lineRule="atLeast"/>
        <w:jc w:val="both"/>
        <w:rPr>
          <w:rFonts w:ascii="Palatino Linotype" w:hAnsi="Palatino Linotype"/>
          <w:sz w:val="24"/>
          <w:szCs w:val="24"/>
          <w:lang w:val="en-US"/>
        </w:rPr>
      </w:pPr>
      <w:bookmarkStart w:id="0" w:name="_GoBack"/>
      <w:proofErr w:type="spellStart"/>
      <w:r w:rsidRPr="00D27DB7">
        <w:rPr>
          <w:rFonts w:ascii="Palatino Linotype" w:hAnsi="Palatino Linotype"/>
          <w:sz w:val="24"/>
          <w:szCs w:val="24"/>
          <w:lang w:val="en-US"/>
        </w:rPr>
        <w:t>Violaine</w:t>
      </w:r>
      <w:proofErr w:type="spellEnd"/>
      <w:r w:rsidRPr="00D27DB7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D27DB7">
        <w:rPr>
          <w:rFonts w:ascii="Palatino Linotype" w:hAnsi="Palatino Linotype"/>
          <w:sz w:val="24"/>
          <w:szCs w:val="24"/>
          <w:lang w:val="en-US"/>
        </w:rPr>
        <w:t>Sebillotte</w:t>
      </w:r>
      <w:proofErr w:type="spellEnd"/>
      <w:r w:rsidRPr="00D27DB7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D27DB7">
        <w:rPr>
          <w:rFonts w:ascii="Palatino Linotype" w:hAnsi="Palatino Linotype"/>
          <w:sz w:val="24"/>
          <w:szCs w:val="24"/>
          <w:lang w:val="en-US"/>
        </w:rPr>
        <w:t>Cuchet</w:t>
      </w:r>
      <w:proofErr w:type="spellEnd"/>
      <w:r w:rsidRPr="00D27DB7">
        <w:rPr>
          <w:rFonts w:ascii="Palatino Linotype" w:hAnsi="Palatino Linotype"/>
          <w:sz w:val="24"/>
          <w:szCs w:val="24"/>
          <w:lang w:val="en-US"/>
        </w:rPr>
        <w:t xml:space="preserve"> is Professor in </w:t>
      </w:r>
      <w:proofErr w:type="gramStart"/>
      <w:r w:rsidRPr="00D27DB7">
        <w:rPr>
          <w:rFonts w:ascii="Palatino Linotype" w:hAnsi="Palatino Linotype"/>
          <w:sz w:val="24"/>
          <w:szCs w:val="24"/>
          <w:lang w:val="en-US"/>
        </w:rPr>
        <w:t>Greek  History</w:t>
      </w:r>
      <w:proofErr w:type="gramEnd"/>
      <w:r w:rsidRPr="00D27DB7">
        <w:rPr>
          <w:rFonts w:ascii="Palatino Linotype" w:hAnsi="Palatino Linotype"/>
          <w:sz w:val="24"/>
          <w:szCs w:val="24"/>
          <w:lang w:val="en-US"/>
        </w:rPr>
        <w:t xml:space="preserve"> at the University of Paris 1 </w:t>
      </w:r>
      <w:proofErr w:type="spellStart"/>
      <w:r w:rsidRPr="00D27DB7">
        <w:rPr>
          <w:rFonts w:ascii="Palatino Linotype" w:hAnsi="Palatino Linotype"/>
          <w:sz w:val="24"/>
          <w:szCs w:val="24"/>
          <w:lang w:val="en-US"/>
        </w:rPr>
        <w:t>Panthéon</w:t>
      </w:r>
      <w:proofErr w:type="spellEnd"/>
      <w:r w:rsidRPr="00D27DB7">
        <w:rPr>
          <w:rFonts w:ascii="Palatino Linotype" w:hAnsi="Palatino Linotype"/>
          <w:sz w:val="24"/>
          <w:szCs w:val="24"/>
          <w:lang w:val="en-US"/>
        </w:rPr>
        <w:t xml:space="preserve">-Sorbonne.  Her current work focuses on gender organizations in the Greek worlds during </w:t>
      </w:r>
      <w:proofErr w:type="gramStart"/>
      <w:r w:rsidRPr="00D27DB7">
        <w:rPr>
          <w:rFonts w:ascii="Palatino Linotype" w:hAnsi="Palatino Linotype"/>
          <w:sz w:val="24"/>
          <w:szCs w:val="24"/>
          <w:lang w:val="en-US"/>
        </w:rPr>
        <w:t>the  Archaic</w:t>
      </w:r>
      <w:proofErr w:type="gramEnd"/>
      <w:r w:rsidRPr="00D27DB7">
        <w:rPr>
          <w:rFonts w:ascii="Palatino Linotype" w:hAnsi="Palatino Linotype"/>
          <w:sz w:val="24"/>
          <w:szCs w:val="24"/>
          <w:lang w:val="en-US"/>
        </w:rPr>
        <w:t xml:space="preserve"> and Classical periods.  She received her doctorate from </w:t>
      </w:r>
      <w:proofErr w:type="gramStart"/>
      <w:r w:rsidRPr="00D27DB7">
        <w:rPr>
          <w:rFonts w:ascii="Palatino Linotype" w:hAnsi="Palatino Linotype"/>
          <w:sz w:val="24"/>
          <w:szCs w:val="24"/>
          <w:lang w:val="en-US"/>
        </w:rPr>
        <w:t>the  University</w:t>
      </w:r>
      <w:proofErr w:type="gramEnd"/>
      <w:r w:rsidRPr="00D27DB7">
        <w:rPr>
          <w:rFonts w:ascii="Palatino Linotype" w:hAnsi="Palatino Linotype"/>
          <w:sz w:val="24"/>
          <w:szCs w:val="24"/>
          <w:lang w:val="en-US"/>
        </w:rPr>
        <w:t xml:space="preserve"> of Paris 1 in 1996 and worked for her PhD thesis on  patriotism and individual attachment to the city and its territory.  </w:t>
      </w:r>
      <w:proofErr w:type="spellStart"/>
      <w:r w:rsidRPr="00D27DB7">
        <w:rPr>
          <w:rFonts w:ascii="Palatino Linotype" w:hAnsi="Palatino Linotype"/>
          <w:sz w:val="24"/>
          <w:szCs w:val="24"/>
          <w:lang w:val="fr-FR"/>
        </w:rPr>
        <w:t>Her</w:t>
      </w:r>
      <w:proofErr w:type="spellEnd"/>
      <w:r w:rsidRPr="00D27DB7">
        <w:rPr>
          <w:rFonts w:ascii="Palatino Linotype" w:hAnsi="Palatino Linotype"/>
          <w:sz w:val="24"/>
          <w:szCs w:val="24"/>
          <w:lang w:val="fr-FR"/>
        </w:rPr>
        <w:t xml:space="preserve"> book Libérez la patrie! Patriotisme et politique en Grèce  ancienne analyses </w:t>
      </w:r>
      <w:proofErr w:type="spellStart"/>
      <w:r w:rsidRPr="00D27DB7">
        <w:rPr>
          <w:rFonts w:ascii="Palatino Linotype" w:hAnsi="Palatino Linotype"/>
          <w:sz w:val="24"/>
          <w:szCs w:val="24"/>
          <w:lang w:val="fr-FR"/>
        </w:rPr>
        <w:t>this</w:t>
      </w:r>
      <w:proofErr w:type="spellEnd"/>
      <w:r w:rsidRPr="00D27DB7"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 w:rsidRPr="00D27DB7">
        <w:rPr>
          <w:rFonts w:ascii="Palatino Linotype" w:hAnsi="Palatino Linotype"/>
          <w:sz w:val="24"/>
          <w:szCs w:val="24"/>
          <w:lang w:val="fr-FR"/>
        </w:rPr>
        <w:t>topic</w:t>
      </w:r>
      <w:proofErr w:type="spellEnd"/>
      <w:r w:rsidRPr="00D27DB7">
        <w:rPr>
          <w:rFonts w:ascii="Palatino Linotype" w:hAnsi="Palatino Linotype"/>
          <w:sz w:val="24"/>
          <w:szCs w:val="24"/>
          <w:lang w:val="fr-FR"/>
        </w:rPr>
        <w:t xml:space="preserve">. </w:t>
      </w:r>
      <w:r w:rsidRPr="00D27DB7">
        <w:rPr>
          <w:rFonts w:ascii="Palatino Linotype" w:hAnsi="Palatino Linotype"/>
          <w:sz w:val="24"/>
          <w:szCs w:val="24"/>
          <w:lang w:val="en-US"/>
        </w:rPr>
        <w:t xml:space="preserve">She belongs to ANHIMA, </w:t>
      </w:r>
      <w:proofErr w:type="spellStart"/>
      <w:r w:rsidRPr="00D27DB7">
        <w:rPr>
          <w:rFonts w:ascii="Palatino Linotype" w:hAnsi="Palatino Linotype"/>
          <w:sz w:val="24"/>
          <w:szCs w:val="24"/>
          <w:lang w:val="en-US"/>
        </w:rPr>
        <w:t>Anthropologie</w:t>
      </w:r>
      <w:proofErr w:type="spellEnd"/>
      <w:r w:rsidRPr="00D27DB7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gramStart"/>
      <w:r w:rsidRPr="00D27DB7">
        <w:rPr>
          <w:rFonts w:ascii="Palatino Linotype" w:hAnsi="Palatino Linotype"/>
          <w:sz w:val="24"/>
          <w:szCs w:val="24"/>
          <w:lang w:val="en-US"/>
        </w:rPr>
        <w:t>et</w:t>
      </w:r>
      <w:proofErr w:type="gramEnd"/>
      <w:r w:rsidRPr="00D27DB7">
        <w:rPr>
          <w:rFonts w:ascii="Palatino Linotype" w:hAnsi="Palatino Linotype"/>
          <w:sz w:val="24"/>
          <w:szCs w:val="24"/>
          <w:lang w:val="en-US"/>
        </w:rPr>
        <w:t xml:space="preserve"> histoire des </w:t>
      </w:r>
      <w:proofErr w:type="spellStart"/>
      <w:r w:rsidRPr="00D27DB7">
        <w:rPr>
          <w:rFonts w:ascii="Palatino Linotype" w:hAnsi="Palatino Linotype"/>
          <w:sz w:val="24"/>
          <w:szCs w:val="24"/>
          <w:lang w:val="en-US"/>
        </w:rPr>
        <w:t>mondes</w:t>
      </w:r>
      <w:proofErr w:type="spellEnd"/>
      <w:r w:rsidRPr="00D27DB7">
        <w:rPr>
          <w:rFonts w:ascii="Palatino Linotype" w:hAnsi="Palatino Linotype"/>
          <w:sz w:val="24"/>
          <w:szCs w:val="24"/>
          <w:lang w:val="en-US"/>
        </w:rPr>
        <w:t xml:space="preserve"> antiques, UMR 8210, </w:t>
      </w:r>
      <w:proofErr w:type="spellStart"/>
      <w:r w:rsidRPr="00D27DB7">
        <w:rPr>
          <w:rFonts w:ascii="Palatino Linotype" w:hAnsi="Palatino Linotype"/>
          <w:sz w:val="24"/>
          <w:szCs w:val="24"/>
          <w:lang w:val="en-US"/>
        </w:rPr>
        <w:t>succeding</w:t>
      </w:r>
      <w:proofErr w:type="spellEnd"/>
      <w:r w:rsidRPr="00D27DB7">
        <w:rPr>
          <w:rFonts w:ascii="Palatino Linotype" w:hAnsi="Palatino Linotype"/>
          <w:sz w:val="24"/>
          <w:szCs w:val="24"/>
          <w:lang w:val="en-US"/>
        </w:rPr>
        <w:t xml:space="preserve"> to the Centre Louis-</w:t>
      </w:r>
      <w:proofErr w:type="spellStart"/>
      <w:r w:rsidRPr="00D27DB7">
        <w:rPr>
          <w:rFonts w:ascii="Palatino Linotype" w:hAnsi="Palatino Linotype"/>
          <w:sz w:val="24"/>
          <w:szCs w:val="24"/>
          <w:lang w:val="en-US"/>
        </w:rPr>
        <w:t>Gernet</w:t>
      </w:r>
      <w:proofErr w:type="spellEnd"/>
      <w:r w:rsidRPr="00D27DB7">
        <w:rPr>
          <w:rFonts w:ascii="Palatino Linotype" w:hAnsi="Palatino Linotype"/>
          <w:sz w:val="24"/>
          <w:szCs w:val="24"/>
          <w:lang w:val="en-US"/>
        </w:rPr>
        <w:t xml:space="preserve"> in Paris, and heads its gender research program. </w:t>
      </w:r>
    </w:p>
    <w:p w:rsidR="00D27DB7" w:rsidRPr="00D27DB7" w:rsidRDefault="00D27DB7" w:rsidP="00D27DB7">
      <w:pPr>
        <w:spacing w:after="0" w:line="360" w:lineRule="atLeast"/>
        <w:jc w:val="both"/>
        <w:rPr>
          <w:rFonts w:ascii="Palatino Linotype" w:hAnsi="Palatino Linotype"/>
          <w:sz w:val="24"/>
          <w:szCs w:val="24"/>
        </w:rPr>
      </w:pPr>
    </w:p>
    <w:p w:rsidR="00D27DB7" w:rsidRPr="00D27DB7" w:rsidRDefault="00D27DB7" w:rsidP="00D27DB7">
      <w:pPr>
        <w:spacing w:after="0" w:line="360" w:lineRule="atLeast"/>
        <w:jc w:val="both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</w:pPr>
      <w:r w:rsidRPr="00D27DB7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Α</w:t>
      </w:r>
      <w:proofErr w:type="spellStart"/>
      <w:r w:rsidRPr="00D27DB7">
        <w:rPr>
          <w:rFonts w:ascii="Palatino Linotype" w:eastAsia="Times New Roman" w:hAnsi="Palatino Linotype" w:cs="Times New Roman"/>
          <w:b/>
          <w:bCs/>
          <w:sz w:val="24"/>
          <w:szCs w:val="24"/>
          <w:lang w:val="en-US" w:eastAsia="el-GR"/>
        </w:rPr>
        <w:t>utres</w:t>
      </w:r>
      <w:proofErr w:type="spellEnd"/>
      <w:r w:rsidRPr="00D27DB7">
        <w:rPr>
          <w:rFonts w:ascii="Palatino Linotype" w:eastAsia="Times New Roman" w:hAnsi="Palatino Linotype" w:cs="Times New Roman"/>
          <w:b/>
          <w:bCs/>
          <w:sz w:val="24"/>
          <w:szCs w:val="24"/>
          <w:lang w:val="en-US" w:eastAsia="el-GR"/>
        </w:rPr>
        <w:t xml:space="preserve"> </w:t>
      </w:r>
      <w:proofErr w:type="spellStart"/>
      <w:r w:rsidRPr="00D27DB7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Ouvrages</w:t>
      </w:r>
      <w:proofErr w:type="spellEnd"/>
    </w:p>
    <w:p w:rsidR="00D27DB7" w:rsidRPr="00D27DB7" w:rsidRDefault="00D27DB7" w:rsidP="00D27DB7">
      <w:pPr>
        <w:spacing w:after="0" w:line="360" w:lineRule="atLeast"/>
        <w:jc w:val="both"/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</w:pP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–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Citoyennetés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dossier dirigé en collaboration avec Pascale Barthélémy,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Clio Femmes, Genre, Histoire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43/2, 2016, Paris, 2016. </w:t>
      </w:r>
      <w:hyperlink r:id="rId5" w:tgtFrame="_blank" w:tooltip="https://clio.revues.org/12903 (nouvelle fenêtre)" w:history="1">
        <w:r w:rsidRPr="00D27DB7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fr-FR" w:eastAsia="el-GR"/>
          </w:rPr>
          <w:t>https://clio.revues.org/12903</w:t>
        </w:r>
      </w:hyperlink>
    </w:p>
    <w:p w:rsidR="00D27DB7" w:rsidRPr="00D27DB7" w:rsidRDefault="00D27DB7" w:rsidP="00D27DB7">
      <w:pPr>
        <w:spacing w:after="0" w:line="360" w:lineRule="atLeast"/>
        <w:jc w:val="both"/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</w:pP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–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Des femmes en action. L’individu et la fonction en Grèce antique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ouvrage dirigé en collaboration avec Sandra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Boehringer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</w:t>
      </w:r>
      <w:proofErr w:type="spellStart"/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Mètis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Hors Série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2013, Paris-Athènes, 2013.</w:t>
      </w:r>
    </w:p>
    <w:p w:rsidR="00D27DB7" w:rsidRPr="00D27DB7" w:rsidRDefault="00D27DB7" w:rsidP="00D27DB7">
      <w:pPr>
        <w:spacing w:after="0" w:line="360" w:lineRule="atLeast"/>
        <w:jc w:val="both"/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</w:pP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–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Hommes et femmes dans l’Antiquité grecque et romaine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ouvrage dirigé en collaboration avec Sandra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Boehringer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, Paris, 2011, nouvelle édition 2017.</w:t>
      </w:r>
    </w:p>
    <w:p w:rsidR="00D27DB7" w:rsidRPr="00D27DB7" w:rsidRDefault="00D27DB7" w:rsidP="00D27DB7">
      <w:pPr>
        <w:spacing w:after="0" w:line="360" w:lineRule="atLeast"/>
        <w:jc w:val="both"/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</w:pP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–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 xml:space="preserve">Les femmes, le féminin et le politique après Nicole </w:t>
      </w:r>
      <w:proofErr w:type="spellStart"/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Loraux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collectif édité en collaboration avec Nathalie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Ernoult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</w:t>
      </w:r>
      <w:proofErr w:type="spellStart"/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Classics</w:t>
      </w:r>
      <w:proofErr w:type="spellEnd"/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@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[En ligne] issue 7, 2011. </w:t>
      </w:r>
      <w:proofErr w:type="gramStart"/>
      <w:r w:rsidRPr="00D27DB7"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  <w:t>URL :</w:t>
      </w:r>
      <w:proofErr w:type="gramEnd"/>
      <w:r w:rsidRPr="00D27DB7"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  <w:t xml:space="preserve"> </w:t>
      </w:r>
      <w:hyperlink r:id="rId6" w:tgtFrame="_blank" w:tooltip="http://chs.harvard.edu/wa/pageR?tn=ArticleWrapper&amp;bdc=12&amp;mn=3369 (nouvelle fenêtre)" w:history="1">
        <w:r w:rsidRPr="00D27DB7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http://chs.harvard.edu/wa/pageR?tn=ArticleWrapper&amp;bdc=12&amp;mn=3369</w:t>
        </w:r>
      </w:hyperlink>
    </w:p>
    <w:p w:rsidR="00D27DB7" w:rsidRPr="00D27DB7" w:rsidRDefault="00D27DB7" w:rsidP="00D27DB7">
      <w:pPr>
        <w:spacing w:after="0" w:line="360" w:lineRule="atLeast"/>
        <w:jc w:val="both"/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</w:pP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–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Érotiques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dossier de la revue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Clio Histoire, Femmes, Sociétés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dirigé avec Sylvie Steinberg,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Clio HFS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30, 2010. </w:t>
      </w:r>
      <w:hyperlink r:id="rId7" w:tgtFrame="_blank" w:tooltip="https://clio.revues.org/9566 (nouvelle fenêtre)" w:history="1">
        <w:r w:rsidRPr="00D27DB7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fr-FR" w:eastAsia="el-GR"/>
          </w:rPr>
          <w:t>https://clio.revues.org/9566</w:t>
        </w:r>
      </w:hyperlink>
    </w:p>
    <w:p w:rsidR="00D27DB7" w:rsidRPr="00D27DB7" w:rsidRDefault="00D27DB7" w:rsidP="00D27DB7">
      <w:pPr>
        <w:spacing w:after="0" w:line="360" w:lineRule="atLeast"/>
        <w:jc w:val="both"/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</w:pP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–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100 Fiches d’histoire grecque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, Rosny, Bréal 2007, 2</w:t>
      </w:r>
      <w:r w:rsidRPr="00D27DB7">
        <w:rPr>
          <w:rFonts w:ascii="Palatino Linotype" w:eastAsia="Times New Roman" w:hAnsi="Palatino Linotype" w:cs="Times New Roman"/>
          <w:sz w:val="24"/>
          <w:szCs w:val="24"/>
          <w:vertAlign w:val="superscript"/>
          <w:lang w:val="fr-FR" w:eastAsia="el-GR"/>
        </w:rPr>
        <w:t>e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édition révisée 2011, 3</w:t>
      </w:r>
      <w:r w:rsidRPr="00D27DB7">
        <w:rPr>
          <w:rFonts w:ascii="Palatino Linotype" w:eastAsia="Times New Roman" w:hAnsi="Palatino Linotype" w:cs="Times New Roman"/>
          <w:sz w:val="24"/>
          <w:szCs w:val="24"/>
          <w:vertAlign w:val="superscript"/>
          <w:lang w:val="fr-FR" w:eastAsia="el-GR"/>
        </w:rPr>
        <w:t>e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édition révisée 2013, 4ème édition 2018.</w:t>
      </w:r>
    </w:p>
    <w:p w:rsidR="00D27DB7" w:rsidRPr="00D27DB7" w:rsidRDefault="00D27DB7" w:rsidP="00D27DB7">
      <w:pPr>
        <w:spacing w:after="0" w:line="360" w:lineRule="atLeast"/>
        <w:jc w:val="both"/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</w:pP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–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Problèmes du genre en Grèce ancienne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coordonné en collaboration avec Nathalie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Ernoult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Paris, Publications de la Sorbonne, 2007 (traduction en grec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eastAsia="el-GR"/>
        </w:rPr>
        <w:t>ΠΡΟΒΛΗΜΑΤΑ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 xml:space="preserve">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eastAsia="el-GR"/>
        </w:rPr>
        <w:t>ΤΟΥ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 xml:space="preserve">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eastAsia="el-GR"/>
        </w:rPr>
        <w:t>ΦΥΛΟΥ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 xml:space="preserve">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eastAsia="el-GR"/>
        </w:rPr>
        <w:t>ΣΤΗΝ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 xml:space="preserve">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eastAsia="el-GR"/>
        </w:rPr>
        <w:t>ΑΡΧΑΙΑ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 xml:space="preserve">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eastAsia="el-GR"/>
        </w:rPr>
        <w:t>ΕΛΛΑΔΑ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University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studio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Press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, 2009).</w:t>
      </w:r>
    </w:p>
    <w:p w:rsidR="00D27DB7" w:rsidRPr="00D27DB7" w:rsidRDefault="00D27DB7">
      <w:pPr>
        <w:rPr>
          <w:rFonts w:ascii="Palatino Linotype" w:hAnsi="Palatino Linotype"/>
          <w:lang w:val="fr-FR"/>
        </w:rPr>
      </w:pPr>
    </w:p>
    <w:p w:rsidR="00D27DB7" w:rsidRPr="00D27DB7" w:rsidRDefault="00D27DB7" w:rsidP="00D27DB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</w:pPr>
      <w:proofErr w:type="spellStart"/>
      <w:r w:rsidRPr="00D27DB7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Publications</w:t>
      </w:r>
      <w:proofErr w:type="spellEnd"/>
      <w:r w:rsidRPr="00D27DB7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D27DB7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numériques</w:t>
      </w:r>
      <w:proofErr w:type="spellEnd"/>
    </w:p>
    <w:p w:rsidR="00D27DB7" w:rsidRPr="00D27DB7" w:rsidRDefault="00D27DB7" w:rsidP="00D27DB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</w:pP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– </w:t>
      </w:r>
      <w:proofErr w:type="spellStart"/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Eurykleia</w:t>
      </w:r>
      <w:proofErr w:type="spellEnd"/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 xml:space="preserve">. </w:t>
      </w:r>
      <w:proofErr w:type="spellStart"/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Cellles</w:t>
      </w:r>
      <w:proofErr w:type="spellEnd"/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 xml:space="preserve"> qui avaient un nom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carnet de recherche (octobre 2014-) trilingue (FR, EN, BR), du collectif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Eurykleia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</w:t>
      </w:r>
      <w:hyperlink r:id="rId8" w:tgtFrame="_blank" w:tooltip="https://eurykleia.hypotheses.org/ (nouvelle fenêtre)" w:history="1">
        <w:r w:rsidRPr="00D27DB7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fr-FR" w:eastAsia="el-GR"/>
          </w:rPr>
          <w:t>https://eurykleia.hypotheses.org/</w:t>
        </w:r>
      </w:hyperlink>
    </w:p>
    <w:p w:rsidR="00D27DB7" w:rsidRPr="00D27DB7" w:rsidRDefault="00D27DB7" w:rsidP="00D27DB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</w:pP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–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Sortir du gynécée. Un nouveau regard sur la Grèce antique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, exposition collective (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coord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.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scientitique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par Sandra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Boehringer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Nathalie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Ernoult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Violaine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lastRenderedPageBreak/>
        <w:t>Sebillotte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Cuchet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) sur le site du musée virtuel MUSEA, Université d’Angers, 2018 : </w:t>
      </w:r>
      <w:hyperlink r:id="rId9" w:tgtFrame="_blank" w:tooltip="http://musea.fr/exhibits/show/sortir-du-gynecee/presentation (nouvelle fenêtre)" w:history="1">
        <w:r w:rsidRPr="00D27DB7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fr-FR" w:eastAsia="el-GR"/>
          </w:rPr>
          <w:t>http://musea.fr/exhibits/show/sortir-du-gynecee/presentation</w:t>
        </w:r>
      </w:hyperlink>
    </w:p>
    <w:p w:rsidR="00D27DB7" w:rsidRPr="00D27DB7" w:rsidRDefault="00D27DB7" w:rsidP="00D27DB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</w:pP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– </w:t>
      </w:r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 xml:space="preserve">Le Centre Louis </w:t>
      </w:r>
      <w:proofErr w:type="spellStart"/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Gernet</w:t>
      </w:r>
      <w:proofErr w:type="spellEnd"/>
      <w:r w:rsidRPr="00D27DB7">
        <w:rPr>
          <w:rFonts w:ascii="Palatino Linotype" w:eastAsia="Times New Roman" w:hAnsi="Palatino Linotype" w:cs="Times New Roman"/>
          <w:i/>
          <w:iCs/>
          <w:sz w:val="24"/>
          <w:szCs w:val="24"/>
          <w:lang w:val="fr-FR" w:eastAsia="el-GR"/>
        </w:rPr>
        <w:t>. Remarques générales à propos de "l’Ecole de Paris"</w:t>
      </w:r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The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Athenian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Funeral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oration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 : 40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years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after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Nicole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Loraux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, </w:t>
      </w:r>
      <w:proofErr w:type="spellStart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>Jul</w:t>
      </w:r>
      <w:proofErr w:type="spellEnd"/>
      <w:r w:rsidRPr="00D27DB7">
        <w:rPr>
          <w:rFonts w:ascii="Palatino Linotype" w:eastAsia="Times New Roman" w:hAnsi="Palatino Linotype" w:cs="Times New Roman"/>
          <w:sz w:val="24"/>
          <w:szCs w:val="24"/>
          <w:lang w:val="fr-FR" w:eastAsia="el-GR"/>
        </w:rPr>
        <w:t xml:space="preserve"> 2018, Strasbourg, France. </w:t>
      </w:r>
      <w:hyperlink r:id="rId10" w:tgtFrame="_blank" w:tooltip="https://halshs.archives-ouvertes.fr/halshs-01845509 (nouvelle fenêtre)" w:history="1">
        <w:r w:rsidRPr="00D27DB7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https://halshs.archives-ouvertes.fr/halshs-01845509</w:t>
        </w:r>
      </w:hyperlink>
      <w:r w:rsidRPr="00D27DB7"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  <w:br/>
        <w:t xml:space="preserve">HAL </w:t>
      </w:r>
      <w:proofErr w:type="gramStart"/>
      <w:r w:rsidRPr="00D27DB7"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  <w:t>Id :</w:t>
      </w:r>
      <w:proofErr w:type="gramEnd"/>
      <w:r w:rsidRPr="00D27DB7"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  <w:t xml:space="preserve"> halshs-01845509, version 1</w:t>
      </w:r>
    </w:p>
    <w:bookmarkEnd w:id="0"/>
    <w:p w:rsidR="00D27DB7" w:rsidRPr="00D27DB7" w:rsidRDefault="00D27DB7">
      <w:pPr>
        <w:rPr>
          <w:lang w:val="en-US"/>
        </w:rPr>
      </w:pPr>
    </w:p>
    <w:sectPr w:rsidR="00D27DB7" w:rsidRPr="00D27DB7" w:rsidSect="00DF17A6"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B7"/>
    <w:rsid w:val="00CD366C"/>
    <w:rsid w:val="00D27DB7"/>
    <w:rsid w:val="00DA5DE3"/>
    <w:rsid w:val="00D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ykleia.hypothes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o.revues.org/956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s.harvard.edu/wa/pageR?tn=ArticleWrapper&amp;bdc=12&amp;mn=33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io.revues.org/12903" TargetMode="External"/><Relationship Id="rId10" Type="http://schemas.openxmlformats.org/officeDocument/2006/relationships/hyperlink" Target="https://halshs.archives-ouvertes.fr/halshs-01845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ea.fr/exhibits/show/sortir-du-gynecee/presentati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ANEZIRI</dc:creator>
  <cp:lastModifiedBy>SOPHIA ANEZIRI</cp:lastModifiedBy>
  <cp:revision>1</cp:revision>
  <dcterms:created xsi:type="dcterms:W3CDTF">2019-11-25T12:14:00Z</dcterms:created>
  <dcterms:modified xsi:type="dcterms:W3CDTF">2019-11-25T12:18:00Z</dcterms:modified>
</cp:coreProperties>
</file>