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7243" w:rsidRPr="00087243" w:rsidRDefault="00087243" w:rsidP="00087243">
      <w:pPr>
        <w:rPr>
          <w:b/>
          <w:bCs/>
          <w:sz w:val="32"/>
          <w:szCs w:val="32"/>
          <w:lang w:val="el-GR"/>
        </w:rPr>
      </w:pPr>
      <w:r w:rsidRPr="00087243">
        <w:rPr>
          <w:b/>
          <w:bCs/>
          <w:sz w:val="32"/>
          <w:szCs w:val="32"/>
          <w:lang w:val="el-GR"/>
        </w:rPr>
        <w:t>Περιγραφή της Επιχείρησης</w:t>
      </w:r>
    </w:p>
    <w:p w:rsidR="00087243" w:rsidRPr="00087243" w:rsidRDefault="00087243" w:rsidP="00087243">
      <w:pPr>
        <w:rPr>
          <w:lang w:val="el-GR"/>
        </w:rPr>
      </w:pPr>
      <w:r w:rsidRPr="00087243">
        <w:rPr>
          <w:lang w:val="el-GR"/>
        </w:rPr>
        <w:t>Ας υποθέσουμε ότι έχουμε μια αγροτική επιχείρηση με την επωνυμία "Πράσινη Γεωργία Α.Ε.", η οποία δραστηριοποιείται στην παραγωγή και συσκευασία βιολογικών λαχανικών.</w:t>
      </w:r>
    </w:p>
    <w:p w:rsidR="00087243" w:rsidRPr="00087243" w:rsidRDefault="00087243" w:rsidP="00087243">
      <w:pPr>
        <w:rPr>
          <w:lang w:val="el-GR"/>
        </w:rPr>
      </w:pPr>
    </w:p>
    <w:p w:rsidR="00087243" w:rsidRPr="00087243" w:rsidRDefault="00087243" w:rsidP="00087243">
      <w:pPr>
        <w:rPr>
          <w:b/>
          <w:bCs/>
          <w:sz w:val="32"/>
          <w:szCs w:val="32"/>
          <w:lang w:val="el-GR"/>
        </w:rPr>
      </w:pPr>
      <w:r w:rsidRPr="00087243">
        <w:rPr>
          <w:b/>
          <w:bCs/>
          <w:sz w:val="32"/>
          <w:szCs w:val="32"/>
          <w:lang w:val="el-GR"/>
        </w:rPr>
        <w:t>Δεδομένα της Επιχείρησης</w:t>
      </w:r>
    </w:p>
    <w:p w:rsidR="00087243" w:rsidRPr="00087243" w:rsidRDefault="00087243" w:rsidP="00087243">
      <w:pPr>
        <w:rPr>
          <w:lang w:val="el-GR"/>
        </w:rPr>
      </w:pPr>
      <w:r w:rsidRPr="00087243">
        <w:rPr>
          <w:b/>
          <w:bCs/>
          <w:lang w:val="el-GR"/>
        </w:rPr>
        <w:t>Σταθερά Έξοδα (</w:t>
      </w:r>
      <w:r w:rsidRPr="00087243">
        <w:rPr>
          <w:b/>
          <w:bCs/>
        </w:rPr>
        <w:t>FixedCosts</w:t>
      </w:r>
      <w:r w:rsidRPr="00087243">
        <w:rPr>
          <w:b/>
          <w:bCs/>
          <w:lang w:val="el-GR"/>
        </w:rPr>
        <w:t>):</w:t>
      </w:r>
    </w:p>
    <w:p w:rsidR="00087243" w:rsidRPr="00087243" w:rsidRDefault="00087243" w:rsidP="00087243">
      <w:pPr>
        <w:rPr>
          <w:lang w:val="el-GR"/>
        </w:rPr>
      </w:pPr>
      <w:r w:rsidRPr="00087243">
        <w:rPr>
          <w:lang w:val="el-GR"/>
        </w:rPr>
        <w:t xml:space="preserve">  - Ενοίκιο γης και κτιρίων: 20.000 € ετησίως</w:t>
      </w:r>
    </w:p>
    <w:p w:rsidR="00087243" w:rsidRPr="00087243" w:rsidRDefault="00087243" w:rsidP="00087243">
      <w:pPr>
        <w:rPr>
          <w:lang w:val="el-GR"/>
        </w:rPr>
      </w:pPr>
      <w:r w:rsidRPr="00087243">
        <w:rPr>
          <w:lang w:val="el-GR"/>
        </w:rPr>
        <w:t xml:space="preserve">  - Μισθοί διοικητικού προσωπικού: 30.000 € ετησίως</w:t>
      </w:r>
    </w:p>
    <w:p w:rsidR="00087243" w:rsidRPr="00087243" w:rsidRDefault="00087243" w:rsidP="00087243">
      <w:pPr>
        <w:rPr>
          <w:lang w:val="el-GR"/>
        </w:rPr>
      </w:pPr>
      <w:r w:rsidRPr="00087243">
        <w:rPr>
          <w:lang w:val="el-GR"/>
        </w:rPr>
        <w:t xml:space="preserve">  - Κόστος συντήρησης εξοπλισμού: 10.000 € ετησίως</w:t>
      </w:r>
    </w:p>
    <w:p w:rsidR="00087243" w:rsidRPr="00087243" w:rsidRDefault="00087243" w:rsidP="00087243">
      <w:pPr>
        <w:rPr>
          <w:lang w:val="el-GR"/>
        </w:rPr>
      </w:pPr>
      <w:r w:rsidRPr="00087243">
        <w:rPr>
          <w:lang w:val="el-GR"/>
        </w:rPr>
        <w:t xml:space="preserve">  - Άλλα σταθερά έξοδα: 5.000 € ετησίως</w:t>
      </w:r>
    </w:p>
    <w:p w:rsidR="00087243" w:rsidRPr="00087243" w:rsidRDefault="00087243" w:rsidP="00087243">
      <w:pPr>
        <w:rPr>
          <w:lang w:val="el-GR"/>
        </w:rPr>
      </w:pPr>
      <w:r w:rsidRPr="00087243">
        <w:rPr>
          <w:lang w:val="el-GR"/>
        </w:rPr>
        <w:t xml:space="preserve">  - Συνολικά Σταθερά Έξοδα: 65.000 € ετησίως</w:t>
      </w:r>
    </w:p>
    <w:p w:rsidR="00087243" w:rsidRPr="00087243" w:rsidRDefault="00087243" w:rsidP="00087243">
      <w:pPr>
        <w:rPr>
          <w:lang w:val="el-GR"/>
        </w:rPr>
      </w:pPr>
    </w:p>
    <w:p w:rsidR="00087243" w:rsidRPr="00087243" w:rsidRDefault="00087243" w:rsidP="00087243">
      <w:pPr>
        <w:rPr>
          <w:lang w:val="el-GR"/>
        </w:rPr>
      </w:pPr>
      <w:r w:rsidRPr="00087243">
        <w:rPr>
          <w:b/>
          <w:bCs/>
          <w:lang w:val="el-GR"/>
        </w:rPr>
        <w:t>Μεταβλητά Έξοδα (</w:t>
      </w:r>
      <w:r w:rsidRPr="00087243">
        <w:rPr>
          <w:b/>
          <w:bCs/>
        </w:rPr>
        <w:t>VariableCosts</w:t>
      </w:r>
      <w:r w:rsidRPr="00087243">
        <w:rPr>
          <w:b/>
          <w:bCs/>
          <w:lang w:val="el-GR"/>
        </w:rPr>
        <w:t>):</w:t>
      </w:r>
    </w:p>
    <w:p w:rsidR="00087243" w:rsidRPr="00087243" w:rsidRDefault="00087243" w:rsidP="00087243">
      <w:pPr>
        <w:rPr>
          <w:lang w:val="el-GR"/>
        </w:rPr>
      </w:pPr>
      <w:r w:rsidRPr="00087243">
        <w:rPr>
          <w:lang w:val="el-GR"/>
        </w:rPr>
        <w:t xml:space="preserve">  - Κόστος σπόρων και λιπασμάτων: 1 € ανά μονάδα παραγωγής (κιλό λαχανικών)</w:t>
      </w:r>
    </w:p>
    <w:p w:rsidR="00087243" w:rsidRPr="00087243" w:rsidRDefault="00087243" w:rsidP="00087243">
      <w:pPr>
        <w:rPr>
          <w:lang w:val="el-GR"/>
        </w:rPr>
      </w:pPr>
      <w:r w:rsidRPr="00087243">
        <w:rPr>
          <w:lang w:val="el-GR"/>
        </w:rPr>
        <w:t xml:space="preserve">  - Κόστος συσκευασίας: 0,50 € ανά μονάδα παραγωγής</w:t>
      </w:r>
    </w:p>
    <w:p w:rsidR="00087243" w:rsidRPr="00087243" w:rsidRDefault="00087243" w:rsidP="00087243">
      <w:pPr>
        <w:rPr>
          <w:lang w:val="el-GR"/>
        </w:rPr>
      </w:pPr>
      <w:r w:rsidRPr="00087243">
        <w:rPr>
          <w:lang w:val="el-GR"/>
        </w:rPr>
        <w:t xml:space="preserve">  - Μισθοί εργατών ανά μονάδα παραγωγής: 0,30 € ανά μονάδα παραγωγής</w:t>
      </w:r>
    </w:p>
    <w:p w:rsidR="00087243" w:rsidRPr="00087243" w:rsidRDefault="00087243" w:rsidP="00087243">
      <w:pPr>
        <w:rPr>
          <w:lang w:val="el-GR"/>
        </w:rPr>
      </w:pPr>
      <w:r w:rsidRPr="00087243">
        <w:rPr>
          <w:lang w:val="el-GR"/>
        </w:rPr>
        <w:t xml:space="preserve">  - Άλλα μεταβλητά έξοδα: 0,20 € ανά μονάδα παραγωγής</w:t>
      </w:r>
    </w:p>
    <w:p w:rsidR="00087243" w:rsidRPr="00087243" w:rsidRDefault="00087243" w:rsidP="00087243">
      <w:pPr>
        <w:rPr>
          <w:lang w:val="el-GR"/>
        </w:rPr>
      </w:pPr>
      <w:r w:rsidRPr="00087243">
        <w:rPr>
          <w:lang w:val="el-GR"/>
        </w:rPr>
        <w:t xml:space="preserve">  - Συνολικά Μεταβλητά Έξοδα: 2 € ανά μονάδα παραγωγής</w:t>
      </w:r>
    </w:p>
    <w:p w:rsidR="00087243" w:rsidRPr="00087243" w:rsidRDefault="00087243" w:rsidP="00087243">
      <w:pPr>
        <w:rPr>
          <w:lang w:val="el-GR"/>
        </w:rPr>
      </w:pPr>
    </w:p>
    <w:p w:rsidR="00087243" w:rsidRPr="00087243" w:rsidRDefault="00087243" w:rsidP="00087243">
      <w:pPr>
        <w:rPr>
          <w:b/>
          <w:bCs/>
          <w:lang w:val="el-GR"/>
        </w:rPr>
      </w:pPr>
      <w:r w:rsidRPr="00087243">
        <w:rPr>
          <w:b/>
          <w:bCs/>
          <w:lang w:val="el-GR"/>
        </w:rPr>
        <w:t>Τιμή Πώλησης Προϊόντος:</w:t>
      </w:r>
    </w:p>
    <w:p w:rsidR="00087243" w:rsidRPr="00087243" w:rsidRDefault="00087243" w:rsidP="00087243">
      <w:pPr>
        <w:rPr>
          <w:lang w:val="el-GR"/>
        </w:rPr>
      </w:pPr>
      <w:r w:rsidRPr="00087243">
        <w:rPr>
          <w:lang w:val="el-GR"/>
        </w:rPr>
        <w:t xml:space="preserve">  - Η επιχείρηση πουλάει τα βιολογικά λαχανικά στην τιμή των 5 € ανά κιλό.</w:t>
      </w:r>
    </w:p>
    <w:p w:rsidR="00087243" w:rsidRPr="00087243" w:rsidRDefault="00087243" w:rsidP="00087243">
      <w:pPr>
        <w:rPr>
          <w:lang w:val="el-GR"/>
        </w:rPr>
      </w:pPr>
    </w:p>
    <w:p w:rsidR="00087243" w:rsidRPr="00087243" w:rsidRDefault="00087243" w:rsidP="00087243">
      <w:pPr>
        <w:rPr>
          <w:b/>
          <w:bCs/>
          <w:lang w:val="el-GR"/>
        </w:rPr>
      </w:pPr>
      <w:r w:rsidRPr="00087243">
        <w:rPr>
          <w:b/>
          <w:bCs/>
          <w:lang w:val="el-GR"/>
        </w:rPr>
        <w:t>Υπολογισμός του Νεκρού Σημείου (</w:t>
      </w:r>
      <w:r w:rsidRPr="00087243">
        <w:rPr>
          <w:b/>
          <w:bCs/>
        </w:rPr>
        <w:t>Break</w:t>
      </w:r>
      <w:r w:rsidRPr="00087243">
        <w:rPr>
          <w:b/>
          <w:bCs/>
          <w:lang w:val="el-GR"/>
        </w:rPr>
        <w:t>-</w:t>
      </w:r>
      <w:r w:rsidRPr="00087243">
        <w:rPr>
          <w:b/>
          <w:bCs/>
        </w:rPr>
        <w:t>EvenPoint</w:t>
      </w:r>
      <w:r w:rsidRPr="00087243">
        <w:rPr>
          <w:b/>
          <w:bCs/>
          <w:lang w:val="el-GR"/>
        </w:rPr>
        <w:t>)</w:t>
      </w:r>
    </w:p>
    <w:p w:rsidR="00087243" w:rsidRPr="00087243" w:rsidRDefault="00087243" w:rsidP="00087243">
      <w:pPr>
        <w:rPr>
          <w:lang w:val="el-GR"/>
        </w:rPr>
      </w:pPr>
      <w:r w:rsidRPr="00087243">
        <w:rPr>
          <w:lang w:val="el-GR"/>
        </w:rPr>
        <w:t>Το νεκρό σημείο λειτουργίας είναι το σημείο στο οποίο τα συνολικά έσοδα ισούνται με τα συνολικά έξοδα. Δηλαδή, η επιχείρηση δεν έχει ούτε κέρδος ούτε ζημία.</w:t>
      </w:r>
    </w:p>
    <w:p w:rsidR="00087243" w:rsidRPr="00087243" w:rsidRDefault="00087243" w:rsidP="00087243">
      <w:pPr>
        <w:rPr>
          <w:lang w:val="el-GR"/>
        </w:rPr>
      </w:pPr>
    </w:p>
    <w:p w:rsidR="00087243" w:rsidRPr="00087243" w:rsidRDefault="00087243" w:rsidP="00087243">
      <w:pPr>
        <w:rPr>
          <w:lang w:val="el-GR"/>
        </w:rPr>
      </w:pPr>
      <w:r w:rsidRPr="00087243">
        <w:rPr>
          <w:lang w:val="el-GR"/>
        </w:rPr>
        <w:t>Η φόρμουλα για τον υπολογισμό του νεκρού σημείου σε μονάδες παραγωγής (</w:t>
      </w:r>
      <w:r>
        <w:t>Q</w:t>
      </w:r>
      <w:r w:rsidRPr="00087243">
        <w:rPr>
          <w:lang w:val="el-GR"/>
        </w:rPr>
        <w:t>) είναι:</w:t>
      </w:r>
    </w:p>
    <w:p w:rsidR="00087243" w:rsidRDefault="00087243" w:rsidP="00087243">
      <w:pPr>
        <w:rPr>
          <w:lang w:val="el-GR"/>
        </w:rPr>
      </w:pPr>
      <m:oMathPara>
        <m:oMath>
          <m:r>
            <m:rPr>
              <m:sty m:val="p"/>
            </m:rPr>
            <w:rPr>
              <w:rFonts w:ascii="Cambria Math" w:hAnsi="Cambria Math"/>
            </w:rPr>
            <m:t>Q</m:t>
          </m:r>
          <m:r>
            <w:rPr>
              <w:rFonts w:ascii="Cambria Math" w:hAnsi="Cambria Math"/>
              <w:lang w:val="el-GR"/>
            </w:rPr>
            <m:t>=</m:t>
          </m:r>
          <m:f>
            <m:fPr>
              <m:ctrlPr>
                <w:rPr>
                  <w:rFonts w:ascii="Cambria Math" w:hAnsi="Cambria Math"/>
                  <w:lang w:val="el-GR"/>
                </w:rPr>
              </m:ctrlPr>
            </m:fPr>
            <m:num>
              <m:r>
                <m:rPr>
                  <m:sty m:val="p"/>
                </m:rPr>
                <w:rPr>
                  <w:rStyle w:val="mord"/>
                  <w:rFonts w:ascii="Cambria Math" w:hAnsi="Cambria Math"/>
                </w:rPr>
                <m:t>ΣταθεραΈξοδα</m:t>
              </m:r>
            </m:num>
            <m:den>
              <m:r>
                <m:rPr>
                  <m:sty m:val="p"/>
                </m:rPr>
                <w:rPr>
                  <w:rFonts w:ascii="Cambria Math" w:hAnsi="Cambria Math"/>
                  <w:lang w:val="el-GR"/>
                </w:rPr>
                <m:t>Τιμή Πώλησης ανά Μονάδα - Μεταβλητά Έξοδα ανά Μονάδα</m:t>
              </m:r>
            </m:den>
          </m:f>
        </m:oMath>
      </m:oMathPara>
    </w:p>
    <w:p w:rsidR="00087243" w:rsidRPr="00087243" w:rsidRDefault="00087243" w:rsidP="00087243">
      <w:pPr>
        <w:rPr>
          <w:lang w:val="el-GR"/>
        </w:rPr>
      </w:pPr>
    </w:p>
    <w:p w:rsidR="00087243" w:rsidRPr="00087243" w:rsidRDefault="00087243" w:rsidP="00087243">
      <w:pPr>
        <w:rPr>
          <w:b/>
          <w:bCs/>
          <w:lang w:val="el-GR"/>
        </w:rPr>
      </w:pPr>
      <w:r w:rsidRPr="00087243">
        <w:rPr>
          <w:b/>
          <w:bCs/>
          <w:lang w:val="el-GR"/>
        </w:rPr>
        <w:lastRenderedPageBreak/>
        <w:t>Εφαρμογή των Δεδομένων στη Φόρμουλα</w:t>
      </w:r>
    </w:p>
    <w:p w:rsidR="00087243" w:rsidRPr="00087243" w:rsidRDefault="00087243" w:rsidP="00087243">
      <w:pPr>
        <w:rPr>
          <w:lang w:val="el-GR"/>
        </w:rPr>
      </w:pPr>
      <w:r w:rsidRPr="00087243">
        <w:rPr>
          <w:lang w:val="el-GR"/>
        </w:rPr>
        <w:t>- Σταθερά Έξοδα (</w:t>
      </w:r>
      <w:r>
        <w:t>FC</w:t>
      </w:r>
      <w:r w:rsidRPr="00087243">
        <w:rPr>
          <w:lang w:val="el-GR"/>
        </w:rPr>
        <w:t>): 65.000 €</w:t>
      </w:r>
    </w:p>
    <w:p w:rsidR="00087243" w:rsidRPr="00087243" w:rsidRDefault="00087243" w:rsidP="00087243">
      <w:pPr>
        <w:rPr>
          <w:lang w:val="el-GR"/>
        </w:rPr>
      </w:pPr>
      <w:r w:rsidRPr="00087243">
        <w:rPr>
          <w:lang w:val="el-GR"/>
        </w:rPr>
        <w:t>- Τιμή Πώλησης ανά Μονάδα (</w:t>
      </w:r>
      <w:r>
        <w:t>P</w:t>
      </w:r>
      <w:r w:rsidRPr="00087243">
        <w:rPr>
          <w:lang w:val="el-GR"/>
        </w:rPr>
        <w:t>): 5 €</w:t>
      </w:r>
    </w:p>
    <w:p w:rsidR="00087243" w:rsidRPr="00087243" w:rsidRDefault="00087243" w:rsidP="00087243">
      <w:pPr>
        <w:rPr>
          <w:lang w:val="el-GR"/>
        </w:rPr>
      </w:pPr>
      <w:r w:rsidRPr="00087243">
        <w:rPr>
          <w:lang w:val="el-GR"/>
        </w:rPr>
        <w:t>- Μεταβλητά Έξοδα ανά Μονάδα (</w:t>
      </w:r>
      <w:r>
        <w:t>VC</w:t>
      </w:r>
      <w:r w:rsidRPr="00087243">
        <w:rPr>
          <w:lang w:val="el-GR"/>
        </w:rPr>
        <w:t>):2 €</w:t>
      </w:r>
    </w:p>
    <w:p w:rsidR="00087243" w:rsidRPr="00087243" w:rsidRDefault="00087243" w:rsidP="00087243">
      <w:pPr>
        <w:rPr>
          <w:rFonts w:eastAsiaTheme="minorEastAsia"/>
          <w:lang w:val="el-GR"/>
        </w:rPr>
      </w:pPr>
      <m:oMathPara>
        <m:oMath>
          <m:r>
            <m:rPr>
              <m:sty m:val="p"/>
            </m:rPr>
            <w:rPr>
              <w:rFonts w:ascii="Cambria Math" w:hAnsi="Cambria Math"/>
            </w:rPr>
            <m:t>Q</m:t>
          </m:r>
          <m:r>
            <m:rPr>
              <m:sty m:val="p"/>
            </m:rPr>
            <w:rPr>
              <w:rFonts w:ascii="Cambria Math" w:hAnsi="Cambria Math" w:cs="Cambria Math"/>
              <w:lang w:val="el-GR"/>
            </w:rPr>
            <m:t>=</m:t>
          </m:r>
          <m:f>
            <m:fPr>
              <m:ctrlPr>
                <w:rPr>
                  <w:rFonts w:ascii="Cambria Math" w:hAnsi="Cambria Math"/>
                  <w:lang w:val="el-GR"/>
                </w:rPr>
              </m:ctrlPr>
            </m:fPr>
            <m:num>
              <m:r>
                <m:rPr>
                  <m:sty m:val="p"/>
                </m:rPr>
                <w:rPr>
                  <w:rFonts w:ascii="Cambria Math" w:hAnsi="Cambria Math" w:cs="Cambria Math"/>
                  <w:lang w:val="el-GR"/>
                </w:rPr>
                <m:t>65000</m:t>
              </m:r>
            </m:num>
            <m:den>
              <m:r>
                <m:rPr>
                  <m:sty m:val="p"/>
                </m:rPr>
                <w:rPr>
                  <w:rFonts w:ascii="Cambria Math" w:hAnsi="Cambria Math" w:cs="Cambria Math"/>
                  <w:lang w:val="el-GR"/>
                </w:rPr>
                <m:t>5-2</m:t>
              </m:r>
            </m:den>
          </m:f>
        </m:oMath>
      </m:oMathPara>
    </w:p>
    <w:p w:rsidR="00087243" w:rsidRPr="00087243" w:rsidRDefault="00087243" w:rsidP="00087243">
      <w:pPr>
        <w:rPr>
          <w:rFonts w:eastAsiaTheme="minorEastAsia"/>
          <w:lang w:val="el-GR"/>
        </w:rPr>
      </w:pPr>
    </w:p>
    <w:p w:rsidR="00087243" w:rsidRPr="00087243" w:rsidRDefault="00087243" w:rsidP="00087243">
      <w:pPr>
        <w:rPr>
          <w:lang w:val="el-GR"/>
        </w:rPr>
      </w:pPr>
      <m:oMathPara>
        <m:oMath>
          <m:r>
            <m:rPr>
              <m:sty m:val="p"/>
            </m:rPr>
            <w:rPr>
              <w:rFonts w:ascii="Cambria Math" w:hAnsi="Cambria Math"/>
            </w:rPr>
            <m:t>Q</m:t>
          </m:r>
          <m:r>
            <m:rPr>
              <m:sty m:val="p"/>
            </m:rPr>
            <w:rPr>
              <w:rFonts w:ascii="Cambria Math" w:hAnsi="Cambria Math" w:cs="Cambria Math"/>
              <w:lang w:val="el-GR"/>
            </w:rPr>
            <m:t>=</m:t>
          </m:r>
          <m:f>
            <m:fPr>
              <m:ctrlPr>
                <w:rPr>
                  <w:rFonts w:ascii="Cambria Math" w:hAnsi="Cambria Math"/>
                  <w:lang w:val="el-GR"/>
                </w:rPr>
              </m:ctrlPr>
            </m:fPr>
            <m:num>
              <m:r>
                <m:rPr>
                  <m:sty m:val="p"/>
                </m:rPr>
                <w:rPr>
                  <w:rFonts w:ascii="Cambria Math" w:hAnsi="Cambria Math" w:cs="Cambria Math"/>
                  <w:lang w:val="el-GR"/>
                </w:rPr>
                <m:t>65000</m:t>
              </m:r>
            </m:num>
            <m:den>
              <m:r>
                <m:rPr>
                  <m:sty m:val="p"/>
                </m:rPr>
                <w:rPr>
                  <w:rFonts w:ascii="Cambria Math" w:hAnsi="Cambria Math" w:cs="Cambria Math"/>
                  <w:lang w:val="el-GR"/>
                </w:rPr>
                <m:t>3</m:t>
              </m:r>
            </m:den>
          </m:f>
        </m:oMath>
      </m:oMathPara>
    </w:p>
    <w:p w:rsidR="00087243" w:rsidRPr="00087243" w:rsidRDefault="00087243" w:rsidP="00087243">
      <w:pPr>
        <w:rPr>
          <w:lang w:val="el-GR"/>
        </w:rPr>
      </w:pPr>
    </w:p>
    <w:p w:rsidR="00087243" w:rsidRPr="00087243" w:rsidRDefault="00087243" w:rsidP="00087243">
      <w:pPr>
        <w:rPr>
          <w:lang w:val="el-GR"/>
        </w:rPr>
      </w:pPr>
      <w:r>
        <w:rPr>
          <w:lang w:val="el-GR"/>
        </w:rPr>
        <w:tab/>
      </w:r>
      <w:r>
        <w:rPr>
          <w:lang w:val="el-GR"/>
        </w:rPr>
        <w:tab/>
      </w:r>
      <w:r>
        <w:rPr>
          <w:lang w:val="el-GR"/>
        </w:rPr>
        <w:tab/>
      </w:r>
      <w:r>
        <w:rPr>
          <w:lang w:val="el-GR"/>
        </w:rPr>
        <w:tab/>
      </w:r>
      <w:r>
        <w:rPr>
          <w:lang w:val="el-GR"/>
        </w:rPr>
        <w:tab/>
      </w:r>
      <w:r>
        <w:t>Q</w:t>
      </w:r>
      <w:r w:rsidRPr="00087243">
        <w:rPr>
          <w:lang w:val="el-GR"/>
        </w:rPr>
        <w:t>=</w:t>
      </w:r>
      <w:r w:rsidRPr="00087243">
        <w:rPr>
          <w:rStyle w:val="mord"/>
          <w:lang w:val="el-GR"/>
        </w:rPr>
        <w:t>21.667</w:t>
      </w:r>
      <w:r>
        <w:rPr>
          <w:rStyle w:val="mord"/>
        </w:rPr>
        <w:t> </w:t>
      </w:r>
      <w:r w:rsidRPr="00087243">
        <w:rPr>
          <w:rStyle w:val="mord"/>
          <w:lang w:val="el-GR"/>
        </w:rPr>
        <w:t>μον</w:t>
      </w:r>
      <w:r>
        <w:rPr>
          <w:rStyle w:val="mord"/>
          <w:lang w:val="el-GR"/>
        </w:rPr>
        <w:t>ά</w:t>
      </w:r>
      <w:r w:rsidRPr="00087243">
        <w:rPr>
          <w:rStyle w:val="mord"/>
          <w:lang w:val="el-GR"/>
        </w:rPr>
        <w:t>δες</w:t>
      </w:r>
      <w:r>
        <w:rPr>
          <w:rStyle w:val="mord"/>
        </w:rPr>
        <w:t> </w:t>
      </w:r>
      <w:r w:rsidRPr="00087243">
        <w:rPr>
          <w:rStyle w:val="mord"/>
          <w:lang w:val="el-GR"/>
        </w:rPr>
        <w:t>παραγωγ</w:t>
      </w:r>
      <w:r>
        <w:rPr>
          <w:rStyle w:val="mord"/>
          <w:lang w:val="el-GR"/>
        </w:rPr>
        <w:t>ή</w:t>
      </w:r>
      <w:r w:rsidRPr="00087243">
        <w:rPr>
          <w:rStyle w:val="mord"/>
          <w:lang w:val="el-GR"/>
        </w:rPr>
        <w:t>ς</w:t>
      </w:r>
      <w:r>
        <w:rPr>
          <w:rStyle w:val="mord"/>
        </w:rPr>
        <w:t> </w:t>
      </w:r>
      <w:r w:rsidRPr="00087243">
        <w:rPr>
          <w:rStyle w:val="mord"/>
          <w:lang w:val="el-GR"/>
        </w:rPr>
        <w:t>(κιλ</w:t>
      </w:r>
      <w:r>
        <w:rPr>
          <w:rStyle w:val="mord"/>
          <w:lang w:val="el-GR"/>
        </w:rPr>
        <w:t>ά</w:t>
      </w:r>
      <w:r>
        <w:rPr>
          <w:rStyle w:val="mord"/>
        </w:rPr>
        <w:t> </w:t>
      </w:r>
      <w:r w:rsidRPr="00087243">
        <w:rPr>
          <w:rStyle w:val="mord"/>
          <w:lang w:val="el-GR"/>
        </w:rPr>
        <w:t>λαχανικ</w:t>
      </w:r>
      <w:r>
        <w:rPr>
          <w:rStyle w:val="mord"/>
          <w:lang w:val="el-GR"/>
        </w:rPr>
        <w:t>ώ</w:t>
      </w:r>
      <w:r w:rsidRPr="00087243">
        <w:rPr>
          <w:rStyle w:val="mord"/>
          <w:lang w:val="el-GR"/>
        </w:rPr>
        <w:t>ν)</w:t>
      </w:r>
    </w:p>
    <w:p w:rsidR="00087243" w:rsidRPr="00087243" w:rsidRDefault="00087243" w:rsidP="00087243">
      <w:pPr>
        <w:rPr>
          <w:lang w:val="el-GR"/>
        </w:rPr>
      </w:pPr>
    </w:p>
    <w:p w:rsidR="00087243" w:rsidRPr="00087243" w:rsidRDefault="00087243" w:rsidP="00087243">
      <w:pPr>
        <w:rPr>
          <w:b/>
          <w:bCs/>
          <w:lang w:val="el-GR"/>
        </w:rPr>
      </w:pPr>
      <w:r w:rsidRPr="00087243">
        <w:rPr>
          <w:b/>
          <w:bCs/>
          <w:lang w:val="el-GR"/>
        </w:rPr>
        <w:t>Ερμηνεία του Αποτελέσματος</w:t>
      </w:r>
    </w:p>
    <w:p w:rsidR="00087243" w:rsidRPr="00087243" w:rsidRDefault="00087243" w:rsidP="00087243">
      <w:pPr>
        <w:rPr>
          <w:lang w:val="el-GR"/>
        </w:rPr>
      </w:pPr>
      <w:r w:rsidRPr="00087243">
        <w:rPr>
          <w:lang w:val="el-GR"/>
        </w:rPr>
        <w:t>Η επιχείρηση "Πράσινη Γεωργία Α.Ε." πρέπει να παράγει και να πουλήσει τουλάχιστον 21.667 κιλά λαχανικών για να καλύψει τα έξοδά της και να φτάσει στο σημείο μηδενικού κέρδους (νεκρό σημείο). Οτιδήποτε πάνω από αυτή την ποσότητα θα αποτελεί κέρδος για την επιχείρηση, ενώ οποιαδήποτε ποσότητα κάτω από αυτή θα οδηγεί σε ζημίες.</w:t>
      </w:r>
    </w:p>
    <w:p w:rsidR="00087243" w:rsidRPr="00087243" w:rsidRDefault="00087243" w:rsidP="00087243">
      <w:pPr>
        <w:rPr>
          <w:lang w:val="el-GR"/>
        </w:rPr>
      </w:pPr>
    </w:p>
    <w:p w:rsidR="00087243" w:rsidRPr="00087243" w:rsidRDefault="00087243" w:rsidP="00087243">
      <w:pPr>
        <w:rPr>
          <w:b/>
          <w:bCs/>
          <w:lang w:val="el-GR"/>
        </w:rPr>
      </w:pPr>
      <w:r w:rsidRPr="00087243">
        <w:rPr>
          <w:b/>
          <w:bCs/>
          <w:lang w:val="el-GR"/>
        </w:rPr>
        <w:t>Συμπεράσματα και Επεκτάσεις</w:t>
      </w:r>
    </w:p>
    <w:p w:rsidR="00087243" w:rsidRPr="00087243" w:rsidRDefault="00087243" w:rsidP="00087243">
      <w:pPr>
        <w:rPr>
          <w:lang w:val="el-GR"/>
        </w:rPr>
      </w:pPr>
      <w:r w:rsidRPr="00087243">
        <w:rPr>
          <w:lang w:val="el-GR"/>
        </w:rPr>
        <w:t>Ο υπολογισμός του νεκρού σημείου λειτουργίας είναι κρίσιμος για την επιβίωση και την κερδοφορία μιας επιχείρησης. Για την "Πράσινη Γεωργία Α.Ε.", αυτό σημαίνει ότι η επιχείρηση πρέπει να παρακολουθεί συνεχώς τα κόστη της και τις τιμές πώλησης, ενώ μπορεί να εξετάσει τρόπους μείωσης των μεταβλητών εξόδων ή αύξησης της τιμής πώλησης για να βελτιώσει το νεκρό σημείο και να εξασφαλίσει μεγαλύτερη κερδοφορία.</w:t>
      </w:r>
    </w:p>
    <w:p w:rsidR="00087243" w:rsidRPr="00087243" w:rsidRDefault="00087243" w:rsidP="00087243">
      <w:pPr>
        <w:rPr>
          <w:lang w:val="el-GR"/>
        </w:rPr>
      </w:pPr>
    </w:p>
    <w:p w:rsidR="0057303A" w:rsidRDefault="00087243" w:rsidP="00087243">
      <w:pPr>
        <w:rPr>
          <w:lang w:val="el-GR"/>
        </w:rPr>
      </w:pPr>
      <w:r w:rsidRPr="00087243">
        <w:rPr>
          <w:lang w:val="el-GR"/>
        </w:rPr>
        <w:t>Επίσης, θα ήταν χρήσιμο να αναλύσουμε την ευαισθησία του νεκρού σημείου σε μεταβολές των σταθερών και μεταβλητών εξόδων, καθώς και στην τιμή πώλησης, προκειμένου να έχουμε μια πλήρη εικόνα της οικονομικής ανθεκτικότητας της επιχείρησης.</w:t>
      </w:r>
    </w:p>
    <w:p w:rsidR="00087243" w:rsidRDefault="00087243" w:rsidP="00087243">
      <w:pPr>
        <w:rPr>
          <w:lang w:val="el-GR"/>
        </w:rPr>
      </w:pPr>
    </w:p>
    <w:p w:rsidR="00087243" w:rsidRDefault="00087243" w:rsidP="00087243">
      <w:pPr>
        <w:rPr>
          <w:lang w:val="el-GR"/>
        </w:rPr>
      </w:pPr>
    </w:p>
    <w:p w:rsidR="00087243" w:rsidRPr="00087243" w:rsidRDefault="00087243" w:rsidP="00087243">
      <w:pPr>
        <w:rPr>
          <w:lang w:val="el-GR"/>
        </w:rPr>
      </w:pPr>
    </w:p>
    <w:sectPr w:rsidR="00087243" w:rsidRPr="00087243" w:rsidSect="007E57A5">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Aptos">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87243"/>
    <w:rsid w:val="00054593"/>
    <w:rsid w:val="00087243"/>
    <w:rsid w:val="00404BFA"/>
    <w:rsid w:val="0057303A"/>
    <w:rsid w:val="00671DAB"/>
    <w:rsid w:val="00761A2B"/>
    <w:rsid w:val="00795ED1"/>
    <w:rsid w:val="007E57A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57A5"/>
  </w:style>
  <w:style w:type="paragraph" w:styleId="1">
    <w:name w:val="heading 1"/>
    <w:basedOn w:val="a"/>
    <w:next w:val="a"/>
    <w:link w:val="1Char"/>
    <w:uiPriority w:val="9"/>
    <w:qFormat/>
    <w:rsid w:val="0008724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08724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087243"/>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087243"/>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087243"/>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087243"/>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087243"/>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087243"/>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087243"/>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087243"/>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087243"/>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087243"/>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087243"/>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087243"/>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087243"/>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087243"/>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087243"/>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087243"/>
    <w:rPr>
      <w:rFonts w:eastAsiaTheme="majorEastAsia" w:cstheme="majorBidi"/>
      <w:color w:val="272727" w:themeColor="text1" w:themeTint="D8"/>
    </w:rPr>
  </w:style>
  <w:style w:type="paragraph" w:styleId="a3">
    <w:name w:val="Title"/>
    <w:basedOn w:val="a"/>
    <w:next w:val="a"/>
    <w:link w:val="Char"/>
    <w:uiPriority w:val="10"/>
    <w:qFormat/>
    <w:rsid w:val="0008724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087243"/>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087243"/>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087243"/>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087243"/>
    <w:pPr>
      <w:spacing w:before="160"/>
      <w:jc w:val="center"/>
    </w:pPr>
    <w:rPr>
      <w:i/>
      <w:iCs/>
      <w:color w:val="404040" w:themeColor="text1" w:themeTint="BF"/>
    </w:rPr>
  </w:style>
  <w:style w:type="character" w:customStyle="1" w:styleId="Char1">
    <w:name w:val="Απόσπασμα Char"/>
    <w:basedOn w:val="a0"/>
    <w:link w:val="a5"/>
    <w:uiPriority w:val="29"/>
    <w:rsid w:val="00087243"/>
    <w:rPr>
      <w:i/>
      <w:iCs/>
      <w:color w:val="404040" w:themeColor="text1" w:themeTint="BF"/>
    </w:rPr>
  </w:style>
  <w:style w:type="paragraph" w:styleId="a6">
    <w:name w:val="List Paragraph"/>
    <w:basedOn w:val="a"/>
    <w:uiPriority w:val="34"/>
    <w:qFormat/>
    <w:rsid w:val="00087243"/>
    <w:pPr>
      <w:ind w:left="720"/>
      <w:contextualSpacing/>
    </w:pPr>
  </w:style>
  <w:style w:type="character" w:styleId="a7">
    <w:name w:val="Intense Emphasis"/>
    <w:basedOn w:val="a0"/>
    <w:uiPriority w:val="21"/>
    <w:qFormat/>
    <w:rsid w:val="00087243"/>
    <w:rPr>
      <w:i/>
      <w:iCs/>
      <w:color w:val="0F4761" w:themeColor="accent1" w:themeShade="BF"/>
    </w:rPr>
  </w:style>
  <w:style w:type="paragraph" w:styleId="a8">
    <w:name w:val="Intense Quote"/>
    <w:basedOn w:val="a"/>
    <w:next w:val="a"/>
    <w:link w:val="Char2"/>
    <w:uiPriority w:val="30"/>
    <w:qFormat/>
    <w:rsid w:val="0008724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εισαγωγικό Char"/>
    <w:basedOn w:val="a0"/>
    <w:link w:val="a8"/>
    <w:uiPriority w:val="30"/>
    <w:rsid w:val="00087243"/>
    <w:rPr>
      <w:i/>
      <w:iCs/>
      <w:color w:val="0F4761" w:themeColor="accent1" w:themeShade="BF"/>
    </w:rPr>
  </w:style>
  <w:style w:type="character" w:styleId="a9">
    <w:name w:val="Intense Reference"/>
    <w:basedOn w:val="a0"/>
    <w:uiPriority w:val="32"/>
    <w:qFormat/>
    <w:rsid w:val="00087243"/>
    <w:rPr>
      <w:b/>
      <w:bCs/>
      <w:smallCaps/>
      <w:color w:val="0F4761" w:themeColor="accent1" w:themeShade="BF"/>
      <w:spacing w:val="5"/>
    </w:rPr>
  </w:style>
  <w:style w:type="character" w:styleId="aa">
    <w:name w:val="Placeholder Text"/>
    <w:basedOn w:val="a0"/>
    <w:uiPriority w:val="99"/>
    <w:semiHidden/>
    <w:rsid w:val="00087243"/>
    <w:rPr>
      <w:color w:val="666666"/>
    </w:rPr>
  </w:style>
  <w:style w:type="character" w:customStyle="1" w:styleId="mord">
    <w:name w:val="mord"/>
    <w:basedOn w:val="a0"/>
    <w:rsid w:val="00087243"/>
  </w:style>
  <w:style w:type="paragraph" w:styleId="ab">
    <w:name w:val="Balloon Text"/>
    <w:basedOn w:val="a"/>
    <w:link w:val="Char3"/>
    <w:uiPriority w:val="99"/>
    <w:semiHidden/>
    <w:unhideWhenUsed/>
    <w:rsid w:val="00404BFA"/>
    <w:pPr>
      <w:spacing w:after="0" w:line="240" w:lineRule="auto"/>
    </w:pPr>
    <w:rPr>
      <w:rFonts w:ascii="Tahoma" w:hAnsi="Tahoma" w:cs="Tahoma"/>
      <w:sz w:val="16"/>
      <w:szCs w:val="16"/>
    </w:rPr>
  </w:style>
  <w:style w:type="character" w:customStyle="1" w:styleId="Char3">
    <w:name w:val="Κείμενο πλαισίου Char"/>
    <w:basedOn w:val="a0"/>
    <w:link w:val="ab"/>
    <w:uiPriority w:val="99"/>
    <w:semiHidden/>
    <w:rsid w:val="00404BF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377</Words>
  <Characters>2153</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Grigorios Papanikolaou</dc:creator>
  <cp:lastModifiedBy>Kostas Baldoukas</cp:lastModifiedBy>
  <cp:revision>2</cp:revision>
  <dcterms:created xsi:type="dcterms:W3CDTF">2024-07-27T06:29:00Z</dcterms:created>
  <dcterms:modified xsi:type="dcterms:W3CDTF">2024-07-27T06:29:00Z</dcterms:modified>
</cp:coreProperties>
</file>